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5861" w14:textId="77777777" w:rsidR="00163756" w:rsidRDefault="00FD1406" w:rsidP="00163756">
      <w:pPr>
        <w:rPr>
          <w:b/>
        </w:rPr>
      </w:pPr>
      <w:r>
        <w:rPr>
          <w:b/>
        </w:rPr>
        <w:t>Town Centre Vacancy Rates</w:t>
      </w:r>
    </w:p>
    <w:p w14:paraId="3A217215" w14:textId="5762A412" w:rsidR="00163756" w:rsidRDefault="00FD1406" w:rsidP="00163756">
      <w:r>
        <w:t xml:space="preserve">Vacancy rates for non-domestic properties are available for the </w:t>
      </w:r>
      <w:r w:rsidR="0074262E">
        <w:t>six</w:t>
      </w:r>
      <w:r>
        <w:t xml:space="preserve"> main city / town centres in the </w:t>
      </w:r>
      <w:r w:rsidR="007077E8">
        <w:t>Borough</w:t>
      </w:r>
      <w:r>
        <w:t xml:space="preserve"> (Armagh, Banbridge, Craigavon, Lurgan and Portadown) and Dromore from the Town Centre Database (using data from Land and Property Services) produced by the Department for Communities.</w:t>
      </w:r>
      <w:r w:rsidR="004239CA">
        <w:t xml:space="preserve"> A property refers to a hereditament which is subject to rates and not individual buildings.</w:t>
      </w:r>
    </w:p>
    <w:p w14:paraId="3022583C" w14:textId="43D4E00A" w:rsidR="008F7B50" w:rsidRDefault="00936C9E" w:rsidP="00163756">
      <w:r w:rsidRPr="00EB4ADC">
        <w:t xml:space="preserve">As </w:t>
      </w:r>
      <w:proofErr w:type="gramStart"/>
      <w:r w:rsidRPr="00EB4ADC">
        <w:t>at</w:t>
      </w:r>
      <w:proofErr w:type="gramEnd"/>
      <w:r w:rsidRPr="00EB4ADC">
        <w:t xml:space="preserve"> </w:t>
      </w:r>
      <w:r w:rsidR="00DD2CED">
        <w:t>30</w:t>
      </w:r>
      <w:r w:rsidR="00DD2CED" w:rsidRPr="00DD2CED">
        <w:rPr>
          <w:vertAlign w:val="superscript"/>
        </w:rPr>
        <w:t>th</w:t>
      </w:r>
      <w:r w:rsidR="00DD2CED">
        <w:t xml:space="preserve"> April </w:t>
      </w:r>
      <w:r w:rsidR="00354B28">
        <w:t>202</w:t>
      </w:r>
      <w:r w:rsidR="0074262E">
        <w:t>6</w:t>
      </w:r>
      <w:r w:rsidR="00FD1406" w:rsidRPr="00EB4ADC">
        <w:t xml:space="preserve">, vacancy rates in the </w:t>
      </w:r>
      <w:r w:rsidR="007077E8">
        <w:t>Borough</w:t>
      </w:r>
      <w:r w:rsidRPr="00EB4ADC">
        <w:t xml:space="preserve"> varied from </w:t>
      </w:r>
      <w:r w:rsidR="00475402">
        <w:t>11.9</w:t>
      </w:r>
      <w:r w:rsidRPr="00EB4ADC">
        <w:t xml:space="preserve">% in Craigavon to </w:t>
      </w:r>
      <w:r w:rsidR="00475402">
        <w:t>24.6</w:t>
      </w:r>
      <w:r w:rsidR="00FD1406" w:rsidRPr="00EB4ADC">
        <w:t xml:space="preserve">% in Dromore. </w:t>
      </w:r>
      <w:r w:rsidR="00D71F6B" w:rsidRPr="00EB4ADC">
        <w:t xml:space="preserve"> </w:t>
      </w:r>
      <w:r w:rsidR="00FD1406" w:rsidRPr="00EB4ADC">
        <w:t>This compares to a Northern Irela</w:t>
      </w:r>
      <w:r w:rsidRPr="00EB4ADC">
        <w:t xml:space="preserve">nd average vacancy level of </w:t>
      </w:r>
      <w:r w:rsidR="00475402">
        <w:t>21.9</w:t>
      </w:r>
      <w:r w:rsidR="00FD1406" w:rsidRPr="00EB4ADC">
        <w:t>%.</w:t>
      </w:r>
    </w:p>
    <w:tbl>
      <w:tblPr>
        <w:tblStyle w:val="GridTable1Light"/>
        <w:tblW w:w="8020" w:type="dxa"/>
        <w:tblLook w:val="04A0" w:firstRow="1" w:lastRow="0" w:firstColumn="1" w:lastColumn="0" w:noHBand="0" w:noVBand="1"/>
      </w:tblPr>
      <w:tblGrid>
        <w:gridCol w:w="1780"/>
        <w:gridCol w:w="2080"/>
        <w:gridCol w:w="2080"/>
        <w:gridCol w:w="2080"/>
      </w:tblGrid>
      <w:tr w:rsidR="00354B28" w:rsidRPr="00354B28" w14:paraId="12EAF16E" w14:textId="77777777" w:rsidTr="00354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6D18CF67" w14:textId="77777777" w:rsidR="00354B28" w:rsidRPr="00354B28" w:rsidRDefault="00354B28" w:rsidP="00354B2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240" w:type="dxa"/>
            <w:gridSpan w:val="3"/>
            <w:noWrap/>
            <w:hideMark/>
          </w:tcPr>
          <w:p w14:paraId="6BD985B2" w14:textId="07E0B263" w:rsidR="00354B28" w:rsidRPr="00DD2CED" w:rsidRDefault="00DD2CED" w:rsidP="00DD2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D2CED">
              <w:rPr>
                <w:rFonts w:ascii="Calibri" w:hAnsi="Calibri" w:cs="Calibri"/>
                <w:color w:val="000000"/>
              </w:rPr>
              <w:t>30th April 202</w:t>
            </w:r>
            <w:r w:rsidR="0074262E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54B28" w:rsidRPr="00354B28" w14:paraId="728D786D" w14:textId="77777777" w:rsidTr="00354B2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5A3CD4DD" w14:textId="77777777" w:rsidR="00354B28" w:rsidRPr="00354B28" w:rsidRDefault="00354B28" w:rsidP="00354B2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80" w:type="dxa"/>
            <w:hideMark/>
          </w:tcPr>
          <w:p w14:paraId="6ABEFC32" w14:textId="77777777" w:rsidR="00354B28" w:rsidRPr="00354B28" w:rsidRDefault="00354B28" w:rsidP="0035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 of Properties</w:t>
            </w:r>
          </w:p>
        </w:tc>
        <w:tc>
          <w:tcPr>
            <w:tcW w:w="2080" w:type="dxa"/>
            <w:hideMark/>
          </w:tcPr>
          <w:p w14:paraId="3BDE092B" w14:textId="77777777" w:rsidR="00354B28" w:rsidRPr="00354B28" w:rsidRDefault="00354B28" w:rsidP="0035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 of Vacant Properties</w:t>
            </w:r>
          </w:p>
        </w:tc>
        <w:tc>
          <w:tcPr>
            <w:tcW w:w="2080" w:type="dxa"/>
            <w:hideMark/>
          </w:tcPr>
          <w:p w14:paraId="50128BE4" w14:textId="77777777" w:rsidR="00354B28" w:rsidRPr="00354B28" w:rsidRDefault="00354B28" w:rsidP="00354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 of Vacant Properties</w:t>
            </w:r>
          </w:p>
        </w:tc>
      </w:tr>
      <w:tr w:rsidR="00DD2CED" w:rsidRPr="00354B28" w14:paraId="545F3A59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3851DC31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Armagh</w:t>
            </w:r>
          </w:p>
        </w:tc>
        <w:tc>
          <w:tcPr>
            <w:tcW w:w="2080" w:type="dxa"/>
            <w:noWrap/>
            <w:vAlign w:val="bottom"/>
            <w:hideMark/>
          </w:tcPr>
          <w:p w14:paraId="37792189" w14:textId="5CB859C4" w:rsidR="00DD2CED" w:rsidRPr="00354B28" w:rsidRDefault="00DD2CED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7</w:t>
            </w:r>
            <w:r w:rsidR="00D15510">
              <w:rPr>
                <w:rFonts w:ascii="Calibri" w:hAnsi="Calibri" w:cs="Calibri"/>
              </w:rPr>
              <w:t>41</w:t>
            </w:r>
          </w:p>
        </w:tc>
        <w:tc>
          <w:tcPr>
            <w:tcW w:w="2080" w:type="dxa"/>
            <w:noWrap/>
            <w:vAlign w:val="bottom"/>
            <w:hideMark/>
          </w:tcPr>
          <w:p w14:paraId="3D086787" w14:textId="4A5067A4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2080" w:type="dxa"/>
            <w:noWrap/>
            <w:vAlign w:val="bottom"/>
            <w:hideMark/>
          </w:tcPr>
          <w:p w14:paraId="067868F5" w14:textId="3675BB91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17.5%</w:t>
            </w:r>
          </w:p>
        </w:tc>
      </w:tr>
      <w:tr w:rsidR="00DD2CED" w:rsidRPr="00354B28" w14:paraId="1F1B760E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644E3CC6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Banbridge</w:t>
            </w:r>
          </w:p>
        </w:tc>
        <w:tc>
          <w:tcPr>
            <w:tcW w:w="2080" w:type="dxa"/>
            <w:noWrap/>
            <w:vAlign w:val="bottom"/>
            <w:hideMark/>
          </w:tcPr>
          <w:p w14:paraId="287E6CF8" w14:textId="1AC90CB8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435</w:t>
            </w:r>
          </w:p>
        </w:tc>
        <w:tc>
          <w:tcPr>
            <w:tcW w:w="2080" w:type="dxa"/>
            <w:noWrap/>
            <w:vAlign w:val="bottom"/>
            <w:hideMark/>
          </w:tcPr>
          <w:p w14:paraId="1527354C" w14:textId="2770BB39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2080" w:type="dxa"/>
            <w:noWrap/>
            <w:vAlign w:val="bottom"/>
            <w:hideMark/>
          </w:tcPr>
          <w:p w14:paraId="1C3457DD" w14:textId="37D40CC2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16.1%</w:t>
            </w:r>
          </w:p>
        </w:tc>
      </w:tr>
      <w:tr w:rsidR="00DD2CED" w:rsidRPr="00354B28" w14:paraId="3CF7ABD2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B8CB679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Craigavon</w:t>
            </w:r>
          </w:p>
        </w:tc>
        <w:tc>
          <w:tcPr>
            <w:tcW w:w="2080" w:type="dxa"/>
            <w:noWrap/>
            <w:vAlign w:val="bottom"/>
            <w:hideMark/>
          </w:tcPr>
          <w:p w14:paraId="6041336B" w14:textId="10FABC98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2080" w:type="dxa"/>
            <w:noWrap/>
            <w:vAlign w:val="bottom"/>
            <w:hideMark/>
          </w:tcPr>
          <w:p w14:paraId="405E8CA1" w14:textId="4343F40B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080" w:type="dxa"/>
            <w:noWrap/>
            <w:vAlign w:val="bottom"/>
            <w:hideMark/>
          </w:tcPr>
          <w:p w14:paraId="0645C087" w14:textId="1B4E49A8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11.9%</w:t>
            </w:r>
          </w:p>
        </w:tc>
      </w:tr>
      <w:tr w:rsidR="00DD2CED" w:rsidRPr="00354B28" w14:paraId="67D6C980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04877AA6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Dromore</w:t>
            </w:r>
          </w:p>
        </w:tc>
        <w:tc>
          <w:tcPr>
            <w:tcW w:w="2080" w:type="dxa"/>
            <w:noWrap/>
            <w:vAlign w:val="bottom"/>
            <w:hideMark/>
          </w:tcPr>
          <w:p w14:paraId="5C78E03C" w14:textId="236377D8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2080" w:type="dxa"/>
            <w:noWrap/>
            <w:vAlign w:val="bottom"/>
            <w:hideMark/>
          </w:tcPr>
          <w:p w14:paraId="243F44E6" w14:textId="713C2332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080" w:type="dxa"/>
            <w:noWrap/>
            <w:vAlign w:val="bottom"/>
            <w:hideMark/>
          </w:tcPr>
          <w:p w14:paraId="2A4302FF" w14:textId="3DC1061B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24.6%</w:t>
            </w:r>
          </w:p>
        </w:tc>
      </w:tr>
      <w:tr w:rsidR="00DD2CED" w:rsidRPr="00354B28" w14:paraId="27A19A2B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35FD1DAD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Lurgan</w:t>
            </w:r>
          </w:p>
        </w:tc>
        <w:tc>
          <w:tcPr>
            <w:tcW w:w="2080" w:type="dxa"/>
            <w:noWrap/>
            <w:vAlign w:val="bottom"/>
            <w:hideMark/>
          </w:tcPr>
          <w:p w14:paraId="4A683815" w14:textId="01231E16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501</w:t>
            </w:r>
          </w:p>
        </w:tc>
        <w:tc>
          <w:tcPr>
            <w:tcW w:w="2080" w:type="dxa"/>
            <w:noWrap/>
            <w:vAlign w:val="bottom"/>
            <w:hideMark/>
          </w:tcPr>
          <w:p w14:paraId="1B3C6D59" w14:textId="3ECA1289" w:rsidR="00DD2CED" w:rsidRPr="00354B28" w:rsidRDefault="00DD2CED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2080" w:type="dxa"/>
            <w:noWrap/>
            <w:vAlign w:val="bottom"/>
            <w:hideMark/>
          </w:tcPr>
          <w:p w14:paraId="783BC280" w14:textId="531E428B" w:rsidR="00DD2CED" w:rsidRPr="00354B28" w:rsidRDefault="00DD2CED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18.8%</w:t>
            </w:r>
          </w:p>
        </w:tc>
      </w:tr>
      <w:tr w:rsidR="00DD2CED" w:rsidRPr="00354B28" w14:paraId="4D63772A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DA42C39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>Portadown</w:t>
            </w:r>
          </w:p>
        </w:tc>
        <w:tc>
          <w:tcPr>
            <w:tcW w:w="2080" w:type="dxa"/>
            <w:noWrap/>
            <w:vAlign w:val="bottom"/>
            <w:hideMark/>
          </w:tcPr>
          <w:p w14:paraId="1E418749" w14:textId="1C1A3703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674</w:t>
            </w:r>
          </w:p>
        </w:tc>
        <w:tc>
          <w:tcPr>
            <w:tcW w:w="2080" w:type="dxa"/>
            <w:noWrap/>
            <w:vAlign w:val="bottom"/>
            <w:hideMark/>
          </w:tcPr>
          <w:p w14:paraId="52EFC9AB" w14:textId="13C3DA7A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2080" w:type="dxa"/>
            <w:noWrap/>
            <w:vAlign w:val="bottom"/>
            <w:hideMark/>
          </w:tcPr>
          <w:p w14:paraId="54189045" w14:textId="20921EC6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hAnsi="Calibri" w:cs="Calibri"/>
                <w:i/>
                <w:iCs/>
              </w:rPr>
              <w:t>19.1%</w:t>
            </w:r>
          </w:p>
        </w:tc>
      </w:tr>
      <w:tr w:rsidR="00DD2CED" w:rsidRPr="00354B28" w14:paraId="452D1BD7" w14:textId="77777777" w:rsidTr="002E016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BDF66C3" w14:textId="77777777" w:rsidR="00DD2CED" w:rsidRPr="00354B28" w:rsidRDefault="00DD2CED" w:rsidP="00DD2C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4B2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Northern Ireland </w:t>
            </w:r>
          </w:p>
        </w:tc>
        <w:tc>
          <w:tcPr>
            <w:tcW w:w="2080" w:type="dxa"/>
            <w:noWrap/>
            <w:vAlign w:val="bottom"/>
            <w:hideMark/>
          </w:tcPr>
          <w:p w14:paraId="4476453E" w14:textId="31155D9C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</w:rPr>
              <w:t>21,568</w:t>
            </w:r>
          </w:p>
        </w:tc>
        <w:tc>
          <w:tcPr>
            <w:tcW w:w="2080" w:type="dxa"/>
            <w:noWrap/>
            <w:vAlign w:val="bottom"/>
            <w:hideMark/>
          </w:tcPr>
          <w:p w14:paraId="084B45DA" w14:textId="148A407A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</w:rPr>
              <w:t>4,726</w:t>
            </w:r>
          </w:p>
        </w:tc>
        <w:tc>
          <w:tcPr>
            <w:tcW w:w="2080" w:type="dxa"/>
            <w:noWrap/>
            <w:vAlign w:val="bottom"/>
            <w:hideMark/>
          </w:tcPr>
          <w:p w14:paraId="4AC36601" w14:textId="24BBE5CE" w:rsidR="00DD2CED" w:rsidRPr="00354B28" w:rsidRDefault="00D15510" w:rsidP="00DD2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21.9%</w:t>
            </w:r>
          </w:p>
        </w:tc>
      </w:tr>
    </w:tbl>
    <w:p w14:paraId="7F33FC4C" w14:textId="5E754B9C" w:rsidR="00354B28" w:rsidRDefault="00354B28" w:rsidP="00354B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1: City/town centre non-domestic property vacancy rates as </w:t>
      </w:r>
      <w:proofErr w:type="gramStart"/>
      <w:r>
        <w:rPr>
          <w:i/>
          <w:sz w:val="20"/>
          <w:szCs w:val="20"/>
        </w:rPr>
        <w:t>at</w:t>
      </w:r>
      <w:proofErr w:type="gramEnd"/>
      <w:r>
        <w:rPr>
          <w:i/>
          <w:sz w:val="20"/>
          <w:szCs w:val="20"/>
        </w:rPr>
        <w:t xml:space="preserve"> </w:t>
      </w:r>
      <w:r w:rsidR="00DD2CED">
        <w:rPr>
          <w:i/>
          <w:sz w:val="20"/>
          <w:szCs w:val="20"/>
        </w:rPr>
        <w:t>30</w:t>
      </w:r>
      <w:r w:rsidR="00DD2CED" w:rsidRPr="00DD2CED">
        <w:rPr>
          <w:i/>
          <w:sz w:val="20"/>
          <w:szCs w:val="20"/>
          <w:vertAlign w:val="superscript"/>
        </w:rPr>
        <w:t>th</w:t>
      </w:r>
      <w:r w:rsidR="00DD2CED">
        <w:rPr>
          <w:i/>
          <w:sz w:val="20"/>
          <w:szCs w:val="20"/>
        </w:rPr>
        <w:t xml:space="preserve"> April 202</w:t>
      </w:r>
      <w:r w:rsidR="00D15510">
        <w:rPr>
          <w:i/>
          <w:sz w:val="20"/>
          <w:szCs w:val="20"/>
        </w:rPr>
        <w:t>6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Land and Property Services via Town Centre Database, Department for Communities</w:t>
      </w:r>
      <w:r w:rsidRPr="002A218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</w:p>
    <w:p w14:paraId="0253E122" w14:textId="0AAB6585" w:rsidR="008A3B82" w:rsidRDefault="00980495" w:rsidP="00980495">
      <w:pPr>
        <w:rPr>
          <w:i/>
          <w:sz w:val="20"/>
          <w:szCs w:val="20"/>
        </w:rPr>
      </w:pPr>
      <w:r w:rsidRPr="00980495">
        <w:rPr>
          <w:i/>
          <w:sz w:val="20"/>
          <w:szCs w:val="20"/>
        </w:rPr>
        <w:t xml:space="preserve"> </w:t>
      </w:r>
    </w:p>
    <w:p w14:paraId="2E1DF469" w14:textId="0FB421BF" w:rsidR="00980495" w:rsidRDefault="00D15510" w:rsidP="00980495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184271C3" wp14:editId="481311E4">
            <wp:extent cx="5618069" cy="3124761"/>
            <wp:effectExtent l="0" t="0" r="1905" b="0"/>
            <wp:docPr id="1399575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B4DAE9-A4A6-42AA-84B7-8992B00D7A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i/>
          <w:sz w:val="20"/>
          <w:szCs w:val="20"/>
        </w:rPr>
        <w:t xml:space="preserve"> </w:t>
      </w:r>
      <w:r w:rsidR="00980495">
        <w:rPr>
          <w:i/>
          <w:sz w:val="20"/>
          <w:szCs w:val="20"/>
        </w:rPr>
        <w:t xml:space="preserve">Figure 1: City/town centre non-domestic property vacancy rates as </w:t>
      </w:r>
      <w:proofErr w:type="gramStart"/>
      <w:r w:rsidR="00980495">
        <w:rPr>
          <w:i/>
          <w:sz w:val="20"/>
          <w:szCs w:val="20"/>
        </w:rPr>
        <w:t>at</w:t>
      </w:r>
      <w:proofErr w:type="gramEnd"/>
      <w:r w:rsidR="00980495">
        <w:rPr>
          <w:i/>
          <w:sz w:val="20"/>
          <w:szCs w:val="20"/>
        </w:rPr>
        <w:t xml:space="preserve"> </w:t>
      </w:r>
      <w:r w:rsidR="00DD2CED">
        <w:rPr>
          <w:i/>
          <w:sz w:val="20"/>
          <w:szCs w:val="20"/>
        </w:rPr>
        <w:t>30</w:t>
      </w:r>
      <w:r w:rsidR="00DD2CED" w:rsidRPr="00DD2CED">
        <w:rPr>
          <w:i/>
          <w:sz w:val="20"/>
          <w:szCs w:val="20"/>
          <w:vertAlign w:val="superscript"/>
        </w:rPr>
        <w:t>th</w:t>
      </w:r>
      <w:r w:rsidR="00DD2CED">
        <w:rPr>
          <w:i/>
          <w:sz w:val="20"/>
          <w:szCs w:val="20"/>
        </w:rPr>
        <w:t xml:space="preserve"> April 202</w:t>
      </w:r>
      <w:r>
        <w:rPr>
          <w:i/>
          <w:sz w:val="20"/>
          <w:szCs w:val="20"/>
        </w:rPr>
        <w:t>6</w:t>
      </w:r>
      <w:r w:rsidR="00DD2CED">
        <w:rPr>
          <w:i/>
          <w:sz w:val="20"/>
          <w:szCs w:val="20"/>
        </w:rPr>
        <w:t>.</w:t>
      </w:r>
      <w:r w:rsidR="00980495" w:rsidRPr="002A2185">
        <w:rPr>
          <w:i/>
          <w:sz w:val="20"/>
          <w:szCs w:val="20"/>
        </w:rPr>
        <w:t xml:space="preserve"> Source:</w:t>
      </w:r>
      <w:r w:rsidR="00980495">
        <w:rPr>
          <w:i/>
          <w:sz w:val="20"/>
          <w:szCs w:val="20"/>
        </w:rPr>
        <w:t xml:space="preserve"> Land and Property Services via Town Centre Database, Department for Communities</w:t>
      </w:r>
      <w:r w:rsidR="00980495" w:rsidRPr="002A2185">
        <w:rPr>
          <w:i/>
          <w:sz w:val="20"/>
          <w:szCs w:val="20"/>
        </w:rPr>
        <w:t>.</w:t>
      </w:r>
      <w:r w:rsidR="00980495">
        <w:rPr>
          <w:i/>
          <w:sz w:val="20"/>
          <w:szCs w:val="20"/>
        </w:rPr>
        <w:t xml:space="preserve"> </w:t>
      </w:r>
    </w:p>
    <w:p w14:paraId="10BFCFE5" w14:textId="6E0E9412" w:rsidR="005C2415" w:rsidRPr="00C33D7C" w:rsidRDefault="001C3C76" w:rsidP="005C2415">
      <w:r>
        <w:t xml:space="preserve">Table 2 presents the vacancy rates in </w:t>
      </w:r>
      <w:r w:rsidR="00DD2CED">
        <w:t>April</w:t>
      </w:r>
      <w:r>
        <w:t xml:space="preserve"> each year between 2016 and 202</w:t>
      </w:r>
      <w:r w:rsidR="00D15510">
        <w:t>6</w:t>
      </w:r>
      <w:r>
        <w:t xml:space="preserve">.  </w:t>
      </w:r>
      <w:r w:rsidR="00C51627">
        <w:t xml:space="preserve">Dromore has consistently had the highest vacancy rates </w:t>
      </w:r>
      <w:r w:rsidR="003975ED">
        <w:t xml:space="preserve">although it has fallen </w:t>
      </w:r>
      <w:r w:rsidR="004E798D">
        <w:t xml:space="preserve">by </w:t>
      </w:r>
      <w:r w:rsidR="00DE0A7D">
        <w:t xml:space="preserve">more than </w:t>
      </w:r>
      <w:r w:rsidR="00D15510">
        <w:t>5</w:t>
      </w:r>
      <w:r w:rsidR="003975ED">
        <w:t xml:space="preserve"> percentage points between</w:t>
      </w:r>
      <w:r w:rsidR="00DE0A7D">
        <w:t xml:space="preserve"> </w:t>
      </w:r>
      <w:r w:rsidR="00C11AEB">
        <w:t>April</w:t>
      </w:r>
      <w:r w:rsidR="004E798D">
        <w:t xml:space="preserve"> </w:t>
      </w:r>
      <w:r w:rsidR="003975ED">
        <w:t xml:space="preserve">2016 and </w:t>
      </w:r>
      <w:r w:rsidR="00C11AEB">
        <w:t>April 202</w:t>
      </w:r>
      <w:r w:rsidR="00D15510">
        <w:t>6</w:t>
      </w:r>
      <w:r w:rsidR="003975ED">
        <w:t xml:space="preserve">.  </w:t>
      </w:r>
      <w:r w:rsidR="005B3358">
        <w:t xml:space="preserve">Despite an increase of 5.7 percentage points, </w:t>
      </w:r>
      <w:r w:rsidR="00C51627">
        <w:t>Craigavon has maintained the lowest</w:t>
      </w:r>
      <w:r w:rsidR="003975ED">
        <w:t xml:space="preserve"> vacancy rate in the </w:t>
      </w:r>
      <w:r w:rsidR="007077E8">
        <w:t>Borough</w:t>
      </w:r>
      <w:r w:rsidR="00DE0A7D">
        <w:t xml:space="preserve"> throughout the period</w:t>
      </w:r>
      <w:r w:rsidR="003E1B37">
        <w:t xml:space="preserve"> </w:t>
      </w:r>
      <w:r w:rsidR="00D15510">
        <w:t xml:space="preserve">whilst </w:t>
      </w:r>
      <w:r w:rsidR="00C11AEB">
        <w:t>Portadown h</w:t>
      </w:r>
      <w:r w:rsidR="00D15510">
        <w:t>as</w:t>
      </w:r>
      <w:r w:rsidR="003975ED">
        <w:t xml:space="preserve"> </w:t>
      </w:r>
      <w:r w:rsidR="003975ED">
        <w:lastRenderedPageBreak/>
        <w:t xml:space="preserve">experienced the greatest fall in the vacancy rates </w:t>
      </w:r>
      <w:r w:rsidR="00136313">
        <w:t>having</w:t>
      </w:r>
      <w:r w:rsidR="003975ED">
        <w:t xml:space="preserve"> fallen by </w:t>
      </w:r>
      <w:r w:rsidR="00D15510">
        <w:t>8.7</w:t>
      </w:r>
      <w:r w:rsidR="003975ED">
        <w:t xml:space="preserve"> </w:t>
      </w:r>
      <w:r w:rsidR="009C0905">
        <w:t xml:space="preserve">percentage points </w:t>
      </w:r>
      <w:r w:rsidR="00C11AEB">
        <w:t xml:space="preserve">respectively </w:t>
      </w:r>
      <w:r w:rsidR="009C0905">
        <w:t xml:space="preserve">between </w:t>
      </w:r>
      <w:r w:rsidR="00C11AEB">
        <w:t>April</w:t>
      </w:r>
      <w:r w:rsidR="004E798D">
        <w:t xml:space="preserve"> </w:t>
      </w:r>
      <w:r w:rsidR="009C0905">
        <w:t xml:space="preserve">2016 and </w:t>
      </w:r>
      <w:r w:rsidR="00C11AEB">
        <w:t xml:space="preserve">April </w:t>
      </w:r>
      <w:r w:rsidR="009C0905">
        <w:t>202</w:t>
      </w:r>
      <w:r w:rsidR="00D15510">
        <w:t>6</w:t>
      </w:r>
      <w:r w:rsidR="009C0905">
        <w:t xml:space="preserve">.  </w:t>
      </w:r>
    </w:p>
    <w:tbl>
      <w:tblPr>
        <w:tblStyle w:val="GridTable1Light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113"/>
        <w:gridCol w:w="1114"/>
        <w:gridCol w:w="1114"/>
        <w:gridCol w:w="1113"/>
        <w:gridCol w:w="1114"/>
        <w:gridCol w:w="1236"/>
        <w:gridCol w:w="1134"/>
      </w:tblGrid>
      <w:tr w:rsidR="009443D3" w:rsidRPr="003E1B37" w14:paraId="74DB49FE" w14:textId="77777777" w:rsidTr="003E1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9910C19" w14:textId="77777777" w:rsidR="009443D3" w:rsidRPr="003E1B37" w:rsidRDefault="009443D3" w:rsidP="009443D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3C89F3B9" w14:textId="01BB34B1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Armagh</w:t>
            </w:r>
          </w:p>
        </w:tc>
        <w:tc>
          <w:tcPr>
            <w:tcW w:w="1114" w:type="dxa"/>
            <w:noWrap/>
            <w:hideMark/>
          </w:tcPr>
          <w:p w14:paraId="1357D57A" w14:textId="05B63F32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Banbridge</w:t>
            </w:r>
          </w:p>
        </w:tc>
        <w:tc>
          <w:tcPr>
            <w:tcW w:w="1114" w:type="dxa"/>
            <w:noWrap/>
            <w:hideMark/>
          </w:tcPr>
          <w:p w14:paraId="2BA577EC" w14:textId="27A9C404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Craigavon</w:t>
            </w:r>
          </w:p>
        </w:tc>
        <w:tc>
          <w:tcPr>
            <w:tcW w:w="1113" w:type="dxa"/>
            <w:noWrap/>
            <w:hideMark/>
          </w:tcPr>
          <w:p w14:paraId="05F660F8" w14:textId="58BFDBA0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Dromore</w:t>
            </w:r>
          </w:p>
        </w:tc>
        <w:tc>
          <w:tcPr>
            <w:tcW w:w="1114" w:type="dxa"/>
            <w:noWrap/>
            <w:hideMark/>
          </w:tcPr>
          <w:p w14:paraId="57F2C177" w14:textId="4E8E20DD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Lurgan</w:t>
            </w:r>
          </w:p>
        </w:tc>
        <w:tc>
          <w:tcPr>
            <w:tcW w:w="1236" w:type="dxa"/>
            <w:noWrap/>
            <w:hideMark/>
          </w:tcPr>
          <w:p w14:paraId="16F4D4FD" w14:textId="072145ED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Portadown</w:t>
            </w:r>
          </w:p>
        </w:tc>
        <w:tc>
          <w:tcPr>
            <w:tcW w:w="1134" w:type="dxa"/>
            <w:noWrap/>
            <w:hideMark/>
          </w:tcPr>
          <w:p w14:paraId="499BB0D2" w14:textId="7B03073E" w:rsidR="009443D3" w:rsidRPr="003E1B37" w:rsidRDefault="009443D3" w:rsidP="009443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E1B37">
              <w:rPr>
                <w:rFonts w:eastAsia="Times New Roman" w:cstheme="minorHAnsi"/>
                <w:sz w:val="20"/>
                <w:szCs w:val="20"/>
                <w:lang w:eastAsia="en-GB"/>
              </w:rPr>
              <w:t>Northern Ireland</w:t>
            </w:r>
          </w:p>
        </w:tc>
      </w:tr>
      <w:tr w:rsidR="00D15510" w:rsidRPr="003E1B37" w14:paraId="5A66D19B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C2AC9AC" w14:textId="2F460254" w:rsidR="00D15510" w:rsidRPr="00C33D7C" w:rsidRDefault="00D15510" w:rsidP="00C33D7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30 April 2026</w:t>
            </w:r>
          </w:p>
        </w:tc>
        <w:tc>
          <w:tcPr>
            <w:tcW w:w="1113" w:type="dxa"/>
            <w:noWrap/>
            <w:vAlign w:val="bottom"/>
          </w:tcPr>
          <w:p w14:paraId="7087B774" w14:textId="38523A9A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17.5%</w:t>
            </w:r>
          </w:p>
        </w:tc>
        <w:tc>
          <w:tcPr>
            <w:tcW w:w="1114" w:type="dxa"/>
            <w:noWrap/>
            <w:vAlign w:val="bottom"/>
          </w:tcPr>
          <w:p w14:paraId="2195D388" w14:textId="708250D2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16.1%</w:t>
            </w:r>
          </w:p>
        </w:tc>
        <w:tc>
          <w:tcPr>
            <w:tcW w:w="1114" w:type="dxa"/>
            <w:noWrap/>
            <w:vAlign w:val="bottom"/>
          </w:tcPr>
          <w:p w14:paraId="0BE0BB96" w14:textId="4623AF51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11.9%</w:t>
            </w:r>
          </w:p>
        </w:tc>
        <w:tc>
          <w:tcPr>
            <w:tcW w:w="1113" w:type="dxa"/>
            <w:noWrap/>
            <w:vAlign w:val="bottom"/>
          </w:tcPr>
          <w:p w14:paraId="47891F4A" w14:textId="631BC03A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24.6%</w:t>
            </w:r>
          </w:p>
        </w:tc>
        <w:tc>
          <w:tcPr>
            <w:tcW w:w="1114" w:type="dxa"/>
            <w:noWrap/>
            <w:vAlign w:val="bottom"/>
          </w:tcPr>
          <w:p w14:paraId="728243C1" w14:textId="25DD872F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18.8%</w:t>
            </w:r>
          </w:p>
        </w:tc>
        <w:tc>
          <w:tcPr>
            <w:tcW w:w="1236" w:type="dxa"/>
            <w:noWrap/>
            <w:vAlign w:val="bottom"/>
          </w:tcPr>
          <w:p w14:paraId="0A6E3635" w14:textId="6FCAA77E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19.1%</w:t>
            </w:r>
          </w:p>
        </w:tc>
        <w:tc>
          <w:tcPr>
            <w:tcW w:w="1134" w:type="dxa"/>
            <w:noWrap/>
            <w:vAlign w:val="bottom"/>
          </w:tcPr>
          <w:p w14:paraId="412242BB" w14:textId="39655040" w:rsidR="00D15510" w:rsidRPr="00C33D7C" w:rsidRDefault="00D15510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21.9%</w:t>
            </w:r>
          </w:p>
        </w:tc>
      </w:tr>
      <w:tr w:rsidR="00C33D7C" w:rsidRPr="003E1B37" w14:paraId="1BF2FE35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359BF967" w14:textId="7C709721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2025</w:t>
            </w:r>
          </w:p>
        </w:tc>
        <w:tc>
          <w:tcPr>
            <w:tcW w:w="1113" w:type="dxa"/>
            <w:noWrap/>
            <w:vAlign w:val="bottom"/>
            <w:hideMark/>
          </w:tcPr>
          <w:p w14:paraId="3BBBBCE9" w14:textId="16FC4769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17.6%</w:t>
            </w:r>
          </w:p>
        </w:tc>
        <w:tc>
          <w:tcPr>
            <w:tcW w:w="1114" w:type="dxa"/>
            <w:noWrap/>
            <w:vAlign w:val="bottom"/>
            <w:hideMark/>
          </w:tcPr>
          <w:p w14:paraId="2C4AFDFA" w14:textId="7451C1D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14.9%</w:t>
            </w:r>
          </w:p>
        </w:tc>
        <w:tc>
          <w:tcPr>
            <w:tcW w:w="1114" w:type="dxa"/>
            <w:noWrap/>
            <w:vAlign w:val="bottom"/>
            <w:hideMark/>
          </w:tcPr>
          <w:p w14:paraId="53FE36A9" w14:textId="544BEA9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7.8%</w:t>
            </w:r>
          </w:p>
        </w:tc>
        <w:tc>
          <w:tcPr>
            <w:tcW w:w="1113" w:type="dxa"/>
            <w:noWrap/>
            <w:vAlign w:val="bottom"/>
            <w:hideMark/>
          </w:tcPr>
          <w:p w14:paraId="5A83DF3D" w14:textId="6BC58373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23.0%</w:t>
            </w:r>
          </w:p>
        </w:tc>
        <w:tc>
          <w:tcPr>
            <w:tcW w:w="1114" w:type="dxa"/>
            <w:noWrap/>
            <w:vAlign w:val="bottom"/>
            <w:hideMark/>
          </w:tcPr>
          <w:p w14:paraId="10180BF1" w14:textId="1A53EBA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18.8%</w:t>
            </w:r>
          </w:p>
        </w:tc>
        <w:tc>
          <w:tcPr>
            <w:tcW w:w="1236" w:type="dxa"/>
            <w:noWrap/>
            <w:vAlign w:val="bottom"/>
            <w:hideMark/>
          </w:tcPr>
          <w:p w14:paraId="058EDBCB" w14:textId="65E20CE8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20.6%</w:t>
            </w:r>
          </w:p>
        </w:tc>
        <w:tc>
          <w:tcPr>
            <w:tcW w:w="1134" w:type="dxa"/>
            <w:noWrap/>
            <w:vAlign w:val="bottom"/>
            <w:hideMark/>
          </w:tcPr>
          <w:p w14:paraId="5492B9E9" w14:textId="65C3FF6B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23.0%</w:t>
            </w:r>
          </w:p>
        </w:tc>
      </w:tr>
      <w:tr w:rsidR="00C33D7C" w:rsidRPr="003E1B37" w14:paraId="659EF0B6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5372F58E" w14:textId="1C40E74C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2024</w:t>
            </w:r>
          </w:p>
        </w:tc>
        <w:tc>
          <w:tcPr>
            <w:tcW w:w="1113" w:type="dxa"/>
            <w:noWrap/>
            <w:vAlign w:val="bottom"/>
            <w:hideMark/>
          </w:tcPr>
          <w:p w14:paraId="7C431D1A" w14:textId="79AF2CAB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16.4%</w:t>
            </w:r>
          </w:p>
        </w:tc>
        <w:tc>
          <w:tcPr>
            <w:tcW w:w="1114" w:type="dxa"/>
            <w:noWrap/>
            <w:vAlign w:val="bottom"/>
            <w:hideMark/>
          </w:tcPr>
          <w:p w14:paraId="35C06A74" w14:textId="651522CD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16.4%</w:t>
            </w:r>
          </w:p>
        </w:tc>
        <w:tc>
          <w:tcPr>
            <w:tcW w:w="1114" w:type="dxa"/>
            <w:noWrap/>
            <w:vAlign w:val="bottom"/>
            <w:hideMark/>
          </w:tcPr>
          <w:p w14:paraId="31C0AF4B" w14:textId="4BE7F59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7.9%</w:t>
            </w:r>
          </w:p>
        </w:tc>
        <w:tc>
          <w:tcPr>
            <w:tcW w:w="1113" w:type="dxa"/>
            <w:noWrap/>
            <w:vAlign w:val="bottom"/>
            <w:hideMark/>
          </w:tcPr>
          <w:p w14:paraId="4811B134" w14:textId="52BBFC5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24.4%</w:t>
            </w:r>
          </w:p>
        </w:tc>
        <w:tc>
          <w:tcPr>
            <w:tcW w:w="1114" w:type="dxa"/>
            <w:noWrap/>
            <w:vAlign w:val="bottom"/>
            <w:hideMark/>
          </w:tcPr>
          <w:p w14:paraId="69C7F360" w14:textId="3AAF35D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21.1%</w:t>
            </w:r>
          </w:p>
        </w:tc>
        <w:tc>
          <w:tcPr>
            <w:tcW w:w="1236" w:type="dxa"/>
            <w:noWrap/>
            <w:vAlign w:val="bottom"/>
            <w:hideMark/>
          </w:tcPr>
          <w:p w14:paraId="36D0A1C3" w14:textId="02352246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21.0%</w:t>
            </w:r>
          </w:p>
        </w:tc>
        <w:tc>
          <w:tcPr>
            <w:tcW w:w="1134" w:type="dxa"/>
            <w:noWrap/>
            <w:vAlign w:val="bottom"/>
            <w:hideMark/>
          </w:tcPr>
          <w:p w14:paraId="7CDA814A" w14:textId="38962C0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22.4%</w:t>
            </w:r>
          </w:p>
        </w:tc>
      </w:tr>
      <w:tr w:rsidR="00C33D7C" w:rsidRPr="003E1B37" w14:paraId="6734AF60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63040908" w14:textId="4BFC7D15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2023</w:t>
            </w:r>
          </w:p>
        </w:tc>
        <w:tc>
          <w:tcPr>
            <w:tcW w:w="1113" w:type="dxa"/>
            <w:noWrap/>
            <w:vAlign w:val="bottom"/>
            <w:hideMark/>
          </w:tcPr>
          <w:p w14:paraId="2CDB73EA" w14:textId="2586074D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17.5%</w:t>
            </w:r>
          </w:p>
        </w:tc>
        <w:tc>
          <w:tcPr>
            <w:tcW w:w="1114" w:type="dxa"/>
            <w:noWrap/>
            <w:vAlign w:val="bottom"/>
            <w:hideMark/>
          </w:tcPr>
          <w:p w14:paraId="79FAA315" w14:textId="3099DBD8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16.5%</w:t>
            </w:r>
          </w:p>
        </w:tc>
        <w:tc>
          <w:tcPr>
            <w:tcW w:w="1114" w:type="dxa"/>
            <w:noWrap/>
            <w:vAlign w:val="bottom"/>
            <w:hideMark/>
          </w:tcPr>
          <w:p w14:paraId="1F4F5CFC" w14:textId="53B405F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10.8%</w:t>
            </w:r>
          </w:p>
        </w:tc>
        <w:tc>
          <w:tcPr>
            <w:tcW w:w="1113" w:type="dxa"/>
            <w:noWrap/>
            <w:vAlign w:val="bottom"/>
            <w:hideMark/>
          </w:tcPr>
          <w:p w14:paraId="42AEE8DE" w14:textId="68F5BAF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25.2%</w:t>
            </w:r>
          </w:p>
        </w:tc>
        <w:tc>
          <w:tcPr>
            <w:tcW w:w="1114" w:type="dxa"/>
            <w:noWrap/>
            <w:vAlign w:val="bottom"/>
            <w:hideMark/>
          </w:tcPr>
          <w:p w14:paraId="4B2864C4" w14:textId="5EB5DA9D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20.1%</w:t>
            </w:r>
          </w:p>
        </w:tc>
        <w:tc>
          <w:tcPr>
            <w:tcW w:w="1236" w:type="dxa"/>
            <w:noWrap/>
            <w:vAlign w:val="bottom"/>
            <w:hideMark/>
          </w:tcPr>
          <w:p w14:paraId="67AE7E0E" w14:textId="233FA2F6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20.6%</w:t>
            </w:r>
          </w:p>
        </w:tc>
        <w:tc>
          <w:tcPr>
            <w:tcW w:w="1134" w:type="dxa"/>
            <w:noWrap/>
            <w:vAlign w:val="bottom"/>
            <w:hideMark/>
          </w:tcPr>
          <w:p w14:paraId="2C26CA89" w14:textId="609F954A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22.4%</w:t>
            </w:r>
          </w:p>
        </w:tc>
      </w:tr>
      <w:tr w:rsidR="00C33D7C" w:rsidRPr="003E1B37" w14:paraId="01525E70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24D4526B" w14:textId="5EAFDF5D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2022</w:t>
            </w:r>
          </w:p>
        </w:tc>
        <w:tc>
          <w:tcPr>
            <w:tcW w:w="1113" w:type="dxa"/>
            <w:noWrap/>
            <w:vAlign w:val="bottom"/>
            <w:hideMark/>
          </w:tcPr>
          <w:p w14:paraId="006A9782" w14:textId="7EB104D2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21.2%</w:t>
            </w:r>
          </w:p>
        </w:tc>
        <w:tc>
          <w:tcPr>
            <w:tcW w:w="1114" w:type="dxa"/>
            <w:noWrap/>
            <w:vAlign w:val="bottom"/>
            <w:hideMark/>
          </w:tcPr>
          <w:p w14:paraId="14431864" w14:textId="36416F64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16.0%</w:t>
            </w:r>
          </w:p>
        </w:tc>
        <w:tc>
          <w:tcPr>
            <w:tcW w:w="1114" w:type="dxa"/>
            <w:noWrap/>
            <w:vAlign w:val="bottom"/>
            <w:hideMark/>
          </w:tcPr>
          <w:p w14:paraId="6D0B76B7" w14:textId="4C86E7FA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8.9%</w:t>
            </w:r>
          </w:p>
        </w:tc>
        <w:tc>
          <w:tcPr>
            <w:tcW w:w="1113" w:type="dxa"/>
            <w:noWrap/>
            <w:vAlign w:val="bottom"/>
            <w:hideMark/>
          </w:tcPr>
          <w:p w14:paraId="6BD62D45" w14:textId="7D86DFC2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25.4%</w:t>
            </w:r>
          </w:p>
        </w:tc>
        <w:tc>
          <w:tcPr>
            <w:tcW w:w="1114" w:type="dxa"/>
            <w:noWrap/>
            <w:vAlign w:val="bottom"/>
            <w:hideMark/>
          </w:tcPr>
          <w:p w14:paraId="1293B01F" w14:textId="3B5B7DA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22.1%</w:t>
            </w:r>
          </w:p>
        </w:tc>
        <w:tc>
          <w:tcPr>
            <w:tcW w:w="1236" w:type="dxa"/>
            <w:noWrap/>
            <w:vAlign w:val="bottom"/>
            <w:hideMark/>
          </w:tcPr>
          <w:p w14:paraId="46D85912" w14:textId="2A310ED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21.1%</w:t>
            </w:r>
          </w:p>
        </w:tc>
        <w:tc>
          <w:tcPr>
            <w:tcW w:w="1134" w:type="dxa"/>
            <w:noWrap/>
            <w:vAlign w:val="bottom"/>
            <w:hideMark/>
          </w:tcPr>
          <w:p w14:paraId="74DDF023" w14:textId="1BD86079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23.7%</w:t>
            </w:r>
          </w:p>
        </w:tc>
      </w:tr>
      <w:tr w:rsidR="00C33D7C" w:rsidRPr="003E1B37" w14:paraId="73723D93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5CD3CDFA" w14:textId="4921A1E9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2021</w:t>
            </w:r>
          </w:p>
        </w:tc>
        <w:tc>
          <w:tcPr>
            <w:tcW w:w="1113" w:type="dxa"/>
            <w:noWrap/>
            <w:vAlign w:val="bottom"/>
            <w:hideMark/>
          </w:tcPr>
          <w:p w14:paraId="4491D81F" w14:textId="74093EDC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22.6%</w:t>
            </w:r>
          </w:p>
        </w:tc>
        <w:tc>
          <w:tcPr>
            <w:tcW w:w="1114" w:type="dxa"/>
            <w:noWrap/>
            <w:vAlign w:val="bottom"/>
            <w:hideMark/>
          </w:tcPr>
          <w:p w14:paraId="2A1CF11C" w14:textId="7A01ACF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15.9%</w:t>
            </w:r>
          </w:p>
        </w:tc>
        <w:tc>
          <w:tcPr>
            <w:tcW w:w="1114" w:type="dxa"/>
            <w:noWrap/>
            <w:vAlign w:val="bottom"/>
            <w:hideMark/>
          </w:tcPr>
          <w:p w14:paraId="335A7C77" w14:textId="37A5F512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10.0%</w:t>
            </w:r>
          </w:p>
        </w:tc>
        <w:tc>
          <w:tcPr>
            <w:tcW w:w="1113" w:type="dxa"/>
            <w:noWrap/>
            <w:vAlign w:val="bottom"/>
            <w:hideMark/>
          </w:tcPr>
          <w:p w14:paraId="3165AB09" w14:textId="3DBDD62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27.1%</w:t>
            </w:r>
          </w:p>
        </w:tc>
        <w:tc>
          <w:tcPr>
            <w:tcW w:w="1114" w:type="dxa"/>
            <w:noWrap/>
            <w:vAlign w:val="bottom"/>
            <w:hideMark/>
          </w:tcPr>
          <w:p w14:paraId="245F4EE3" w14:textId="2D2DA0A2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22.5%</w:t>
            </w:r>
          </w:p>
        </w:tc>
        <w:tc>
          <w:tcPr>
            <w:tcW w:w="1236" w:type="dxa"/>
            <w:noWrap/>
            <w:vAlign w:val="bottom"/>
            <w:hideMark/>
          </w:tcPr>
          <w:p w14:paraId="77623367" w14:textId="017C21C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21.7%</w:t>
            </w:r>
          </w:p>
        </w:tc>
        <w:tc>
          <w:tcPr>
            <w:tcW w:w="1134" w:type="dxa"/>
            <w:noWrap/>
            <w:vAlign w:val="bottom"/>
            <w:hideMark/>
          </w:tcPr>
          <w:p w14:paraId="0D5AE790" w14:textId="604BF7A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24.3%</w:t>
            </w:r>
          </w:p>
        </w:tc>
      </w:tr>
      <w:tr w:rsidR="00C33D7C" w:rsidRPr="003E1B37" w14:paraId="21F96414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18F725A5" w14:textId="0ADD342B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17 May 2020</w:t>
            </w:r>
          </w:p>
        </w:tc>
        <w:tc>
          <w:tcPr>
            <w:tcW w:w="1113" w:type="dxa"/>
            <w:noWrap/>
            <w:vAlign w:val="bottom"/>
            <w:hideMark/>
          </w:tcPr>
          <w:p w14:paraId="5C6BDCEB" w14:textId="6C0210D6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21.7%</w:t>
            </w:r>
          </w:p>
        </w:tc>
        <w:tc>
          <w:tcPr>
            <w:tcW w:w="1114" w:type="dxa"/>
            <w:noWrap/>
            <w:vAlign w:val="bottom"/>
            <w:hideMark/>
          </w:tcPr>
          <w:p w14:paraId="31070321" w14:textId="6DFAD8D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18.0%</w:t>
            </w:r>
          </w:p>
        </w:tc>
        <w:tc>
          <w:tcPr>
            <w:tcW w:w="1114" w:type="dxa"/>
            <w:noWrap/>
            <w:vAlign w:val="bottom"/>
            <w:hideMark/>
          </w:tcPr>
          <w:p w14:paraId="750FE812" w14:textId="08A015A3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8.7%</w:t>
            </w:r>
          </w:p>
        </w:tc>
        <w:tc>
          <w:tcPr>
            <w:tcW w:w="1113" w:type="dxa"/>
            <w:noWrap/>
            <w:vAlign w:val="bottom"/>
            <w:hideMark/>
          </w:tcPr>
          <w:p w14:paraId="7E46E7A2" w14:textId="1CF3F9B0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27.4%</w:t>
            </w:r>
          </w:p>
        </w:tc>
        <w:tc>
          <w:tcPr>
            <w:tcW w:w="1114" w:type="dxa"/>
            <w:noWrap/>
            <w:vAlign w:val="bottom"/>
            <w:hideMark/>
          </w:tcPr>
          <w:p w14:paraId="01311DAD" w14:textId="685E7257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23.0%</w:t>
            </w:r>
          </w:p>
        </w:tc>
        <w:tc>
          <w:tcPr>
            <w:tcW w:w="1236" w:type="dxa"/>
            <w:noWrap/>
            <w:vAlign w:val="bottom"/>
            <w:hideMark/>
          </w:tcPr>
          <w:p w14:paraId="544C3802" w14:textId="09405548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22.3%</w:t>
            </w:r>
          </w:p>
        </w:tc>
        <w:tc>
          <w:tcPr>
            <w:tcW w:w="1134" w:type="dxa"/>
            <w:noWrap/>
            <w:vAlign w:val="bottom"/>
            <w:hideMark/>
          </w:tcPr>
          <w:p w14:paraId="0B0D8D7B" w14:textId="1EFA81F2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24.1%</w:t>
            </w:r>
          </w:p>
        </w:tc>
      </w:tr>
      <w:tr w:rsidR="00C33D7C" w:rsidRPr="003E1B37" w14:paraId="0F808293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732D06EE" w14:textId="44E8E193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2019</w:t>
            </w:r>
          </w:p>
        </w:tc>
        <w:tc>
          <w:tcPr>
            <w:tcW w:w="1113" w:type="dxa"/>
            <w:noWrap/>
            <w:vAlign w:val="bottom"/>
            <w:hideMark/>
          </w:tcPr>
          <w:p w14:paraId="216FBD2B" w14:textId="0E1A4B4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22.9%</w:t>
            </w:r>
          </w:p>
        </w:tc>
        <w:tc>
          <w:tcPr>
            <w:tcW w:w="1114" w:type="dxa"/>
            <w:noWrap/>
            <w:vAlign w:val="bottom"/>
            <w:hideMark/>
          </w:tcPr>
          <w:p w14:paraId="56B8D2E4" w14:textId="085836B4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20.1%</w:t>
            </w:r>
          </w:p>
        </w:tc>
        <w:tc>
          <w:tcPr>
            <w:tcW w:w="1114" w:type="dxa"/>
            <w:noWrap/>
            <w:vAlign w:val="bottom"/>
            <w:hideMark/>
          </w:tcPr>
          <w:p w14:paraId="0B7F5E7B" w14:textId="55763ED8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5.9%</w:t>
            </w:r>
          </w:p>
        </w:tc>
        <w:tc>
          <w:tcPr>
            <w:tcW w:w="1113" w:type="dxa"/>
            <w:noWrap/>
            <w:vAlign w:val="bottom"/>
            <w:hideMark/>
          </w:tcPr>
          <w:p w14:paraId="30584C82" w14:textId="5772D9E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28.0%</w:t>
            </w:r>
          </w:p>
        </w:tc>
        <w:tc>
          <w:tcPr>
            <w:tcW w:w="1114" w:type="dxa"/>
            <w:noWrap/>
            <w:vAlign w:val="bottom"/>
            <w:hideMark/>
          </w:tcPr>
          <w:p w14:paraId="467BD711" w14:textId="421CC919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26.0%</w:t>
            </w:r>
          </w:p>
        </w:tc>
        <w:tc>
          <w:tcPr>
            <w:tcW w:w="1236" w:type="dxa"/>
            <w:noWrap/>
            <w:vAlign w:val="bottom"/>
            <w:hideMark/>
          </w:tcPr>
          <w:p w14:paraId="17F677BA" w14:textId="05A6C558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25.7%</w:t>
            </w:r>
          </w:p>
        </w:tc>
        <w:tc>
          <w:tcPr>
            <w:tcW w:w="1134" w:type="dxa"/>
            <w:noWrap/>
            <w:vAlign w:val="bottom"/>
            <w:hideMark/>
          </w:tcPr>
          <w:p w14:paraId="655BD829" w14:textId="540C5CE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25.0%</w:t>
            </w:r>
          </w:p>
        </w:tc>
      </w:tr>
      <w:tr w:rsidR="00C33D7C" w:rsidRPr="003E1B37" w14:paraId="6D915990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  <w:hideMark/>
          </w:tcPr>
          <w:p w14:paraId="28B96010" w14:textId="759C55D8" w:rsidR="00C33D7C" w:rsidRPr="00C33D7C" w:rsidRDefault="00C33D7C" w:rsidP="00C33D7C">
            <w:pPr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2018</w:t>
            </w:r>
          </w:p>
        </w:tc>
        <w:tc>
          <w:tcPr>
            <w:tcW w:w="1113" w:type="dxa"/>
            <w:noWrap/>
            <w:vAlign w:val="bottom"/>
            <w:hideMark/>
          </w:tcPr>
          <w:p w14:paraId="6AA71A54" w14:textId="6016294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22.8%</w:t>
            </w:r>
          </w:p>
        </w:tc>
        <w:tc>
          <w:tcPr>
            <w:tcW w:w="1114" w:type="dxa"/>
            <w:noWrap/>
            <w:vAlign w:val="bottom"/>
            <w:hideMark/>
          </w:tcPr>
          <w:p w14:paraId="27AA0486" w14:textId="4AC5BBAA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20.8%</w:t>
            </w:r>
          </w:p>
        </w:tc>
        <w:tc>
          <w:tcPr>
            <w:tcW w:w="1114" w:type="dxa"/>
            <w:noWrap/>
            <w:vAlign w:val="bottom"/>
            <w:hideMark/>
          </w:tcPr>
          <w:p w14:paraId="407C53C2" w14:textId="5F8B03EA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5.4%</w:t>
            </w:r>
          </w:p>
        </w:tc>
        <w:tc>
          <w:tcPr>
            <w:tcW w:w="1113" w:type="dxa"/>
            <w:noWrap/>
            <w:vAlign w:val="bottom"/>
            <w:hideMark/>
          </w:tcPr>
          <w:p w14:paraId="7CA61376" w14:textId="7C31C20B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29.1%</w:t>
            </w:r>
          </w:p>
        </w:tc>
        <w:tc>
          <w:tcPr>
            <w:tcW w:w="1114" w:type="dxa"/>
            <w:noWrap/>
            <w:vAlign w:val="bottom"/>
            <w:hideMark/>
          </w:tcPr>
          <w:p w14:paraId="0A459BD8" w14:textId="1664F829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25.3%</w:t>
            </w:r>
          </w:p>
        </w:tc>
        <w:tc>
          <w:tcPr>
            <w:tcW w:w="1236" w:type="dxa"/>
            <w:noWrap/>
            <w:vAlign w:val="bottom"/>
            <w:hideMark/>
          </w:tcPr>
          <w:p w14:paraId="2B785841" w14:textId="6731095C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25.7%</w:t>
            </w:r>
          </w:p>
        </w:tc>
        <w:tc>
          <w:tcPr>
            <w:tcW w:w="1134" w:type="dxa"/>
            <w:noWrap/>
            <w:vAlign w:val="bottom"/>
            <w:hideMark/>
          </w:tcPr>
          <w:p w14:paraId="42DE8496" w14:textId="5C17961A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  <w:lang w:eastAsia="en-GB"/>
              </w:rPr>
            </w:pPr>
            <w:r w:rsidRPr="00C33D7C">
              <w:rPr>
                <w:rFonts w:ascii="Calibri" w:hAnsi="Calibri" w:cs="Calibri"/>
                <w:b/>
                <w:bCs/>
                <w:sz w:val="21"/>
                <w:szCs w:val="21"/>
              </w:rPr>
              <w:t>25.3%</w:t>
            </w:r>
          </w:p>
        </w:tc>
      </w:tr>
      <w:tr w:rsidR="00C33D7C" w:rsidRPr="003E1B37" w14:paraId="5F8A2B83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0DCF9D40" w14:textId="0FE637AB" w:rsidR="00C33D7C" w:rsidRPr="00C33D7C" w:rsidRDefault="00C33D7C" w:rsidP="00C33D7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07 May 2017</w:t>
            </w:r>
          </w:p>
        </w:tc>
        <w:tc>
          <w:tcPr>
            <w:tcW w:w="1113" w:type="dxa"/>
            <w:noWrap/>
            <w:vAlign w:val="bottom"/>
          </w:tcPr>
          <w:p w14:paraId="70D05F90" w14:textId="0DF254E5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22.0%</w:t>
            </w:r>
          </w:p>
        </w:tc>
        <w:tc>
          <w:tcPr>
            <w:tcW w:w="1114" w:type="dxa"/>
            <w:noWrap/>
            <w:vAlign w:val="bottom"/>
          </w:tcPr>
          <w:p w14:paraId="04EF03D0" w14:textId="24AF8A64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22.1%</w:t>
            </w:r>
          </w:p>
        </w:tc>
        <w:tc>
          <w:tcPr>
            <w:tcW w:w="1114" w:type="dxa"/>
            <w:noWrap/>
            <w:vAlign w:val="bottom"/>
          </w:tcPr>
          <w:p w14:paraId="6071F6A3" w14:textId="7D5CF6D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10.5%</w:t>
            </w:r>
          </w:p>
        </w:tc>
        <w:tc>
          <w:tcPr>
            <w:tcW w:w="1113" w:type="dxa"/>
            <w:noWrap/>
            <w:vAlign w:val="bottom"/>
          </w:tcPr>
          <w:p w14:paraId="0F0FAE46" w14:textId="72759D9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29.5%</w:t>
            </w:r>
          </w:p>
        </w:tc>
        <w:tc>
          <w:tcPr>
            <w:tcW w:w="1114" w:type="dxa"/>
            <w:noWrap/>
            <w:vAlign w:val="bottom"/>
          </w:tcPr>
          <w:p w14:paraId="679D6BD9" w14:textId="252CB39B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24.2%</w:t>
            </w:r>
          </w:p>
        </w:tc>
        <w:tc>
          <w:tcPr>
            <w:tcW w:w="1236" w:type="dxa"/>
            <w:noWrap/>
            <w:vAlign w:val="bottom"/>
          </w:tcPr>
          <w:p w14:paraId="1D3F5B6C" w14:textId="3EF308DE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sz w:val="21"/>
                <w:szCs w:val="21"/>
              </w:rPr>
              <w:t>25.6%</w:t>
            </w:r>
          </w:p>
        </w:tc>
        <w:tc>
          <w:tcPr>
            <w:tcW w:w="1134" w:type="dxa"/>
            <w:noWrap/>
            <w:vAlign w:val="bottom"/>
          </w:tcPr>
          <w:p w14:paraId="22A2EDD1" w14:textId="0CA7F209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33D7C">
              <w:rPr>
                <w:rFonts w:ascii="Calibri" w:hAnsi="Calibri" w:cs="Calibri"/>
                <w:b/>
                <w:bCs/>
                <w:sz w:val="21"/>
                <w:szCs w:val="21"/>
              </w:rPr>
              <w:t>24.2%</w:t>
            </w:r>
          </w:p>
        </w:tc>
      </w:tr>
      <w:tr w:rsidR="00C33D7C" w:rsidRPr="003E1B37" w14:paraId="7C0765C3" w14:textId="77777777" w:rsidTr="003E1B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88D4D02" w14:textId="21FCFE64" w:rsidR="00C33D7C" w:rsidRPr="00C33D7C" w:rsidRDefault="00C33D7C" w:rsidP="00C33D7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 April 2016</w:t>
            </w:r>
          </w:p>
        </w:tc>
        <w:tc>
          <w:tcPr>
            <w:tcW w:w="1113" w:type="dxa"/>
            <w:noWrap/>
            <w:vAlign w:val="bottom"/>
          </w:tcPr>
          <w:p w14:paraId="0FD02CC2" w14:textId="01B801DF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23.6%</w:t>
            </w:r>
          </w:p>
        </w:tc>
        <w:tc>
          <w:tcPr>
            <w:tcW w:w="1114" w:type="dxa"/>
            <w:noWrap/>
            <w:vAlign w:val="bottom"/>
          </w:tcPr>
          <w:p w14:paraId="4051B896" w14:textId="0B2C7CB1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20.7%</w:t>
            </w:r>
          </w:p>
        </w:tc>
        <w:tc>
          <w:tcPr>
            <w:tcW w:w="1114" w:type="dxa"/>
            <w:noWrap/>
            <w:vAlign w:val="bottom"/>
          </w:tcPr>
          <w:p w14:paraId="1A232F7B" w14:textId="44B83A04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6.3%</w:t>
            </w:r>
          </w:p>
        </w:tc>
        <w:tc>
          <w:tcPr>
            <w:tcW w:w="1113" w:type="dxa"/>
            <w:noWrap/>
            <w:vAlign w:val="bottom"/>
          </w:tcPr>
          <w:p w14:paraId="52E1451E" w14:textId="6A968043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30.2%</w:t>
            </w:r>
          </w:p>
        </w:tc>
        <w:tc>
          <w:tcPr>
            <w:tcW w:w="1114" w:type="dxa"/>
            <w:noWrap/>
            <w:vAlign w:val="bottom"/>
          </w:tcPr>
          <w:p w14:paraId="27257C06" w14:textId="2AC36C93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25.5%</w:t>
            </w:r>
          </w:p>
        </w:tc>
        <w:tc>
          <w:tcPr>
            <w:tcW w:w="1236" w:type="dxa"/>
            <w:noWrap/>
            <w:vAlign w:val="bottom"/>
          </w:tcPr>
          <w:p w14:paraId="6413A9C6" w14:textId="2628FBE6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C33D7C">
              <w:rPr>
                <w:rFonts w:ascii="Calibri" w:hAnsi="Calibri" w:cs="Calibri"/>
                <w:color w:val="000000"/>
                <w:sz w:val="21"/>
                <w:szCs w:val="21"/>
              </w:rPr>
              <w:t>27.8%</w:t>
            </w:r>
          </w:p>
        </w:tc>
        <w:tc>
          <w:tcPr>
            <w:tcW w:w="1134" w:type="dxa"/>
            <w:noWrap/>
            <w:vAlign w:val="bottom"/>
          </w:tcPr>
          <w:p w14:paraId="61650897" w14:textId="0D547EC0" w:rsidR="00C33D7C" w:rsidRPr="00C33D7C" w:rsidRDefault="00C33D7C" w:rsidP="00C33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33D7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24.8%</w:t>
            </w:r>
          </w:p>
        </w:tc>
      </w:tr>
    </w:tbl>
    <w:p w14:paraId="48705CA9" w14:textId="55200F70" w:rsidR="009443D3" w:rsidRDefault="009443D3" w:rsidP="00956354">
      <w:r>
        <w:rPr>
          <w:i/>
          <w:sz w:val="20"/>
          <w:szCs w:val="20"/>
        </w:rPr>
        <w:t xml:space="preserve">Table 2: City/town centre non-domestic property vacancy rates between </w:t>
      </w:r>
      <w:r w:rsidR="00C33D7C">
        <w:rPr>
          <w:i/>
          <w:sz w:val="20"/>
          <w:szCs w:val="20"/>
        </w:rPr>
        <w:t>30</w:t>
      </w:r>
      <w:r w:rsidR="00C33D7C" w:rsidRPr="00C33D7C">
        <w:rPr>
          <w:i/>
          <w:sz w:val="20"/>
          <w:szCs w:val="20"/>
          <w:vertAlign w:val="superscript"/>
        </w:rPr>
        <w:t>th</w:t>
      </w:r>
      <w:r w:rsidR="00C33D7C">
        <w:rPr>
          <w:i/>
          <w:sz w:val="20"/>
          <w:szCs w:val="20"/>
        </w:rPr>
        <w:t xml:space="preserve"> April</w:t>
      </w:r>
      <w:r w:rsidR="00A2478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2016 and </w:t>
      </w:r>
      <w:r w:rsidR="00A24783">
        <w:rPr>
          <w:i/>
          <w:sz w:val="20"/>
          <w:szCs w:val="20"/>
        </w:rPr>
        <w:t>3</w:t>
      </w:r>
      <w:r w:rsidR="00C33D7C">
        <w:rPr>
          <w:i/>
          <w:sz w:val="20"/>
          <w:szCs w:val="20"/>
        </w:rPr>
        <w:t>0</w:t>
      </w:r>
      <w:r w:rsidR="00C33D7C" w:rsidRPr="00C33D7C">
        <w:rPr>
          <w:i/>
          <w:sz w:val="20"/>
          <w:szCs w:val="20"/>
          <w:vertAlign w:val="superscript"/>
        </w:rPr>
        <w:t>th</w:t>
      </w:r>
      <w:r w:rsidR="00C33D7C">
        <w:rPr>
          <w:i/>
          <w:sz w:val="20"/>
          <w:szCs w:val="20"/>
        </w:rPr>
        <w:t xml:space="preserve"> April</w:t>
      </w:r>
      <w:r w:rsidR="00A2478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202</w:t>
      </w:r>
      <w:r w:rsidR="00D15510">
        <w:rPr>
          <w:i/>
          <w:sz w:val="20"/>
          <w:szCs w:val="20"/>
        </w:rPr>
        <w:t>6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Land and Property Services via Town Centre Database, Department for Communities</w:t>
      </w:r>
      <w:r w:rsidRPr="002A2185">
        <w:rPr>
          <w:i/>
          <w:sz w:val="20"/>
          <w:szCs w:val="20"/>
        </w:rPr>
        <w:t>.</w:t>
      </w:r>
    </w:p>
    <w:p w14:paraId="1D0DEA38" w14:textId="77777777" w:rsidR="009443D3" w:rsidRDefault="009443D3" w:rsidP="00956354"/>
    <w:p w14:paraId="48F6F2E0" w14:textId="332BEE51" w:rsidR="0002582D" w:rsidRDefault="00C51627" w:rsidP="00AA2364">
      <w:r>
        <w:t xml:space="preserve">Of the 41 towns and cities contained within the Town Centre </w:t>
      </w:r>
      <w:r w:rsidR="00936C9E">
        <w:t xml:space="preserve">Database, Dromore </w:t>
      </w:r>
      <w:r w:rsidR="0002582D">
        <w:t xml:space="preserve">currently </w:t>
      </w:r>
      <w:r w:rsidR="00936C9E">
        <w:t xml:space="preserve">has the </w:t>
      </w:r>
      <w:r w:rsidR="00D15510">
        <w:t>fourth</w:t>
      </w:r>
      <w:r w:rsidR="00936C9E">
        <w:t xml:space="preserve"> </w:t>
      </w:r>
      <w:r>
        <w:t>highest</w:t>
      </w:r>
      <w:r w:rsidR="00AA2364">
        <w:t xml:space="preserve"> non-domestic property vacancy rate</w:t>
      </w:r>
      <w:r w:rsidR="004E798D">
        <w:t xml:space="preserve"> as </w:t>
      </w:r>
      <w:proofErr w:type="gramStart"/>
      <w:r w:rsidR="004E798D">
        <w:t>at</w:t>
      </w:r>
      <w:proofErr w:type="gramEnd"/>
      <w:r w:rsidR="004E798D">
        <w:t xml:space="preserve"> </w:t>
      </w:r>
      <w:r w:rsidR="00C33D7C">
        <w:t>30</w:t>
      </w:r>
      <w:r w:rsidR="00C33D7C" w:rsidRPr="00C33D7C">
        <w:rPr>
          <w:vertAlign w:val="superscript"/>
        </w:rPr>
        <w:t>th</w:t>
      </w:r>
      <w:r w:rsidR="00C33D7C">
        <w:t xml:space="preserve"> April 202</w:t>
      </w:r>
      <w:r w:rsidR="00D15510">
        <w:t>6</w:t>
      </w:r>
      <w:r>
        <w:t xml:space="preserve">. </w:t>
      </w:r>
      <w:r w:rsidR="00B445E3">
        <w:t xml:space="preserve"> </w:t>
      </w:r>
      <w:r w:rsidR="00936C9E">
        <w:t>Portadown</w:t>
      </w:r>
      <w:r w:rsidR="00663F9F">
        <w:t xml:space="preserve"> </w:t>
      </w:r>
      <w:r w:rsidR="00A24783">
        <w:t xml:space="preserve">is currently the </w:t>
      </w:r>
      <w:r w:rsidR="00D15510">
        <w:t>sixteenth</w:t>
      </w:r>
      <w:r w:rsidR="00663F9F">
        <w:t xml:space="preserve"> </w:t>
      </w:r>
      <w:r w:rsidR="00A24783">
        <w:t>highest while</w:t>
      </w:r>
      <w:r w:rsidR="00AA2364">
        <w:t xml:space="preserve"> Craigavon has the</w:t>
      </w:r>
      <w:r w:rsidR="00936C9E">
        <w:t xml:space="preserve"> </w:t>
      </w:r>
      <w:r w:rsidR="0002582D">
        <w:t>s</w:t>
      </w:r>
      <w:r w:rsidR="00D15510">
        <w:t>ixth</w:t>
      </w:r>
      <w:r w:rsidR="00AA2364">
        <w:t xml:space="preserve"> lowest vacancy rate of the 41 towns and cities</w:t>
      </w:r>
      <w:r w:rsidR="00663F9F">
        <w:t xml:space="preserve"> at </w:t>
      </w:r>
      <w:r w:rsidR="00D15510">
        <w:t>11.9</w:t>
      </w:r>
      <w:r w:rsidR="00663F9F">
        <w:t>%</w:t>
      </w:r>
      <w:r w:rsidR="00AA2364">
        <w:t>.</w:t>
      </w:r>
      <w:r w:rsidR="00CA23AC">
        <w:t xml:space="preserve"> </w:t>
      </w:r>
      <w:r w:rsidR="0002582D">
        <w:t xml:space="preserve"> The town centre vacancy rates in all towns and cities in the </w:t>
      </w:r>
      <w:r w:rsidR="007077E8">
        <w:t>Borough</w:t>
      </w:r>
      <w:r w:rsidR="0002582D">
        <w:t xml:space="preserve">, except Dromore, fall below the Northern Ireland average. </w:t>
      </w:r>
    </w:p>
    <w:p w14:paraId="5D4DE07D" w14:textId="5633E1CE" w:rsidR="00AA2364" w:rsidRPr="00AA2364" w:rsidRDefault="00D15510" w:rsidP="00AA2364">
      <w:r>
        <w:rPr>
          <w:noProof/>
        </w:rPr>
        <w:drawing>
          <wp:inline distT="0" distB="0" distL="0" distR="0" wp14:anchorId="01BF11C4" wp14:editId="1A194334">
            <wp:extent cx="5731510" cy="3295015"/>
            <wp:effectExtent l="0" t="0" r="2540" b="635"/>
            <wp:docPr id="2913056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2B1F3D-7167-4498-A458-912B501EE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i/>
          <w:sz w:val="20"/>
          <w:szCs w:val="20"/>
        </w:rPr>
        <w:t xml:space="preserve"> </w:t>
      </w:r>
      <w:r w:rsidR="00C07F07">
        <w:rPr>
          <w:i/>
          <w:sz w:val="20"/>
          <w:szCs w:val="20"/>
        </w:rPr>
        <w:t xml:space="preserve">Figure 2: </w:t>
      </w:r>
      <w:r w:rsidR="00AA2364">
        <w:rPr>
          <w:i/>
          <w:sz w:val="20"/>
          <w:szCs w:val="20"/>
        </w:rPr>
        <w:t>City/town centre non-domestic</w:t>
      </w:r>
      <w:r w:rsidR="007D43A5">
        <w:rPr>
          <w:i/>
          <w:sz w:val="20"/>
          <w:szCs w:val="20"/>
        </w:rPr>
        <w:t xml:space="preserve"> property vacancy rates as </w:t>
      </w:r>
      <w:proofErr w:type="gramStart"/>
      <w:r w:rsidR="007D43A5">
        <w:rPr>
          <w:i/>
          <w:sz w:val="20"/>
          <w:szCs w:val="20"/>
        </w:rPr>
        <w:t>at</w:t>
      </w:r>
      <w:proofErr w:type="gramEnd"/>
      <w:r w:rsidR="007D43A5">
        <w:rPr>
          <w:i/>
          <w:sz w:val="20"/>
          <w:szCs w:val="20"/>
        </w:rPr>
        <w:t xml:space="preserve"> </w:t>
      </w:r>
      <w:r w:rsidR="00C11AEB">
        <w:rPr>
          <w:i/>
          <w:sz w:val="20"/>
          <w:szCs w:val="20"/>
        </w:rPr>
        <w:t>30</w:t>
      </w:r>
      <w:r w:rsidR="00C11AEB" w:rsidRPr="00C11AEB">
        <w:rPr>
          <w:i/>
          <w:sz w:val="20"/>
          <w:szCs w:val="20"/>
          <w:vertAlign w:val="superscript"/>
        </w:rPr>
        <w:t>th</w:t>
      </w:r>
      <w:r w:rsidR="00C11AEB">
        <w:rPr>
          <w:i/>
          <w:sz w:val="20"/>
          <w:szCs w:val="20"/>
        </w:rPr>
        <w:t xml:space="preserve"> April</w:t>
      </w:r>
      <w:r w:rsidR="00A24783">
        <w:rPr>
          <w:i/>
          <w:sz w:val="20"/>
          <w:szCs w:val="20"/>
        </w:rPr>
        <w:t xml:space="preserve"> </w:t>
      </w:r>
      <w:r w:rsidR="0002582D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6</w:t>
      </w:r>
      <w:r w:rsidR="00AA2364" w:rsidRPr="002A2185">
        <w:rPr>
          <w:i/>
          <w:sz w:val="20"/>
          <w:szCs w:val="20"/>
        </w:rPr>
        <w:t>. Source:</w:t>
      </w:r>
      <w:r w:rsidR="00AA2364">
        <w:rPr>
          <w:i/>
          <w:sz w:val="20"/>
          <w:szCs w:val="20"/>
        </w:rPr>
        <w:t xml:space="preserve"> Land and Property Services via Town Centre Database, Department for Communities</w:t>
      </w:r>
      <w:r w:rsidR="00AA2364" w:rsidRPr="002A2185">
        <w:rPr>
          <w:i/>
          <w:sz w:val="20"/>
          <w:szCs w:val="20"/>
        </w:rPr>
        <w:t>.</w:t>
      </w:r>
      <w:r w:rsidR="00AA2364">
        <w:rPr>
          <w:i/>
          <w:sz w:val="20"/>
          <w:szCs w:val="20"/>
        </w:rPr>
        <w:t xml:space="preserve"> </w:t>
      </w:r>
    </w:p>
    <w:p w14:paraId="0FA9FF11" w14:textId="77777777" w:rsidR="00AA2364" w:rsidRDefault="00AA2364" w:rsidP="00956354">
      <w:r>
        <w:t>Further information on town centre vacancy rates can be found via the following link:</w:t>
      </w:r>
    </w:p>
    <w:p w14:paraId="07AAF8FC" w14:textId="77777777" w:rsidR="00C51627" w:rsidRPr="00956354" w:rsidRDefault="00AA2364" w:rsidP="00956354">
      <w:hyperlink r:id="rId9" w:history="1">
        <w:r>
          <w:rPr>
            <w:rStyle w:val="Hyperlink"/>
          </w:rPr>
          <w:t>https://www.communities-ni.gov.uk/publications/town-centre-database</w:t>
        </w:r>
      </w:hyperlink>
    </w:p>
    <w:sectPr w:rsidR="00C51627" w:rsidRPr="0095635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0052" w14:textId="77777777" w:rsidR="00CA5D2B" w:rsidRDefault="00CA5D2B" w:rsidP="00C07F07">
      <w:pPr>
        <w:spacing w:after="0" w:line="240" w:lineRule="auto"/>
      </w:pPr>
      <w:r>
        <w:separator/>
      </w:r>
    </w:p>
  </w:endnote>
  <w:endnote w:type="continuationSeparator" w:id="0">
    <w:p w14:paraId="06F333F9" w14:textId="77777777" w:rsidR="00CA5D2B" w:rsidRDefault="00CA5D2B" w:rsidP="00C0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315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ADAEB" w14:textId="77777777" w:rsidR="00C07F07" w:rsidRDefault="00C07F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D47B5" w14:textId="77777777" w:rsidR="00C07F07" w:rsidRDefault="00C07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5C49" w14:textId="77777777" w:rsidR="00CA5D2B" w:rsidRDefault="00CA5D2B" w:rsidP="00C07F07">
      <w:pPr>
        <w:spacing w:after="0" w:line="240" w:lineRule="auto"/>
      </w:pPr>
      <w:r>
        <w:separator/>
      </w:r>
    </w:p>
  </w:footnote>
  <w:footnote w:type="continuationSeparator" w:id="0">
    <w:p w14:paraId="07AB6799" w14:textId="77777777" w:rsidR="00CA5D2B" w:rsidRDefault="00CA5D2B" w:rsidP="00C07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56"/>
    <w:rsid w:val="0002582D"/>
    <w:rsid w:val="00053D6F"/>
    <w:rsid w:val="00095AEC"/>
    <w:rsid w:val="000D3FA8"/>
    <w:rsid w:val="000D7305"/>
    <w:rsid w:val="0011217B"/>
    <w:rsid w:val="00133F7C"/>
    <w:rsid w:val="00136313"/>
    <w:rsid w:val="00161297"/>
    <w:rsid w:val="00163756"/>
    <w:rsid w:val="00164911"/>
    <w:rsid w:val="001C3C76"/>
    <w:rsid w:val="00240EE9"/>
    <w:rsid w:val="00255460"/>
    <w:rsid w:val="00260F55"/>
    <w:rsid w:val="0027097C"/>
    <w:rsid w:val="003471C0"/>
    <w:rsid w:val="00354B28"/>
    <w:rsid w:val="0035789F"/>
    <w:rsid w:val="00374AD9"/>
    <w:rsid w:val="003975ED"/>
    <w:rsid w:val="003B1F7B"/>
    <w:rsid w:val="003C5BF3"/>
    <w:rsid w:val="003E1B37"/>
    <w:rsid w:val="004137D6"/>
    <w:rsid w:val="004172DA"/>
    <w:rsid w:val="004239CA"/>
    <w:rsid w:val="00475402"/>
    <w:rsid w:val="004E798D"/>
    <w:rsid w:val="00521FC0"/>
    <w:rsid w:val="00595145"/>
    <w:rsid w:val="005A6091"/>
    <w:rsid w:val="005A6B8B"/>
    <w:rsid w:val="005B3358"/>
    <w:rsid w:val="005C2415"/>
    <w:rsid w:val="005D4F3B"/>
    <w:rsid w:val="005F39C7"/>
    <w:rsid w:val="005F615D"/>
    <w:rsid w:val="00663F9F"/>
    <w:rsid w:val="007077E8"/>
    <w:rsid w:val="0074262E"/>
    <w:rsid w:val="007D43A5"/>
    <w:rsid w:val="00802D52"/>
    <w:rsid w:val="00807126"/>
    <w:rsid w:val="008A3B82"/>
    <w:rsid w:val="008C1BA5"/>
    <w:rsid w:val="008F7B50"/>
    <w:rsid w:val="00936C9E"/>
    <w:rsid w:val="009443D3"/>
    <w:rsid w:val="00956354"/>
    <w:rsid w:val="00980495"/>
    <w:rsid w:val="009C0905"/>
    <w:rsid w:val="00A02E53"/>
    <w:rsid w:val="00A24783"/>
    <w:rsid w:val="00A61EAC"/>
    <w:rsid w:val="00A71ECF"/>
    <w:rsid w:val="00AA2364"/>
    <w:rsid w:val="00AB0D40"/>
    <w:rsid w:val="00AF041A"/>
    <w:rsid w:val="00B445E3"/>
    <w:rsid w:val="00C07F07"/>
    <w:rsid w:val="00C11AEB"/>
    <w:rsid w:val="00C33D7C"/>
    <w:rsid w:val="00C51627"/>
    <w:rsid w:val="00CA23AC"/>
    <w:rsid w:val="00CA5D2B"/>
    <w:rsid w:val="00D11E50"/>
    <w:rsid w:val="00D15510"/>
    <w:rsid w:val="00D44BA1"/>
    <w:rsid w:val="00D47A51"/>
    <w:rsid w:val="00D71F6B"/>
    <w:rsid w:val="00DD2CED"/>
    <w:rsid w:val="00DD44F4"/>
    <w:rsid w:val="00DE0A7D"/>
    <w:rsid w:val="00DF6D63"/>
    <w:rsid w:val="00E60A23"/>
    <w:rsid w:val="00EB4ADC"/>
    <w:rsid w:val="00ED387B"/>
    <w:rsid w:val="00F05DE3"/>
    <w:rsid w:val="00F2398A"/>
    <w:rsid w:val="00F27F82"/>
    <w:rsid w:val="00F72D45"/>
    <w:rsid w:val="00FA37E3"/>
    <w:rsid w:val="00FD1406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61EC"/>
  <w15:chartTrackingRefBased/>
  <w15:docId w15:val="{02E1B8DA-A8E0-42A4-A4F1-3F0DD5E4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23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07"/>
  </w:style>
  <w:style w:type="paragraph" w:styleId="Footer">
    <w:name w:val="footer"/>
    <w:basedOn w:val="Normal"/>
    <w:link w:val="FooterChar"/>
    <w:uiPriority w:val="99"/>
    <w:unhideWhenUsed/>
    <w:rsid w:val="00C07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7"/>
  </w:style>
  <w:style w:type="character" w:styleId="FollowedHyperlink">
    <w:name w:val="FollowedHyperlink"/>
    <w:basedOn w:val="DefaultParagraphFont"/>
    <w:uiPriority w:val="99"/>
    <w:semiHidden/>
    <w:unhideWhenUsed/>
    <w:rsid w:val="0011217B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D71F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25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munities-ni.gov.uk/publications/town-centre-databas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5\Town%20Centre%20Vacancy%20Rates%201808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conomy%20and%20Labour%20Market\Updates\2025\Town%20Centre%20Vacancy%20Rates%201808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'300426 Tables'!$C$13</c:f>
              <c:strCache>
                <c:ptCount val="1"/>
                <c:pt idx="0">
                  <c:v>% of Vacant Properties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'300426 Tables'!$B$14:$B$19</c:f>
              <c:strCache>
                <c:ptCount val="6"/>
                <c:pt idx="0">
                  <c:v>Dromore</c:v>
                </c:pt>
                <c:pt idx="1">
                  <c:v>Portadown</c:v>
                </c:pt>
                <c:pt idx="2">
                  <c:v>Lurgan</c:v>
                </c:pt>
                <c:pt idx="3">
                  <c:v>Armagh</c:v>
                </c:pt>
                <c:pt idx="4">
                  <c:v>Banbridge</c:v>
                </c:pt>
                <c:pt idx="5">
                  <c:v>Craigavon</c:v>
                </c:pt>
              </c:strCache>
            </c:strRef>
          </c:cat>
          <c:val>
            <c:numRef>
              <c:f>'300426 Tables'!$C$14:$C$19</c:f>
              <c:numCache>
                <c:formatCode>0.0%</c:formatCode>
                <c:ptCount val="6"/>
                <c:pt idx="0">
                  <c:v>0.246</c:v>
                </c:pt>
                <c:pt idx="1">
                  <c:v>0.191</c:v>
                </c:pt>
                <c:pt idx="2">
                  <c:v>0.18762475049900199</c:v>
                </c:pt>
                <c:pt idx="3">
                  <c:v>0.17499999999999999</c:v>
                </c:pt>
                <c:pt idx="4">
                  <c:v>0.161</c:v>
                </c:pt>
                <c:pt idx="5">
                  <c:v>0.11899999999999999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8F-429E-9058-12E05A911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694672239"/>
        <c:axId val="1"/>
      </c:barChart>
      <c:catAx>
        <c:axId val="1694672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467223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'300426 Tables'!$P$43</c:f>
              <c:strCache>
                <c:ptCount val="1"/>
                <c:pt idx="0">
                  <c:v>% of Vacant Properties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Pt>
            <c:idx val="3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D8EC-485D-8029-6379A81B2527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8EC-485D-8029-6379A81B2527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8EC-485D-8029-6379A81B2527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D8EC-485D-8029-6379A81B2527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8EC-485D-8029-6379A81B2527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B-D8EC-485D-8029-6379A81B2527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D-D8EC-485D-8029-6379A81B2527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8EC-485D-8029-6379A81B2527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8EC-485D-8029-6379A81B2527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3-D8EC-485D-8029-6379A81B2527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D8EC-485D-8029-6379A81B2527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7-D8EC-485D-8029-6379A81B2527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D8EC-485D-8029-6379A81B2527}"/>
              </c:ext>
            </c:extLst>
          </c:dPt>
          <c:cat>
            <c:strRef>
              <c:f>'300426 Tables'!$O$44:$O$85</c:f>
              <c:strCache>
                <c:ptCount val="42"/>
                <c:pt idx="0">
                  <c:v>BELFAST CITY</c:v>
                </c:pt>
                <c:pt idx="1">
                  <c:v>COALISLAND</c:v>
                </c:pt>
                <c:pt idx="2">
                  <c:v>RANDALSTOWN</c:v>
                </c:pt>
                <c:pt idx="3">
                  <c:v>DROMORE</c:v>
                </c:pt>
                <c:pt idx="4">
                  <c:v>LARNE</c:v>
                </c:pt>
                <c:pt idx="5">
                  <c:v>NEWRY</c:v>
                </c:pt>
                <c:pt idx="6">
                  <c:v>STRABANE</c:v>
                </c:pt>
                <c:pt idx="7">
                  <c:v>KILKEEL</c:v>
                </c:pt>
                <c:pt idx="8">
                  <c:v>BANGOR</c:v>
                </c:pt>
                <c:pt idx="9">
                  <c:v>NEWTOWNARDS</c:v>
                </c:pt>
                <c:pt idx="10">
                  <c:v>NORTHERN IRELAND</c:v>
                </c:pt>
                <c:pt idx="11">
                  <c:v>COLERAINE</c:v>
                </c:pt>
                <c:pt idx="12">
                  <c:v>LISBURN CITY</c:v>
                </c:pt>
                <c:pt idx="13">
                  <c:v>DOWNPATRICK</c:v>
                </c:pt>
                <c:pt idx="14">
                  <c:v>ANTRIM</c:v>
                </c:pt>
                <c:pt idx="15">
                  <c:v>PORTADOWN</c:v>
                </c:pt>
                <c:pt idx="16">
                  <c:v>DUNGANNON</c:v>
                </c:pt>
                <c:pt idx="17">
                  <c:v>COOKSTOWN</c:v>
                </c:pt>
                <c:pt idx="18">
                  <c:v>BALLYMONEY</c:v>
                </c:pt>
                <c:pt idx="19">
                  <c:v>LURGAN</c:v>
                </c:pt>
                <c:pt idx="20">
                  <c:v>OMAGH</c:v>
                </c:pt>
                <c:pt idx="21">
                  <c:v>DERRY</c:v>
                </c:pt>
                <c:pt idx="22">
                  <c:v>WARRENPOINT / BURREN</c:v>
                </c:pt>
                <c:pt idx="23">
                  <c:v>CRUMLIN</c:v>
                </c:pt>
                <c:pt idx="24">
                  <c:v>ARMAGH</c:v>
                </c:pt>
                <c:pt idx="25">
                  <c:v>BALLYMENA</c:v>
                </c:pt>
                <c:pt idx="26">
                  <c:v>ENNISKILLEN</c:v>
                </c:pt>
                <c:pt idx="27">
                  <c:v>LIMAVADY</c:v>
                </c:pt>
                <c:pt idx="28">
                  <c:v>BALLYCASTLE</c:v>
                </c:pt>
                <c:pt idx="29">
                  <c:v>BANBRIDGE</c:v>
                </c:pt>
                <c:pt idx="30">
                  <c:v>BALLYNAHINCH</c:v>
                </c:pt>
                <c:pt idx="31">
                  <c:v>CARRICKFERGUS</c:v>
                </c:pt>
                <c:pt idx="32">
                  <c:v>PORTSTEWART</c:v>
                </c:pt>
                <c:pt idx="33">
                  <c:v>COMBER</c:v>
                </c:pt>
                <c:pt idx="34">
                  <c:v>NEWCASTLE</c:v>
                </c:pt>
                <c:pt idx="35">
                  <c:v>DONAGHADEE</c:v>
                </c:pt>
                <c:pt idx="36">
                  <c:v>CRAIGAVON</c:v>
                </c:pt>
                <c:pt idx="37">
                  <c:v>MAGHERAFELT</c:v>
                </c:pt>
                <c:pt idx="38">
                  <c:v>PORTRUSH</c:v>
                </c:pt>
                <c:pt idx="39">
                  <c:v>BALLYCLARE</c:v>
                </c:pt>
                <c:pt idx="40">
                  <c:v>HOLYWOOD</c:v>
                </c:pt>
                <c:pt idx="41">
                  <c:v>CARRYDUFF</c:v>
                </c:pt>
              </c:strCache>
            </c:strRef>
          </c:cat>
          <c:val>
            <c:numRef>
              <c:f>'300426 Tables'!$P$44:$P$85</c:f>
              <c:numCache>
                <c:formatCode>0.0%</c:formatCode>
                <c:ptCount val="42"/>
                <c:pt idx="0">
                  <c:v>0.3129191669608189</c:v>
                </c:pt>
                <c:pt idx="1">
                  <c:v>0.27941176470588236</c:v>
                </c:pt>
                <c:pt idx="2">
                  <c:v>0.2734375</c:v>
                </c:pt>
                <c:pt idx="3">
                  <c:v>0.24603174603174602</c:v>
                </c:pt>
                <c:pt idx="4">
                  <c:v>0.24093264248704663</c:v>
                </c:pt>
                <c:pt idx="5">
                  <c:v>0.22769230769230769</c:v>
                </c:pt>
                <c:pt idx="6">
                  <c:v>0.22379603399433429</c:v>
                </c:pt>
                <c:pt idx="7">
                  <c:v>0.22279792746113988</c:v>
                </c:pt>
                <c:pt idx="8">
                  <c:v>0.21987951807228914</c:v>
                </c:pt>
                <c:pt idx="9">
                  <c:v>0.21973929236499068</c:v>
                </c:pt>
                <c:pt idx="10">
                  <c:v>0.21912091988130564</c:v>
                </c:pt>
                <c:pt idx="11">
                  <c:v>0.21294964028776978</c:v>
                </c:pt>
                <c:pt idx="12">
                  <c:v>0.20715166461159062</c:v>
                </c:pt>
                <c:pt idx="13">
                  <c:v>0.2048611111111111</c:v>
                </c:pt>
                <c:pt idx="14">
                  <c:v>0.19536423841059603</c:v>
                </c:pt>
                <c:pt idx="15">
                  <c:v>0.1913946587537092</c:v>
                </c:pt>
                <c:pt idx="16">
                  <c:v>0.19126819126819128</c:v>
                </c:pt>
                <c:pt idx="17">
                  <c:v>0.19023136246786632</c:v>
                </c:pt>
                <c:pt idx="18">
                  <c:v>0.18909090909090909</c:v>
                </c:pt>
                <c:pt idx="19">
                  <c:v>0.18762475049900199</c:v>
                </c:pt>
                <c:pt idx="20">
                  <c:v>0.18651362984218078</c:v>
                </c:pt>
                <c:pt idx="21">
                  <c:v>0.18348082595870208</c:v>
                </c:pt>
                <c:pt idx="22">
                  <c:v>0.18041237113402062</c:v>
                </c:pt>
                <c:pt idx="23">
                  <c:v>0.18</c:v>
                </c:pt>
                <c:pt idx="24">
                  <c:v>0.17543859649122806</c:v>
                </c:pt>
                <c:pt idx="25">
                  <c:v>0.17473118279569894</c:v>
                </c:pt>
                <c:pt idx="26">
                  <c:v>0.16941529235382308</c:v>
                </c:pt>
                <c:pt idx="27">
                  <c:v>0.16901408450704225</c:v>
                </c:pt>
                <c:pt idx="28">
                  <c:v>0.16352201257861634</c:v>
                </c:pt>
                <c:pt idx="29">
                  <c:v>0.16091954022988506</c:v>
                </c:pt>
                <c:pt idx="30">
                  <c:v>0.15384615384615385</c:v>
                </c:pt>
                <c:pt idx="31">
                  <c:v>0.14790996784565916</c:v>
                </c:pt>
                <c:pt idx="32">
                  <c:v>0.14705882352941177</c:v>
                </c:pt>
                <c:pt idx="33">
                  <c:v>0.14615384615384616</c:v>
                </c:pt>
                <c:pt idx="34">
                  <c:v>0.1222707423580786</c:v>
                </c:pt>
                <c:pt idx="35">
                  <c:v>0.12173913043478261</c:v>
                </c:pt>
                <c:pt idx="36">
                  <c:v>0.11926605504587157</c:v>
                </c:pt>
                <c:pt idx="37">
                  <c:v>0.10643564356435643</c:v>
                </c:pt>
                <c:pt idx="38">
                  <c:v>9.1603053435114504E-2</c:v>
                </c:pt>
                <c:pt idx="39">
                  <c:v>8.8669950738916259E-2</c:v>
                </c:pt>
                <c:pt idx="40">
                  <c:v>7.4433656957928807E-2</c:v>
                </c:pt>
                <c:pt idx="41">
                  <c:v>6.3829787234042548E-2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D8EC-485D-8029-6379A81B2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1694658799"/>
        <c:axId val="1"/>
      </c:barChart>
      <c:catAx>
        <c:axId val="169465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946587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C2DB-93E3-41C0-9937-0F2C3C1B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2798</Characters>
  <Application>Microsoft Office Word</Application>
  <DocSecurity>4</DocSecurity>
  <Lines>166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2</cp:revision>
  <cp:lastPrinted>2025-08-19T08:21:00Z</cp:lastPrinted>
  <dcterms:created xsi:type="dcterms:W3CDTF">2026-06-15T14:00:00Z</dcterms:created>
  <dcterms:modified xsi:type="dcterms:W3CDTF">2026-06-15T14:00:00Z</dcterms:modified>
</cp:coreProperties>
</file>