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C564" w14:textId="0E7ABCFF" w:rsidR="00C17259" w:rsidRPr="004C515E" w:rsidRDefault="00710A1A">
      <w:pPr>
        <w:rPr>
          <w:b/>
        </w:rPr>
      </w:pPr>
      <w:r w:rsidRPr="004C515E">
        <w:rPr>
          <w:b/>
        </w:rPr>
        <w:t>Life Expectancy and Death Rates</w:t>
      </w:r>
    </w:p>
    <w:p w14:paraId="3FAD3DF5" w14:textId="5700EB85" w:rsidR="008C3787" w:rsidRPr="007A1305" w:rsidRDefault="008C3787" w:rsidP="008C513E">
      <w:pPr>
        <w:rPr>
          <w:color w:val="FF0000"/>
        </w:rPr>
      </w:pPr>
      <w:r w:rsidRPr="007B6DC1">
        <w:t>The</w:t>
      </w:r>
      <w:r w:rsidR="006D6ECA" w:rsidRPr="007B6DC1">
        <w:t xml:space="preserve"> life expectancy at birth in Armagh City, Banbridge and Craigavon </w:t>
      </w:r>
      <w:r w:rsidR="0003078F" w:rsidRPr="007B6DC1">
        <w:t xml:space="preserve">Borough </w:t>
      </w:r>
      <w:r w:rsidR="006D6ECA" w:rsidRPr="007B6DC1">
        <w:t>is higher than Northern Ireland for both males and fem</w:t>
      </w:r>
      <w:r w:rsidR="00141D37" w:rsidRPr="007B6DC1">
        <w:t xml:space="preserve">ales. </w:t>
      </w:r>
      <w:r w:rsidR="004C515E" w:rsidRPr="007B6DC1">
        <w:t xml:space="preserve"> </w:t>
      </w:r>
      <w:r w:rsidR="007558D5">
        <w:t xml:space="preserve">For the period </w:t>
      </w:r>
      <w:r w:rsidR="003713F8">
        <w:t>2022-24</w:t>
      </w:r>
      <w:r w:rsidR="0003078F" w:rsidRPr="007B6DC1">
        <w:t xml:space="preserve"> </w:t>
      </w:r>
      <w:r w:rsidR="006D6ECA" w:rsidRPr="007B6DC1">
        <w:t xml:space="preserve">male life expectancy </w:t>
      </w:r>
      <w:r w:rsidR="00867443" w:rsidRPr="007B6DC1">
        <w:t xml:space="preserve">at birth in the </w:t>
      </w:r>
      <w:r w:rsidR="007558D5">
        <w:t>B</w:t>
      </w:r>
      <w:r w:rsidR="007558D5" w:rsidRPr="007B6DC1">
        <w:t xml:space="preserve">orough </w:t>
      </w:r>
      <w:r w:rsidR="00867443" w:rsidRPr="007B6DC1">
        <w:t xml:space="preserve">was </w:t>
      </w:r>
      <w:r w:rsidR="00FD0733">
        <w:t>79.</w:t>
      </w:r>
      <w:r w:rsidR="003713F8">
        <w:t>0</w:t>
      </w:r>
      <w:r w:rsidR="00867443" w:rsidRPr="007B6DC1">
        <w:t xml:space="preserve"> years compared to 78.</w:t>
      </w:r>
      <w:r w:rsidR="00FD0733">
        <w:t>8</w:t>
      </w:r>
      <w:r w:rsidR="006D6ECA" w:rsidRPr="007B6DC1">
        <w:t xml:space="preserve"> years for Northern Ireland. </w:t>
      </w:r>
      <w:r w:rsidR="004C515E" w:rsidRPr="007B6DC1">
        <w:t xml:space="preserve"> </w:t>
      </w:r>
      <w:r w:rsidR="006D6ECA" w:rsidRPr="007B6DC1">
        <w:t>Female life expectancy</w:t>
      </w:r>
      <w:r w:rsidR="00141D37" w:rsidRPr="007B6DC1">
        <w:t xml:space="preserve"> at birth is even higher at </w:t>
      </w:r>
      <w:r w:rsidR="00FD0733">
        <w:t>8</w:t>
      </w:r>
      <w:r w:rsidR="003713F8">
        <w:t>3</w:t>
      </w:r>
      <w:r w:rsidR="007558D5">
        <w:t>.2</w:t>
      </w:r>
      <w:r w:rsidR="006D6ECA" w:rsidRPr="007B6DC1">
        <w:t xml:space="preserve"> years for Armagh City, Banbridge and Craigavon</w:t>
      </w:r>
      <w:r w:rsidR="0003078F" w:rsidRPr="007B6DC1">
        <w:t xml:space="preserve"> Borough</w:t>
      </w:r>
      <w:r w:rsidR="006D6ECA" w:rsidRPr="007B6DC1">
        <w:t>, above the Northern Ireland figure of 82.</w:t>
      </w:r>
      <w:r w:rsidR="003713F8">
        <w:t>6</w:t>
      </w:r>
      <w:r w:rsidR="006D6ECA" w:rsidRPr="007B6DC1">
        <w:t xml:space="preserve"> </w:t>
      </w:r>
      <w:r w:rsidR="006D6ECA" w:rsidRPr="00AD6354">
        <w:t xml:space="preserve">years. </w:t>
      </w:r>
      <w:r w:rsidR="004C515E" w:rsidRPr="00AD6354">
        <w:t xml:space="preserve"> </w:t>
      </w:r>
      <w:r w:rsidR="006D6ECA" w:rsidRPr="00AD6354">
        <w:t xml:space="preserve">Male </w:t>
      </w:r>
      <w:r w:rsidR="00141D37" w:rsidRPr="00AD6354">
        <w:t>life expectancy at birth in</w:t>
      </w:r>
      <w:r w:rsidR="006D6ECA" w:rsidRPr="00AD6354">
        <w:t xml:space="preserve"> the </w:t>
      </w:r>
      <w:r w:rsidR="00F07CBE" w:rsidRPr="00F07CBE">
        <w:t>B</w:t>
      </w:r>
      <w:r w:rsidR="006D6ECA" w:rsidRPr="00AD6354">
        <w:t>orough and North</w:t>
      </w:r>
      <w:r w:rsidR="00141D37" w:rsidRPr="00AD6354">
        <w:t>ern Irela</w:t>
      </w:r>
      <w:r w:rsidR="00867443" w:rsidRPr="00AD6354">
        <w:t>nd has increased by 0.</w:t>
      </w:r>
      <w:r w:rsidR="003713F8">
        <w:t>5</w:t>
      </w:r>
      <w:r w:rsidR="006D6ECA" w:rsidRPr="00AD6354">
        <w:t xml:space="preserve"> years </w:t>
      </w:r>
      <w:r w:rsidR="00141D37" w:rsidRPr="00AD6354">
        <w:t>and 0.</w:t>
      </w:r>
      <w:r w:rsidR="00FD0733">
        <w:t>8</w:t>
      </w:r>
      <w:r w:rsidR="00867443" w:rsidRPr="00AD6354">
        <w:t xml:space="preserve"> </w:t>
      </w:r>
      <w:r w:rsidR="00141D37" w:rsidRPr="00AD6354">
        <w:t xml:space="preserve">years respectively from 2011-13 to </w:t>
      </w:r>
      <w:r w:rsidR="004C515E" w:rsidRPr="00AD6354">
        <w:t>20</w:t>
      </w:r>
      <w:r w:rsidR="00AD6354" w:rsidRPr="00AD6354">
        <w:t>2</w:t>
      </w:r>
      <w:r w:rsidR="003713F8">
        <w:t>2</w:t>
      </w:r>
      <w:r w:rsidR="00867443" w:rsidRPr="00AD6354">
        <w:t>-2</w:t>
      </w:r>
      <w:r w:rsidR="003713F8">
        <w:t>4</w:t>
      </w:r>
      <w:r w:rsidR="006D6ECA" w:rsidRPr="00AD6354">
        <w:t xml:space="preserve">. </w:t>
      </w:r>
      <w:r w:rsidR="004C515E" w:rsidRPr="00AD6354">
        <w:t xml:space="preserve"> </w:t>
      </w:r>
      <w:r w:rsidR="006D6ECA" w:rsidRPr="00AD6354">
        <w:t xml:space="preserve">Female life expectancy at birth in the </w:t>
      </w:r>
      <w:r w:rsidR="00FD0733">
        <w:t>B</w:t>
      </w:r>
      <w:r w:rsidR="006D6ECA" w:rsidRPr="00AD6354">
        <w:t xml:space="preserve">orough </w:t>
      </w:r>
      <w:r w:rsidR="00867443" w:rsidRPr="00AD6354">
        <w:t>has increased by 0.</w:t>
      </w:r>
      <w:r w:rsidR="003713F8">
        <w:t>5</w:t>
      </w:r>
      <w:r w:rsidR="00867443" w:rsidRPr="00AD6354">
        <w:t xml:space="preserve"> years</w:t>
      </w:r>
      <w:r w:rsidR="00141D37" w:rsidRPr="00AD6354">
        <w:t xml:space="preserve"> </w:t>
      </w:r>
      <w:r w:rsidR="00FD0733" w:rsidRPr="00AD6354">
        <w:t>and 0.</w:t>
      </w:r>
      <w:r w:rsidR="003713F8">
        <w:t>3</w:t>
      </w:r>
      <w:r w:rsidR="00FD0733" w:rsidRPr="00AD6354">
        <w:t xml:space="preserve"> years respectively from 2011-13 to 202</w:t>
      </w:r>
      <w:r w:rsidR="003713F8">
        <w:t>2</w:t>
      </w:r>
      <w:r w:rsidR="00FD0733" w:rsidRPr="00AD6354">
        <w:t>-2</w:t>
      </w:r>
      <w:r w:rsidR="003713F8">
        <w:t>4</w:t>
      </w:r>
      <w:r w:rsidR="00141D37" w:rsidRPr="00AD6354">
        <w:t>.</w:t>
      </w:r>
    </w:p>
    <w:tbl>
      <w:tblPr>
        <w:tblStyle w:val="GridTable1Light"/>
        <w:tblW w:w="8931" w:type="dxa"/>
        <w:tblLayout w:type="fixed"/>
        <w:tblLook w:val="04A0" w:firstRow="1" w:lastRow="0" w:firstColumn="1" w:lastColumn="0" w:noHBand="0" w:noVBand="1"/>
        <w:tblCaption w:val="Life expectancy at birth by gender in Armagh City, Banbridge and Craigavon Borough and Northern Ireland 2011-13 to 2018-20"/>
      </w:tblPr>
      <w:tblGrid>
        <w:gridCol w:w="960"/>
        <w:gridCol w:w="1992"/>
        <w:gridCol w:w="1993"/>
        <w:gridCol w:w="1993"/>
        <w:gridCol w:w="1993"/>
      </w:tblGrid>
      <w:tr w:rsidR="004C515E" w:rsidRPr="004C515E" w14:paraId="26BC00BA" w14:textId="77777777" w:rsidTr="0028756A">
        <w:trPr>
          <w:cnfStyle w:val="100000000000" w:firstRow="1" w:lastRow="0" w:firstColumn="0" w:lastColumn="0" w:oddVBand="0" w:evenVBand="0" w:oddHBand="0" w:evenHBand="0" w:firstRowFirstColumn="0" w:firstRowLastColumn="0" w:lastRowFirstColumn="0" w:lastRowLastColumn="0"/>
          <w:trHeight w:val="329"/>
          <w:tblHeader/>
        </w:trPr>
        <w:tc>
          <w:tcPr>
            <w:cnfStyle w:val="001000000000" w:firstRow="0" w:lastRow="0" w:firstColumn="1" w:lastColumn="0" w:oddVBand="0" w:evenVBand="0" w:oddHBand="0" w:evenHBand="0" w:firstRowFirstColumn="0" w:firstRowLastColumn="0" w:lastRowFirstColumn="0" w:lastRowLastColumn="0"/>
            <w:tcW w:w="960" w:type="dxa"/>
            <w:hideMark/>
          </w:tcPr>
          <w:p w14:paraId="742EB56B" w14:textId="77777777" w:rsidR="004C515E" w:rsidRPr="004C515E" w:rsidRDefault="004C515E" w:rsidP="004C515E">
            <w:pPr>
              <w:rPr>
                <w:rFonts w:ascii="Calibri" w:eastAsia="Times New Roman" w:hAnsi="Calibri" w:cs="Calibri"/>
                <w:lang w:eastAsia="en-GB"/>
              </w:rPr>
            </w:pPr>
            <w:r w:rsidRPr="004C515E">
              <w:rPr>
                <w:rFonts w:ascii="Calibri" w:eastAsia="Times New Roman" w:hAnsi="Calibri" w:cs="Calibri"/>
                <w:lang w:eastAsia="en-GB"/>
              </w:rPr>
              <w:t> </w:t>
            </w:r>
          </w:p>
        </w:tc>
        <w:tc>
          <w:tcPr>
            <w:tcW w:w="3985" w:type="dxa"/>
            <w:gridSpan w:val="2"/>
            <w:noWrap/>
            <w:hideMark/>
          </w:tcPr>
          <w:p w14:paraId="3EF2CCC5" w14:textId="77777777" w:rsidR="004C515E" w:rsidRPr="004C515E" w:rsidRDefault="004C515E" w:rsidP="004C515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Male Life Expectancy at Birth</w:t>
            </w:r>
          </w:p>
        </w:tc>
        <w:tc>
          <w:tcPr>
            <w:tcW w:w="3986" w:type="dxa"/>
            <w:gridSpan w:val="2"/>
            <w:hideMark/>
          </w:tcPr>
          <w:p w14:paraId="03A687FF" w14:textId="77777777" w:rsidR="004C515E" w:rsidRPr="004C515E" w:rsidRDefault="004C515E" w:rsidP="004C515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Female Life Expectancy at Birth</w:t>
            </w:r>
          </w:p>
        </w:tc>
      </w:tr>
      <w:tr w:rsidR="004C515E" w:rsidRPr="004C515E" w14:paraId="5B648653" w14:textId="77777777" w:rsidTr="004C515E">
        <w:trPr>
          <w:trHeight w:val="876"/>
        </w:trPr>
        <w:tc>
          <w:tcPr>
            <w:cnfStyle w:val="001000000000" w:firstRow="0" w:lastRow="0" w:firstColumn="1" w:lastColumn="0" w:oddVBand="0" w:evenVBand="0" w:oddHBand="0" w:evenHBand="0" w:firstRowFirstColumn="0" w:firstRowLastColumn="0" w:lastRowFirstColumn="0" w:lastRowLastColumn="0"/>
            <w:tcW w:w="960" w:type="dxa"/>
            <w:hideMark/>
          </w:tcPr>
          <w:p w14:paraId="1574B72A" w14:textId="77777777" w:rsidR="004C515E" w:rsidRPr="004C515E" w:rsidRDefault="004C515E" w:rsidP="004C515E">
            <w:pPr>
              <w:rPr>
                <w:rFonts w:ascii="Calibri" w:eastAsia="Times New Roman" w:hAnsi="Calibri" w:cs="Calibri"/>
                <w:lang w:eastAsia="en-GB"/>
              </w:rPr>
            </w:pPr>
          </w:p>
        </w:tc>
        <w:tc>
          <w:tcPr>
            <w:tcW w:w="1992" w:type="dxa"/>
            <w:hideMark/>
          </w:tcPr>
          <w:p w14:paraId="39A386B2"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4C515E">
              <w:rPr>
                <w:rFonts w:ascii="Calibri" w:eastAsia="Times New Roman" w:hAnsi="Calibri" w:cs="Calibri"/>
                <w:b/>
                <w:bCs/>
                <w:lang w:eastAsia="en-GB"/>
              </w:rPr>
              <w:t>Armagh City, Banbridge and Craigavon</w:t>
            </w:r>
          </w:p>
        </w:tc>
        <w:tc>
          <w:tcPr>
            <w:tcW w:w="1993" w:type="dxa"/>
            <w:hideMark/>
          </w:tcPr>
          <w:p w14:paraId="51733C98" w14:textId="77777777" w:rsidR="008B4727" w:rsidRDefault="008B4727"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p>
          <w:p w14:paraId="4CE87C91"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4C515E">
              <w:rPr>
                <w:rFonts w:ascii="Calibri" w:eastAsia="Times New Roman" w:hAnsi="Calibri" w:cs="Calibri"/>
                <w:b/>
                <w:bCs/>
                <w:lang w:eastAsia="en-GB"/>
              </w:rPr>
              <w:t>Northern Ireland</w:t>
            </w:r>
          </w:p>
        </w:tc>
        <w:tc>
          <w:tcPr>
            <w:tcW w:w="1993" w:type="dxa"/>
            <w:hideMark/>
          </w:tcPr>
          <w:p w14:paraId="0DFFAF5B" w14:textId="425CA34D"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4C515E">
              <w:rPr>
                <w:rFonts w:ascii="Calibri" w:eastAsia="Times New Roman" w:hAnsi="Calibri" w:cs="Calibri"/>
                <w:b/>
                <w:bCs/>
                <w:lang w:eastAsia="en-GB"/>
              </w:rPr>
              <w:t>Armagh City, Banbridge and Craigavon</w:t>
            </w:r>
          </w:p>
        </w:tc>
        <w:tc>
          <w:tcPr>
            <w:tcW w:w="1993" w:type="dxa"/>
            <w:hideMark/>
          </w:tcPr>
          <w:p w14:paraId="24F6E005" w14:textId="77777777" w:rsidR="008B4727" w:rsidRDefault="008B4727"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p>
          <w:p w14:paraId="2DFCEEDE"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4C515E">
              <w:rPr>
                <w:rFonts w:ascii="Calibri" w:eastAsia="Times New Roman" w:hAnsi="Calibri" w:cs="Calibri"/>
                <w:b/>
                <w:bCs/>
                <w:lang w:eastAsia="en-GB"/>
              </w:rPr>
              <w:t>Northern Ireland</w:t>
            </w:r>
          </w:p>
        </w:tc>
      </w:tr>
      <w:tr w:rsidR="004C515E" w:rsidRPr="004C515E" w14:paraId="33EA5244" w14:textId="77777777" w:rsidTr="004C51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A820986" w14:textId="77777777" w:rsidR="004C515E" w:rsidRPr="004C515E" w:rsidRDefault="004C515E" w:rsidP="004C515E">
            <w:pPr>
              <w:jc w:val="center"/>
              <w:rPr>
                <w:rFonts w:ascii="Calibri" w:eastAsia="Times New Roman" w:hAnsi="Calibri" w:cs="Calibri"/>
                <w:lang w:eastAsia="en-GB"/>
              </w:rPr>
            </w:pPr>
            <w:r w:rsidRPr="004C515E">
              <w:rPr>
                <w:rFonts w:ascii="Calibri" w:eastAsia="Times New Roman" w:hAnsi="Calibri" w:cs="Calibri"/>
                <w:lang w:eastAsia="en-GB"/>
              </w:rPr>
              <w:t>2011-13</w:t>
            </w:r>
          </w:p>
        </w:tc>
        <w:tc>
          <w:tcPr>
            <w:tcW w:w="1992" w:type="dxa"/>
            <w:noWrap/>
            <w:hideMark/>
          </w:tcPr>
          <w:p w14:paraId="29B43EAF"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78.5</w:t>
            </w:r>
          </w:p>
        </w:tc>
        <w:tc>
          <w:tcPr>
            <w:tcW w:w="1993" w:type="dxa"/>
            <w:hideMark/>
          </w:tcPr>
          <w:p w14:paraId="02D593B9"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78</w:t>
            </w:r>
            <w:r w:rsidR="005F22F2">
              <w:rPr>
                <w:rFonts w:ascii="Calibri" w:eastAsia="Times New Roman" w:hAnsi="Calibri" w:cs="Calibri"/>
                <w:lang w:eastAsia="en-GB"/>
              </w:rPr>
              <w:t>.0</w:t>
            </w:r>
          </w:p>
        </w:tc>
        <w:tc>
          <w:tcPr>
            <w:tcW w:w="1993" w:type="dxa"/>
            <w:hideMark/>
          </w:tcPr>
          <w:p w14:paraId="5690D302"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82.7</w:t>
            </w:r>
          </w:p>
        </w:tc>
        <w:tc>
          <w:tcPr>
            <w:tcW w:w="1993" w:type="dxa"/>
            <w:hideMark/>
          </w:tcPr>
          <w:p w14:paraId="0CFBD36A"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82.3</w:t>
            </w:r>
          </w:p>
        </w:tc>
      </w:tr>
      <w:tr w:rsidR="004C515E" w:rsidRPr="004C515E" w14:paraId="1930E8B9" w14:textId="77777777" w:rsidTr="004C51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F62BC7E" w14:textId="77777777" w:rsidR="004C515E" w:rsidRPr="004C515E" w:rsidRDefault="004C515E" w:rsidP="004C515E">
            <w:pPr>
              <w:jc w:val="center"/>
              <w:rPr>
                <w:rFonts w:ascii="Calibri" w:eastAsia="Times New Roman" w:hAnsi="Calibri" w:cs="Calibri"/>
                <w:lang w:eastAsia="en-GB"/>
              </w:rPr>
            </w:pPr>
            <w:r w:rsidRPr="004C515E">
              <w:rPr>
                <w:rFonts w:ascii="Calibri" w:eastAsia="Times New Roman" w:hAnsi="Calibri" w:cs="Calibri"/>
                <w:lang w:eastAsia="en-GB"/>
              </w:rPr>
              <w:t>2012-14</w:t>
            </w:r>
          </w:p>
        </w:tc>
        <w:tc>
          <w:tcPr>
            <w:tcW w:w="1992" w:type="dxa"/>
            <w:noWrap/>
            <w:hideMark/>
          </w:tcPr>
          <w:p w14:paraId="49E5F3AE"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78.9</w:t>
            </w:r>
          </w:p>
        </w:tc>
        <w:tc>
          <w:tcPr>
            <w:tcW w:w="1993" w:type="dxa"/>
            <w:hideMark/>
          </w:tcPr>
          <w:p w14:paraId="15C2461C"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78.3</w:t>
            </w:r>
          </w:p>
        </w:tc>
        <w:tc>
          <w:tcPr>
            <w:tcW w:w="1993" w:type="dxa"/>
            <w:hideMark/>
          </w:tcPr>
          <w:p w14:paraId="5908693A"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82.4</w:t>
            </w:r>
          </w:p>
        </w:tc>
        <w:tc>
          <w:tcPr>
            <w:tcW w:w="1993" w:type="dxa"/>
            <w:hideMark/>
          </w:tcPr>
          <w:p w14:paraId="32B9B3BB"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82.3</w:t>
            </w:r>
          </w:p>
        </w:tc>
      </w:tr>
      <w:tr w:rsidR="004C515E" w:rsidRPr="004C515E" w14:paraId="66A0C960" w14:textId="77777777" w:rsidTr="004C51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5CC83E" w14:textId="77777777" w:rsidR="004C515E" w:rsidRPr="004C515E" w:rsidRDefault="004C515E" w:rsidP="004C515E">
            <w:pPr>
              <w:jc w:val="center"/>
              <w:rPr>
                <w:rFonts w:ascii="Calibri" w:eastAsia="Times New Roman" w:hAnsi="Calibri" w:cs="Calibri"/>
                <w:lang w:eastAsia="en-GB"/>
              </w:rPr>
            </w:pPr>
            <w:r w:rsidRPr="004C515E">
              <w:rPr>
                <w:rFonts w:ascii="Calibri" w:eastAsia="Times New Roman" w:hAnsi="Calibri" w:cs="Calibri"/>
                <w:lang w:eastAsia="en-GB"/>
              </w:rPr>
              <w:t>2013-15</w:t>
            </w:r>
          </w:p>
        </w:tc>
        <w:tc>
          <w:tcPr>
            <w:tcW w:w="1992" w:type="dxa"/>
            <w:noWrap/>
            <w:hideMark/>
          </w:tcPr>
          <w:p w14:paraId="767AAD7D"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78.8</w:t>
            </w:r>
          </w:p>
        </w:tc>
        <w:tc>
          <w:tcPr>
            <w:tcW w:w="1993" w:type="dxa"/>
            <w:hideMark/>
          </w:tcPr>
          <w:p w14:paraId="5B5E92BD"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78.3</w:t>
            </w:r>
          </w:p>
        </w:tc>
        <w:tc>
          <w:tcPr>
            <w:tcW w:w="1993" w:type="dxa"/>
            <w:hideMark/>
          </w:tcPr>
          <w:p w14:paraId="56304017"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82.4</w:t>
            </w:r>
          </w:p>
        </w:tc>
        <w:tc>
          <w:tcPr>
            <w:tcW w:w="1993" w:type="dxa"/>
            <w:hideMark/>
          </w:tcPr>
          <w:p w14:paraId="14178D9F"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82.3</w:t>
            </w:r>
          </w:p>
        </w:tc>
      </w:tr>
      <w:tr w:rsidR="004C515E" w:rsidRPr="004C515E" w14:paraId="714BF10B" w14:textId="77777777" w:rsidTr="004C51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15A660E" w14:textId="77777777" w:rsidR="004C515E" w:rsidRPr="004C515E" w:rsidRDefault="004C515E" w:rsidP="004C515E">
            <w:pPr>
              <w:jc w:val="center"/>
              <w:rPr>
                <w:rFonts w:ascii="Calibri" w:eastAsia="Times New Roman" w:hAnsi="Calibri" w:cs="Calibri"/>
                <w:lang w:eastAsia="en-GB"/>
              </w:rPr>
            </w:pPr>
            <w:r w:rsidRPr="004C515E">
              <w:rPr>
                <w:rFonts w:ascii="Calibri" w:eastAsia="Times New Roman" w:hAnsi="Calibri" w:cs="Calibri"/>
                <w:lang w:eastAsia="en-GB"/>
              </w:rPr>
              <w:t>2014-16</w:t>
            </w:r>
          </w:p>
        </w:tc>
        <w:tc>
          <w:tcPr>
            <w:tcW w:w="1992" w:type="dxa"/>
            <w:noWrap/>
            <w:hideMark/>
          </w:tcPr>
          <w:p w14:paraId="4409FC6E"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79.2</w:t>
            </w:r>
          </w:p>
        </w:tc>
        <w:tc>
          <w:tcPr>
            <w:tcW w:w="1993" w:type="dxa"/>
            <w:hideMark/>
          </w:tcPr>
          <w:p w14:paraId="4E25DD87"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78.5</w:t>
            </w:r>
          </w:p>
        </w:tc>
        <w:tc>
          <w:tcPr>
            <w:tcW w:w="1993" w:type="dxa"/>
            <w:hideMark/>
          </w:tcPr>
          <w:p w14:paraId="1DB06E85"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82.5</w:t>
            </w:r>
          </w:p>
        </w:tc>
        <w:tc>
          <w:tcPr>
            <w:tcW w:w="1993" w:type="dxa"/>
            <w:hideMark/>
          </w:tcPr>
          <w:p w14:paraId="148C9C11"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82.3</w:t>
            </w:r>
          </w:p>
        </w:tc>
      </w:tr>
      <w:tr w:rsidR="004C515E" w:rsidRPr="004C515E" w14:paraId="751C4931" w14:textId="77777777" w:rsidTr="004C515E">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96B2E08" w14:textId="77777777" w:rsidR="004C515E" w:rsidRPr="004C515E" w:rsidRDefault="004C515E" w:rsidP="004C515E">
            <w:pPr>
              <w:jc w:val="center"/>
              <w:rPr>
                <w:rFonts w:ascii="Calibri" w:eastAsia="Times New Roman" w:hAnsi="Calibri" w:cs="Calibri"/>
                <w:lang w:eastAsia="en-GB"/>
              </w:rPr>
            </w:pPr>
            <w:r w:rsidRPr="004C515E">
              <w:rPr>
                <w:rFonts w:ascii="Calibri" w:eastAsia="Times New Roman" w:hAnsi="Calibri" w:cs="Calibri"/>
                <w:lang w:eastAsia="en-GB"/>
              </w:rPr>
              <w:t>2015-17</w:t>
            </w:r>
          </w:p>
        </w:tc>
        <w:tc>
          <w:tcPr>
            <w:tcW w:w="1992" w:type="dxa"/>
            <w:noWrap/>
            <w:hideMark/>
          </w:tcPr>
          <w:p w14:paraId="6FD1A645"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79</w:t>
            </w:r>
            <w:r w:rsidR="005F22F2">
              <w:rPr>
                <w:rFonts w:ascii="Calibri" w:eastAsia="Times New Roman" w:hAnsi="Calibri" w:cs="Calibri"/>
                <w:lang w:eastAsia="en-GB"/>
              </w:rPr>
              <w:t>.0</w:t>
            </w:r>
          </w:p>
        </w:tc>
        <w:tc>
          <w:tcPr>
            <w:tcW w:w="1993" w:type="dxa"/>
            <w:hideMark/>
          </w:tcPr>
          <w:p w14:paraId="58E49C34"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78.5</w:t>
            </w:r>
          </w:p>
        </w:tc>
        <w:tc>
          <w:tcPr>
            <w:tcW w:w="1993" w:type="dxa"/>
            <w:hideMark/>
          </w:tcPr>
          <w:p w14:paraId="55494989"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82.7</w:t>
            </w:r>
          </w:p>
        </w:tc>
        <w:tc>
          <w:tcPr>
            <w:tcW w:w="1993" w:type="dxa"/>
            <w:hideMark/>
          </w:tcPr>
          <w:p w14:paraId="7796F405" w14:textId="77777777" w:rsidR="004C515E" w:rsidRPr="004C515E" w:rsidRDefault="004C515E" w:rsidP="004C515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4C515E">
              <w:rPr>
                <w:rFonts w:ascii="Calibri" w:eastAsia="Times New Roman" w:hAnsi="Calibri" w:cs="Calibri"/>
                <w:lang w:eastAsia="en-GB"/>
              </w:rPr>
              <w:t>82.3</w:t>
            </w:r>
          </w:p>
        </w:tc>
      </w:tr>
      <w:tr w:rsidR="00CD0C89" w:rsidRPr="004C515E" w14:paraId="4F783FB7" w14:textId="77777777" w:rsidTr="007B6CAF">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30D3DC" w14:textId="77777777" w:rsidR="00CD0C89" w:rsidRPr="004C515E" w:rsidRDefault="00CD0C89" w:rsidP="00CD0C89">
            <w:pPr>
              <w:jc w:val="center"/>
              <w:rPr>
                <w:rFonts w:ascii="Calibri" w:eastAsia="Times New Roman" w:hAnsi="Calibri" w:cs="Calibri"/>
                <w:lang w:eastAsia="en-GB"/>
              </w:rPr>
            </w:pPr>
            <w:r w:rsidRPr="004C515E">
              <w:rPr>
                <w:rFonts w:ascii="Calibri" w:eastAsia="Times New Roman" w:hAnsi="Calibri" w:cs="Calibri"/>
                <w:lang w:eastAsia="en-GB"/>
              </w:rPr>
              <w:t>2016-18</w:t>
            </w:r>
          </w:p>
        </w:tc>
        <w:tc>
          <w:tcPr>
            <w:tcW w:w="1992" w:type="dxa"/>
            <w:noWrap/>
            <w:vAlign w:val="center"/>
            <w:hideMark/>
          </w:tcPr>
          <w:p w14:paraId="413C90E3" w14:textId="1EC7CAE9" w:rsidR="00CD0C89" w:rsidRPr="004C515E" w:rsidRDefault="00CD0C89" w:rsidP="00CD0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79.1</w:t>
            </w:r>
          </w:p>
        </w:tc>
        <w:tc>
          <w:tcPr>
            <w:tcW w:w="1993" w:type="dxa"/>
            <w:vAlign w:val="center"/>
            <w:hideMark/>
          </w:tcPr>
          <w:p w14:paraId="4B8F38DE" w14:textId="713E2F7D" w:rsidR="00CD0C89" w:rsidRPr="004C515E" w:rsidRDefault="00CD0C89" w:rsidP="00CD0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78.7</w:t>
            </w:r>
          </w:p>
        </w:tc>
        <w:tc>
          <w:tcPr>
            <w:tcW w:w="1993" w:type="dxa"/>
            <w:vAlign w:val="center"/>
            <w:hideMark/>
          </w:tcPr>
          <w:p w14:paraId="508585C6" w14:textId="509837C9" w:rsidR="00CD0C89" w:rsidRPr="004C515E" w:rsidRDefault="00CD0C89" w:rsidP="00CD0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83.0</w:t>
            </w:r>
          </w:p>
        </w:tc>
        <w:tc>
          <w:tcPr>
            <w:tcW w:w="1993" w:type="dxa"/>
            <w:vAlign w:val="center"/>
            <w:hideMark/>
          </w:tcPr>
          <w:p w14:paraId="2D69D0B3" w14:textId="53B02622" w:rsidR="00CD0C89" w:rsidRPr="004C515E" w:rsidRDefault="00CD0C89" w:rsidP="00CD0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82.4</w:t>
            </w:r>
          </w:p>
        </w:tc>
      </w:tr>
      <w:tr w:rsidR="00FD0733" w:rsidRPr="004C515E" w14:paraId="6C6FDFCB" w14:textId="77777777" w:rsidTr="007B6CAF">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3311D68" w14:textId="77777777" w:rsidR="00FD0733" w:rsidRPr="004C515E" w:rsidRDefault="00FD0733" w:rsidP="00FD0733">
            <w:pPr>
              <w:jc w:val="center"/>
              <w:rPr>
                <w:rFonts w:ascii="Calibri" w:eastAsia="Times New Roman" w:hAnsi="Calibri" w:cs="Calibri"/>
                <w:lang w:eastAsia="en-GB"/>
              </w:rPr>
            </w:pPr>
            <w:r w:rsidRPr="004C515E">
              <w:rPr>
                <w:rFonts w:ascii="Calibri" w:eastAsia="Times New Roman" w:hAnsi="Calibri" w:cs="Calibri"/>
                <w:lang w:eastAsia="en-GB"/>
              </w:rPr>
              <w:t>2017-19</w:t>
            </w:r>
          </w:p>
        </w:tc>
        <w:tc>
          <w:tcPr>
            <w:tcW w:w="1992" w:type="dxa"/>
            <w:noWrap/>
            <w:vAlign w:val="center"/>
            <w:hideMark/>
          </w:tcPr>
          <w:p w14:paraId="1E41F507" w14:textId="78214F94" w:rsidR="00FD0733" w:rsidRPr="004C515E"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79.5</w:t>
            </w:r>
          </w:p>
        </w:tc>
        <w:tc>
          <w:tcPr>
            <w:tcW w:w="1993" w:type="dxa"/>
            <w:vAlign w:val="center"/>
            <w:hideMark/>
          </w:tcPr>
          <w:p w14:paraId="6361C3A4" w14:textId="0A6C187B" w:rsidR="00FD0733" w:rsidRPr="004C515E"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78.8</w:t>
            </w:r>
          </w:p>
        </w:tc>
        <w:tc>
          <w:tcPr>
            <w:tcW w:w="1993" w:type="dxa"/>
            <w:vAlign w:val="center"/>
            <w:hideMark/>
          </w:tcPr>
          <w:p w14:paraId="389B49F6" w14:textId="2F84B6B3" w:rsidR="00FD0733" w:rsidRPr="004C515E"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83.2</w:t>
            </w:r>
          </w:p>
        </w:tc>
        <w:tc>
          <w:tcPr>
            <w:tcW w:w="1993" w:type="dxa"/>
            <w:vAlign w:val="center"/>
            <w:hideMark/>
          </w:tcPr>
          <w:p w14:paraId="387144F9" w14:textId="40B6DD7B" w:rsidR="00FD0733" w:rsidRPr="004C515E"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82.6</w:t>
            </w:r>
          </w:p>
        </w:tc>
      </w:tr>
      <w:tr w:rsidR="00FD0733" w:rsidRPr="004C515E" w14:paraId="5FBA2F7E" w14:textId="77777777" w:rsidTr="007B6CAF">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AE958B3" w14:textId="77777777" w:rsidR="00FD0733" w:rsidRPr="004C515E" w:rsidRDefault="00FD0733" w:rsidP="00FD0733">
            <w:pPr>
              <w:jc w:val="center"/>
              <w:rPr>
                <w:rFonts w:ascii="Calibri" w:eastAsia="Times New Roman" w:hAnsi="Calibri" w:cs="Calibri"/>
                <w:lang w:eastAsia="en-GB"/>
              </w:rPr>
            </w:pPr>
            <w:r w:rsidRPr="004C515E">
              <w:rPr>
                <w:rFonts w:ascii="Calibri" w:eastAsia="Times New Roman" w:hAnsi="Calibri" w:cs="Calibri"/>
                <w:lang w:eastAsia="en-GB"/>
              </w:rPr>
              <w:t>2018-20</w:t>
            </w:r>
          </w:p>
        </w:tc>
        <w:tc>
          <w:tcPr>
            <w:tcW w:w="1992" w:type="dxa"/>
            <w:noWrap/>
            <w:vAlign w:val="center"/>
            <w:hideMark/>
          </w:tcPr>
          <w:p w14:paraId="04FC7883" w14:textId="4DDF13DE" w:rsidR="00FD0733" w:rsidRPr="004C515E"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79.4</w:t>
            </w:r>
          </w:p>
        </w:tc>
        <w:tc>
          <w:tcPr>
            <w:tcW w:w="1993" w:type="dxa"/>
            <w:vAlign w:val="center"/>
            <w:hideMark/>
          </w:tcPr>
          <w:p w14:paraId="64A7F6E1" w14:textId="57E88268" w:rsidR="00FD0733" w:rsidRPr="004C515E"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78.7</w:t>
            </w:r>
          </w:p>
        </w:tc>
        <w:tc>
          <w:tcPr>
            <w:tcW w:w="1993" w:type="dxa"/>
            <w:vAlign w:val="center"/>
            <w:hideMark/>
          </w:tcPr>
          <w:p w14:paraId="1AB705E9" w14:textId="0EBD1629" w:rsidR="00FD0733" w:rsidRPr="004C515E"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83.3</w:t>
            </w:r>
          </w:p>
        </w:tc>
        <w:tc>
          <w:tcPr>
            <w:tcW w:w="1993" w:type="dxa"/>
            <w:vAlign w:val="center"/>
            <w:hideMark/>
          </w:tcPr>
          <w:p w14:paraId="7A6A6BE5" w14:textId="588DC023" w:rsidR="00FD0733" w:rsidRPr="004C515E"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82.4</w:t>
            </w:r>
          </w:p>
        </w:tc>
      </w:tr>
      <w:tr w:rsidR="00FD0733" w:rsidRPr="004C515E" w14:paraId="703A1329" w14:textId="77777777" w:rsidTr="00402674">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tcPr>
          <w:p w14:paraId="04BCE5FE" w14:textId="77777777" w:rsidR="00FD0733" w:rsidRPr="00867443" w:rsidRDefault="00FD0733" w:rsidP="00FD0733">
            <w:pPr>
              <w:jc w:val="center"/>
              <w:rPr>
                <w:rFonts w:ascii="Calibri" w:hAnsi="Calibri" w:cs="Calibri"/>
              </w:rPr>
            </w:pPr>
            <w:r w:rsidRPr="00867443">
              <w:rPr>
                <w:rFonts w:ascii="Calibri" w:hAnsi="Calibri" w:cs="Calibri"/>
                <w:bCs w:val="0"/>
              </w:rPr>
              <w:t>2019-21</w:t>
            </w:r>
          </w:p>
        </w:tc>
        <w:tc>
          <w:tcPr>
            <w:tcW w:w="1992" w:type="dxa"/>
            <w:noWrap/>
            <w:vAlign w:val="center"/>
          </w:tcPr>
          <w:p w14:paraId="5DD0065B" w14:textId="11F1077D" w:rsidR="00FD0733"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79.2</w:t>
            </w:r>
          </w:p>
        </w:tc>
        <w:tc>
          <w:tcPr>
            <w:tcW w:w="1993" w:type="dxa"/>
            <w:vAlign w:val="center"/>
          </w:tcPr>
          <w:p w14:paraId="1090BD09" w14:textId="630397DE" w:rsidR="00FD0733"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78.5</w:t>
            </w:r>
          </w:p>
        </w:tc>
        <w:tc>
          <w:tcPr>
            <w:tcW w:w="1993" w:type="dxa"/>
            <w:vAlign w:val="center"/>
          </w:tcPr>
          <w:p w14:paraId="1BB0ABEF" w14:textId="6087233F" w:rsidR="00FD0733"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83.1</w:t>
            </w:r>
          </w:p>
        </w:tc>
        <w:tc>
          <w:tcPr>
            <w:tcW w:w="1993" w:type="dxa"/>
            <w:vAlign w:val="center"/>
          </w:tcPr>
          <w:p w14:paraId="63C0A300" w14:textId="6CECF137" w:rsidR="00FD0733"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82.3</w:t>
            </w:r>
          </w:p>
        </w:tc>
      </w:tr>
      <w:tr w:rsidR="00FD0733" w:rsidRPr="004C515E" w14:paraId="707FD1A9" w14:textId="77777777" w:rsidTr="00402674">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tcPr>
          <w:p w14:paraId="077AC9B1" w14:textId="520FE8F9" w:rsidR="00FD0733" w:rsidRPr="00867443" w:rsidRDefault="00FD0733" w:rsidP="00FD0733">
            <w:pPr>
              <w:jc w:val="center"/>
              <w:rPr>
                <w:rFonts w:ascii="Calibri" w:hAnsi="Calibri" w:cs="Calibri"/>
              </w:rPr>
            </w:pPr>
            <w:r>
              <w:rPr>
                <w:rFonts w:ascii="Calibri" w:hAnsi="Calibri" w:cs="Calibri"/>
              </w:rPr>
              <w:t>2020-22</w:t>
            </w:r>
          </w:p>
        </w:tc>
        <w:tc>
          <w:tcPr>
            <w:tcW w:w="1992" w:type="dxa"/>
            <w:noWrap/>
            <w:vAlign w:val="center"/>
          </w:tcPr>
          <w:p w14:paraId="0C984A05" w14:textId="58D95FB8" w:rsidR="00FD0733"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78.8</w:t>
            </w:r>
          </w:p>
        </w:tc>
        <w:tc>
          <w:tcPr>
            <w:tcW w:w="1993" w:type="dxa"/>
            <w:vAlign w:val="center"/>
          </w:tcPr>
          <w:p w14:paraId="495C5691" w14:textId="184AF723" w:rsidR="00FD0733"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78.4</w:t>
            </w:r>
          </w:p>
        </w:tc>
        <w:tc>
          <w:tcPr>
            <w:tcW w:w="1993" w:type="dxa"/>
            <w:vAlign w:val="center"/>
          </w:tcPr>
          <w:p w14:paraId="7671CDB7" w14:textId="35ADC03D" w:rsidR="00FD0733"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82.8</w:t>
            </w:r>
          </w:p>
        </w:tc>
        <w:tc>
          <w:tcPr>
            <w:tcW w:w="1993" w:type="dxa"/>
            <w:vAlign w:val="center"/>
          </w:tcPr>
          <w:p w14:paraId="06EDEBE8" w14:textId="32EDBDDF" w:rsidR="00FD0733"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82.3</w:t>
            </w:r>
          </w:p>
        </w:tc>
      </w:tr>
      <w:tr w:rsidR="00FD0733" w:rsidRPr="004C515E" w14:paraId="1414C9F7" w14:textId="77777777" w:rsidTr="00402674">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tcPr>
          <w:p w14:paraId="3C59CAA9" w14:textId="728B7BE9" w:rsidR="00FD0733" w:rsidRDefault="00FD0733" w:rsidP="00FD0733">
            <w:pPr>
              <w:jc w:val="center"/>
              <w:rPr>
                <w:rFonts w:ascii="Calibri" w:hAnsi="Calibri" w:cs="Calibri"/>
              </w:rPr>
            </w:pPr>
            <w:r>
              <w:rPr>
                <w:rFonts w:ascii="Calibri" w:hAnsi="Calibri" w:cs="Calibri"/>
              </w:rPr>
              <w:t>2021-23</w:t>
            </w:r>
          </w:p>
        </w:tc>
        <w:tc>
          <w:tcPr>
            <w:tcW w:w="1992" w:type="dxa"/>
            <w:noWrap/>
            <w:vAlign w:val="center"/>
          </w:tcPr>
          <w:p w14:paraId="5BC07C33" w14:textId="6599E8D4" w:rsidR="00FD0733"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79.2</w:t>
            </w:r>
          </w:p>
        </w:tc>
        <w:tc>
          <w:tcPr>
            <w:tcW w:w="1993" w:type="dxa"/>
            <w:vAlign w:val="center"/>
          </w:tcPr>
          <w:p w14:paraId="0269A352" w14:textId="5C85FE88" w:rsidR="00FD0733"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78.8</w:t>
            </w:r>
          </w:p>
        </w:tc>
        <w:tc>
          <w:tcPr>
            <w:tcW w:w="1993" w:type="dxa"/>
            <w:vAlign w:val="center"/>
          </w:tcPr>
          <w:p w14:paraId="29AB3EC2" w14:textId="4A8206C6" w:rsidR="00FD0733"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83</w:t>
            </w:r>
            <w:r w:rsidR="003713F8">
              <w:rPr>
                <w:rFonts w:ascii="Calibri" w:hAnsi="Calibri" w:cs="Calibri"/>
              </w:rPr>
              <w:t>.0</w:t>
            </w:r>
          </w:p>
        </w:tc>
        <w:tc>
          <w:tcPr>
            <w:tcW w:w="1993" w:type="dxa"/>
            <w:vAlign w:val="center"/>
          </w:tcPr>
          <w:p w14:paraId="29935446" w14:textId="79B63345" w:rsidR="00FD0733" w:rsidRDefault="00FD0733"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82.5</w:t>
            </w:r>
          </w:p>
        </w:tc>
      </w:tr>
      <w:tr w:rsidR="003713F8" w:rsidRPr="004C515E" w14:paraId="457B8236" w14:textId="77777777" w:rsidTr="00402674">
        <w:trPr>
          <w:trHeight w:val="300"/>
        </w:trPr>
        <w:tc>
          <w:tcPr>
            <w:cnfStyle w:val="001000000000" w:firstRow="0" w:lastRow="0" w:firstColumn="1" w:lastColumn="0" w:oddVBand="0" w:evenVBand="0" w:oddHBand="0" w:evenHBand="0" w:firstRowFirstColumn="0" w:firstRowLastColumn="0" w:lastRowFirstColumn="0" w:lastRowLastColumn="0"/>
            <w:tcW w:w="960" w:type="dxa"/>
            <w:noWrap/>
            <w:vAlign w:val="center"/>
          </w:tcPr>
          <w:p w14:paraId="39B6F920" w14:textId="1456E5FE" w:rsidR="003713F8" w:rsidRDefault="003713F8" w:rsidP="00FD0733">
            <w:pPr>
              <w:jc w:val="center"/>
              <w:rPr>
                <w:rFonts w:ascii="Calibri" w:hAnsi="Calibri" w:cs="Calibri"/>
              </w:rPr>
            </w:pPr>
            <w:r>
              <w:rPr>
                <w:rFonts w:ascii="Calibri" w:hAnsi="Calibri" w:cs="Calibri"/>
              </w:rPr>
              <w:t>2022-24</w:t>
            </w:r>
          </w:p>
        </w:tc>
        <w:tc>
          <w:tcPr>
            <w:tcW w:w="1992" w:type="dxa"/>
            <w:noWrap/>
            <w:vAlign w:val="center"/>
          </w:tcPr>
          <w:p w14:paraId="3B802135" w14:textId="45E775A8" w:rsidR="003713F8" w:rsidRDefault="003713F8"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79.0</w:t>
            </w:r>
          </w:p>
        </w:tc>
        <w:tc>
          <w:tcPr>
            <w:tcW w:w="1993" w:type="dxa"/>
            <w:vAlign w:val="center"/>
          </w:tcPr>
          <w:p w14:paraId="3D86CD43" w14:textId="79666302" w:rsidR="003713F8" w:rsidRDefault="003713F8"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78.8</w:t>
            </w:r>
          </w:p>
        </w:tc>
        <w:tc>
          <w:tcPr>
            <w:tcW w:w="1993" w:type="dxa"/>
            <w:vAlign w:val="center"/>
          </w:tcPr>
          <w:p w14:paraId="777D6977" w14:textId="7EEA85D3" w:rsidR="003713F8" w:rsidRDefault="003713F8" w:rsidP="00FD073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83.2</w:t>
            </w:r>
          </w:p>
        </w:tc>
        <w:tc>
          <w:tcPr>
            <w:tcW w:w="1993" w:type="dxa"/>
            <w:vAlign w:val="center"/>
          </w:tcPr>
          <w:p w14:paraId="2143EA2D" w14:textId="6B280C61" w:rsidR="003713F8" w:rsidRDefault="003713F8" w:rsidP="0028756A">
            <w:pPr>
              <w:keepNext/>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82.6</w:t>
            </w:r>
          </w:p>
        </w:tc>
      </w:tr>
    </w:tbl>
    <w:p w14:paraId="6FCA535E" w14:textId="250C342D" w:rsidR="00867443" w:rsidRDefault="0028756A" w:rsidP="0028756A">
      <w:pPr>
        <w:pStyle w:val="Caption"/>
        <w:rPr>
          <w:color w:val="000000" w:themeColor="text1"/>
        </w:rPr>
      </w:pPr>
      <w:r w:rsidRPr="0028756A">
        <w:rPr>
          <w:color w:val="000000" w:themeColor="text1"/>
        </w:rPr>
        <w:t xml:space="preserve">Table </w:t>
      </w:r>
      <w:r w:rsidRPr="0028756A">
        <w:rPr>
          <w:color w:val="000000" w:themeColor="text1"/>
        </w:rPr>
        <w:fldChar w:fldCharType="begin"/>
      </w:r>
      <w:r w:rsidRPr="0028756A">
        <w:rPr>
          <w:color w:val="000000" w:themeColor="text1"/>
        </w:rPr>
        <w:instrText xml:space="preserve"> SEQ Table \* ARABIC </w:instrText>
      </w:r>
      <w:r w:rsidRPr="0028756A">
        <w:rPr>
          <w:color w:val="000000" w:themeColor="text1"/>
        </w:rPr>
        <w:fldChar w:fldCharType="separate"/>
      </w:r>
      <w:r w:rsidRPr="0028756A">
        <w:rPr>
          <w:noProof/>
          <w:color w:val="000000" w:themeColor="text1"/>
        </w:rPr>
        <w:t>1</w:t>
      </w:r>
      <w:r w:rsidRPr="0028756A">
        <w:rPr>
          <w:color w:val="000000" w:themeColor="text1"/>
        </w:rPr>
        <w:fldChar w:fldCharType="end"/>
      </w:r>
      <w:r w:rsidRPr="0028756A">
        <w:rPr>
          <w:color w:val="000000" w:themeColor="text1"/>
        </w:rPr>
        <w:t>: Life expectancy at birth by gender in Armagh City, Banbridge and Craigavon Borough and Northern Ireland 2011-13 to 2022-24. Source: Health Inequalities Annual Report 2026, Department of Health, Northern Ireland.</w:t>
      </w:r>
    </w:p>
    <w:p w14:paraId="0579034E" w14:textId="77777777" w:rsidR="007558D5" w:rsidRPr="007558D5" w:rsidRDefault="007558D5" w:rsidP="007558D5"/>
    <w:p w14:paraId="3FBEA91B" w14:textId="77777777" w:rsidR="007558D5" w:rsidRPr="007558D5" w:rsidRDefault="007558D5" w:rsidP="007558D5"/>
    <w:p w14:paraId="245B19FC" w14:textId="77777777" w:rsidR="007558D5" w:rsidRPr="007558D5" w:rsidRDefault="007558D5" w:rsidP="007558D5"/>
    <w:p w14:paraId="6EBA702B" w14:textId="6D54D489" w:rsidR="00E52EB8" w:rsidRDefault="007558D5" w:rsidP="00E52EB8">
      <w:r>
        <w:rPr>
          <w:noProof/>
        </w:rPr>
        <w:lastRenderedPageBreak/>
        <w:drawing>
          <wp:inline distT="0" distB="0" distL="0" distR="0" wp14:anchorId="6A6A6ED3" wp14:editId="4C5BBF19">
            <wp:extent cx="5772150" cy="3552825"/>
            <wp:effectExtent l="0" t="0" r="0" b="9525"/>
            <wp:docPr id="563541735" name="Chart 1" descr="Chart showing the life expectancy at birth by gender in Armagh City, Banbridge and Craigavon Borough and Northern Ireland 2011-13 to 2022-24. ">
              <a:extLst xmlns:a="http://schemas.openxmlformats.org/drawingml/2006/main">
                <a:ext uri="{FF2B5EF4-FFF2-40B4-BE49-F238E27FC236}">
                  <a16:creationId xmlns:a16="http://schemas.microsoft.com/office/drawing/2014/main" id="{8C7E591A-81FC-17C2-4D7D-A60A4854FE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E52EB8" w:rsidRPr="0036051A">
        <w:rPr>
          <w:i/>
          <w:sz w:val="20"/>
          <w:szCs w:val="20"/>
        </w:rPr>
        <w:t>Figure 1: Life expectancy at birth by gender in Armagh City, Banbridge and Craigavon Borough and Northern Ireland 2011-13 to 20</w:t>
      </w:r>
      <w:r w:rsidR="00E52EB8">
        <w:rPr>
          <w:i/>
          <w:sz w:val="20"/>
          <w:szCs w:val="20"/>
        </w:rPr>
        <w:t>22-24</w:t>
      </w:r>
      <w:r w:rsidR="00E52EB8" w:rsidRPr="0036051A">
        <w:rPr>
          <w:i/>
          <w:sz w:val="20"/>
          <w:szCs w:val="20"/>
        </w:rPr>
        <w:t xml:space="preserve">. Source: </w:t>
      </w:r>
      <w:r w:rsidR="00E52EB8">
        <w:rPr>
          <w:i/>
          <w:sz w:val="20"/>
          <w:szCs w:val="20"/>
        </w:rPr>
        <w:t>Health Inequalities Annual Report 2026, Department of Health, Northern Ireland.</w:t>
      </w:r>
    </w:p>
    <w:p w14:paraId="2695241D" w14:textId="187BF84C" w:rsidR="00621111" w:rsidRDefault="006D6ECA" w:rsidP="008C513E">
      <w:r w:rsidRPr="00AE6B7E">
        <w:t xml:space="preserve">The life expectancy at age 65 </w:t>
      </w:r>
      <w:r w:rsidR="00AD33B6" w:rsidRPr="00AE6B7E">
        <w:t>in Armagh City, Banbridge and Craigavon</w:t>
      </w:r>
      <w:r w:rsidR="0003078F" w:rsidRPr="00AE6B7E">
        <w:t xml:space="preserve"> Borough</w:t>
      </w:r>
      <w:r w:rsidR="00AD33B6" w:rsidRPr="00AE6B7E">
        <w:t xml:space="preserve"> is also higher than Northern Ireland for both males and females. </w:t>
      </w:r>
      <w:r w:rsidR="00AE6B7E" w:rsidRPr="00AE6B7E">
        <w:t xml:space="preserve"> </w:t>
      </w:r>
      <w:r w:rsidR="00424224" w:rsidRPr="00AE6B7E">
        <w:t xml:space="preserve">Male life expectancy </w:t>
      </w:r>
      <w:r w:rsidR="00AE6B7E" w:rsidRPr="00AE6B7E">
        <w:t xml:space="preserve">at age 65 in the </w:t>
      </w:r>
      <w:r w:rsidR="00F07CBE">
        <w:t>B</w:t>
      </w:r>
      <w:r w:rsidR="00AE6B7E" w:rsidRPr="00AE6B7E">
        <w:t xml:space="preserve">orough is </w:t>
      </w:r>
      <w:r w:rsidR="007558D5">
        <w:t>19</w:t>
      </w:r>
      <w:r w:rsidR="00424224" w:rsidRPr="00AE6B7E">
        <w:t xml:space="preserve"> years for </w:t>
      </w:r>
      <w:r w:rsidR="007558D5" w:rsidRPr="00AE6B7E">
        <w:t>20</w:t>
      </w:r>
      <w:r w:rsidR="007558D5">
        <w:t>22</w:t>
      </w:r>
      <w:r w:rsidR="00AE6B7E" w:rsidRPr="00AE6B7E">
        <w:t>-</w:t>
      </w:r>
      <w:r w:rsidR="007558D5">
        <w:t>24</w:t>
      </w:r>
      <w:r w:rsidR="007558D5" w:rsidRPr="00AE6B7E">
        <w:t xml:space="preserve"> </w:t>
      </w:r>
      <w:r w:rsidR="00424224" w:rsidRPr="00AE6B7E">
        <w:t>compared to 18.</w:t>
      </w:r>
      <w:r w:rsidR="007558D5">
        <w:t xml:space="preserve">6 </w:t>
      </w:r>
      <w:r w:rsidR="00424224" w:rsidRPr="00AE6B7E">
        <w:t xml:space="preserve">years in Northern Ireland. </w:t>
      </w:r>
      <w:r w:rsidR="00AE6B7E" w:rsidRPr="00AE6B7E">
        <w:t xml:space="preserve"> </w:t>
      </w:r>
      <w:r w:rsidR="00424224" w:rsidRPr="00AE6B7E">
        <w:t>Female life expect</w:t>
      </w:r>
      <w:r w:rsidR="00B323BB" w:rsidRPr="00AE6B7E">
        <w:t>ancy at age 65 is higher at 21.</w:t>
      </w:r>
      <w:r w:rsidR="007558D5">
        <w:t>2</w:t>
      </w:r>
      <w:r w:rsidR="007558D5" w:rsidRPr="00AE6B7E">
        <w:t xml:space="preserve"> </w:t>
      </w:r>
      <w:r w:rsidR="00424224" w:rsidRPr="00AE6B7E">
        <w:t xml:space="preserve">years in the </w:t>
      </w:r>
      <w:r w:rsidR="00F07CBE">
        <w:t>B</w:t>
      </w:r>
      <w:r w:rsidR="00424224" w:rsidRPr="00AE6B7E">
        <w:t>orough and 20</w:t>
      </w:r>
      <w:r w:rsidR="00C56F16">
        <w:t>.</w:t>
      </w:r>
      <w:r w:rsidR="007558D5">
        <w:t>8</w:t>
      </w:r>
      <w:r w:rsidR="007558D5" w:rsidRPr="00AE6B7E">
        <w:t xml:space="preserve"> </w:t>
      </w:r>
      <w:r w:rsidR="00424224" w:rsidRPr="00AE6B7E">
        <w:t xml:space="preserve">years in Northern Ireland. </w:t>
      </w:r>
    </w:p>
    <w:p w14:paraId="0B2B7609" w14:textId="77777777" w:rsidR="007558D5" w:rsidRDefault="007558D5" w:rsidP="008C513E"/>
    <w:p w14:paraId="6C743A19" w14:textId="77777777" w:rsidR="007558D5" w:rsidRDefault="007558D5" w:rsidP="008C513E"/>
    <w:p w14:paraId="2453809E" w14:textId="77777777" w:rsidR="007558D5" w:rsidRDefault="007558D5" w:rsidP="008C513E"/>
    <w:p w14:paraId="0A4FD08F" w14:textId="77777777" w:rsidR="007558D5" w:rsidRDefault="007558D5" w:rsidP="008C513E"/>
    <w:p w14:paraId="3A7E6CF9" w14:textId="77777777" w:rsidR="007558D5" w:rsidRDefault="007558D5" w:rsidP="008C513E"/>
    <w:p w14:paraId="42B50400" w14:textId="77777777" w:rsidR="007558D5" w:rsidRDefault="007558D5" w:rsidP="008C513E"/>
    <w:p w14:paraId="581657C9" w14:textId="77777777" w:rsidR="007558D5" w:rsidRDefault="007558D5" w:rsidP="008C513E"/>
    <w:p w14:paraId="6A8D5A08" w14:textId="77777777" w:rsidR="007558D5" w:rsidRDefault="007558D5" w:rsidP="008C513E"/>
    <w:p w14:paraId="3441FFF7" w14:textId="77777777" w:rsidR="007558D5" w:rsidRDefault="007558D5" w:rsidP="008C513E"/>
    <w:p w14:paraId="666FA3B5" w14:textId="77777777" w:rsidR="007558D5" w:rsidRDefault="007558D5" w:rsidP="008C513E"/>
    <w:p w14:paraId="60A525F9" w14:textId="77777777" w:rsidR="007558D5" w:rsidRDefault="007558D5" w:rsidP="008C513E"/>
    <w:p w14:paraId="57718551" w14:textId="77777777" w:rsidR="007558D5" w:rsidRPr="0028756A" w:rsidRDefault="007558D5" w:rsidP="008C513E">
      <w:pPr>
        <w:rPr>
          <w:rFonts w:ascii="Calibri" w:hAnsi="Calibri" w:cs="Calibri"/>
          <w:i/>
          <w:sz w:val="20"/>
          <w:szCs w:val="20"/>
          <w:shd w:val="clear" w:color="auto" w:fill="FFFFFF"/>
        </w:rPr>
      </w:pPr>
    </w:p>
    <w:tbl>
      <w:tblPr>
        <w:tblStyle w:val="GridTable1Light"/>
        <w:tblW w:w="8735" w:type="dxa"/>
        <w:tblLayout w:type="fixed"/>
        <w:tblLook w:val="04A0" w:firstRow="1" w:lastRow="0" w:firstColumn="1" w:lastColumn="0" w:noHBand="0" w:noVBand="1"/>
        <w:tblCaption w:val="Life expectancy at age 65 by gender in Armagh City, Banbridge and Craigavon Borough and Northern Ireland 2011-13 to 2017-19."/>
      </w:tblPr>
      <w:tblGrid>
        <w:gridCol w:w="1276"/>
        <w:gridCol w:w="1864"/>
        <w:gridCol w:w="1865"/>
        <w:gridCol w:w="1865"/>
        <w:gridCol w:w="1865"/>
      </w:tblGrid>
      <w:tr w:rsidR="00AE6B7E" w:rsidRPr="00AE6B7E" w14:paraId="141DA862" w14:textId="77777777" w:rsidTr="008B4727">
        <w:trPr>
          <w:cnfStyle w:val="100000000000" w:firstRow="1" w:lastRow="0" w:firstColumn="0" w:lastColumn="0" w:oddVBand="0" w:evenVBand="0" w:oddHBand="0" w:evenHBand="0" w:firstRowFirstColumn="0" w:firstRowLastColumn="0" w:lastRowFirstColumn="0" w:lastRowLastColumn="0"/>
          <w:trHeight w:val="286"/>
          <w:tblHeader/>
        </w:trPr>
        <w:tc>
          <w:tcPr>
            <w:cnfStyle w:val="001000000000" w:firstRow="0" w:lastRow="0" w:firstColumn="1" w:lastColumn="0" w:oddVBand="0" w:evenVBand="0" w:oddHBand="0" w:evenHBand="0" w:firstRowFirstColumn="0" w:firstRowLastColumn="0" w:lastRowFirstColumn="0" w:lastRowLastColumn="0"/>
            <w:tcW w:w="1276" w:type="dxa"/>
            <w:vMerge w:val="restart"/>
            <w:hideMark/>
          </w:tcPr>
          <w:p w14:paraId="4297337E" w14:textId="77777777" w:rsidR="00AE6B7E" w:rsidRPr="00AE6B7E" w:rsidRDefault="00AE6B7E" w:rsidP="00AE6B7E">
            <w:pPr>
              <w:rPr>
                <w:rFonts w:ascii="Calibri" w:eastAsia="Times New Roman" w:hAnsi="Calibri" w:cs="Calibri"/>
                <w:lang w:eastAsia="en-GB"/>
              </w:rPr>
            </w:pPr>
            <w:r w:rsidRPr="00AE6B7E">
              <w:rPr>
                <w:rFonts w:ascii="Calibri" w:eastAsia="Times New Roman" w:hAnsi="Calibri" w:cs="Calibri"/>
                <w:lang w:eastAsia="en-GB"/>
              </w:rPr>
              <w:lastRenderedPageBreak/>
              <w:t> </w:t>
            </w:r>
          </w:p>
        </w:tc>
        <w:tc>
          <w:tcPr>
            <w:tcW w:w="3729" w:type="dxa"/>
            <w:gridSpan w:val="2"/>
            <w:noWrap/>
            <w:hideMark/>
          </w:tcPr>
          <w:p w14:paraId="3D9F4323" w14:textId="6162E0B3" w:rsidR="00AE6B7E" w:rsidRPr="00AE6B7E" w:rsidRDefault="00AE6B7E" w:rsidP="00AE6B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Male Life Expectancy at Age 65</w:t>
            </w:r>
          </w:p>
        </w:tc>
        <w:tc>
          <w:tcPr>
            <w:tcW w:w="3730" w:type="dxa"/>
            <w:gridSpan w:val="2"/>
            <w:hideMark/>
          </w:tcPr>
          <w:p w14:paraId="21DF71CE" w14:textId="38689D5C" w:rsidR="00AE6B7E" w:rsidRPr="00AE6B7E" w:rsidRDefault="00AE6B7E" w:rsidP="00AE6B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Female Life Expectancy at Age 65</w:t>
            </w:r>
          </w:p>
        </w:tc>
      </w:tr>
      <w:tr w:rsidR="00AE6B7E" w:rsidRPr="00AE6B7E" w14:paraId="29D01347" w14:textId="77777777" w:rsidTr="00AE6B7E">
        <w:trPr>
          <w:trHeight w:val="836"/>
        </w:trPr>
        <w:tc>
          <w:tcPr>
            <w:cnfStyle w:val="001000000000" w:firstRow="0" w:lastRow="0" w:firstColumn="1" w:lastColumn="0" w:oddVBand="0" w:evenVBand="0" w:oddHBand="0" w:evenHBand="0" w:firstRowFirstColumn="0" w:firstRowLastColumn="0" w:lastRowFirstColumn="0" w:lastRowLastColumn="0"/>
            <w:tcW w:w="1276" w:type="dxa"/>
            <w:vMerge/>
            <w:hideMark/>
          </w:tcPr>
          <w:p w14:paraId="50D16216" w14:textId="77777777" w:rsidR="00AE6B7E" w:rsidRPr="00AE6B7E" w:rsidRDefault="00AE6B7E" w:rsidP="00AE6B7E">
            <w:pPr>
              <w:rPr>
                <w:rFonts w:ascii="Calibri" w:eastAsia="Times New Roman" w:hAnsi="Calibri" w:cs="Calibri"/>
                <w:lang w:eastAsia="en-GB"/>
              </w:rPr>
            </w:pPr>
          </w:p>
        </w:tc>
        <w:tc>
          <w:tcPr>
            <w:tcW w:w="1864" w:type="dxa"/>
            <w:hideMark/>
          </w:tcPr>
          <w:p w14:paraId="0BACBF76"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AE6B7E">
              <w:rPr>
                <w:rFonts w:ascii="Calibri" w:eastAsia="Times New Roman" w:hAnsi="Calibri" w:cs="Calibri"/>
                <w:b/>
                <w:bCs/>
                <w:lang w:eastAsia="en-GB"/>
              </w:rPr>
              <w:t>Armagh City, Banbridge and Craigavon</w:t>
            </w:r>
          </w:p>
        </w:tc>
        <w:tc>
          <w:tcPr>
            <w:tcW w:w="1865" w:type="dxa"/>
            <w:hideMark/>
          </w:tcPr>
          <w:p w14:paraId="7D39C0B2" w14:textId="46138530" w:rsid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p>
          <w:p w14:paraId="2BA25AA9"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AE6B7E">
              <w:rPr>
                <w:rFonts w:ascii="Calibri" w:eastAsia="Times New Roman" w:hAnsi="Calibri" w:cs="Calibri"/>
                <w:b/>
                <w:bCs/>
                <w:lang w:eastAsia="en-GB"/>
              </w:rPr>
              <w:t>Northern Ireland</w:t>
            </w:r>
          </w:p>
        </w:tc>
        <w:tc>
          <w:tcPr>
            <w:tcW w:w="1865" w:type="dxa"/>
            <w:hideMark/>
          </w:tcPr>
          <w:p w14:paraId="0E7CD1C0" w14:textId="26DE1166"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AE6B7E">
              <w:rPr>
                <w:rFonts w:ascii="Calibri" w:eastAsia="Times New Roman" w:hAnsi="Calibri" w:cs="Calibri"/>
                <w:b/>
                <w:bCs/>
                <w:lang w:eastAsia="en-GB"/>
              </w:rPr>
              <w:t>Armagh City, Banbridge and Craigavon</w:t>
            </w:r>
          </w:p>
        </w:tc>
        <w:tc>
          <w:tcPr>
            <w:tcW w:w="1865" w:type="dxa"/>
            <w:hideMark/>
          </w:tcPr>
          <w:p w14:paraId="658769BF" w14:textId="4D8CC27D" w:rsid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p>
          <w:p w14:paraId="16F0AAAB"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r w:rsidRPr="00AE6B7E">
              <w:rPr>
                <w:rFonts w:ascii="Calibri" w:eastAsia="Times New Roman" w:hAnsi="Calibri" w:cs="Calibri"/>
                <w:b/>
                <w:bCs/>
                <w:lang w:eastAsia="en-GB"/>
              </w:rPr>
              <w:t>Northern Ireland</w:t>
            </w:r>
          </w:p>
        </w:tc>
      </w:tr>
      <w:tr w:rsidR="00AE6B7E" w:rsidRPr="00AE6B7E" w14:paraId="0FAB2F67" w14:textId="77777777" w:rsidTr="0028756A">
        <w:trPr>
          <w:trHeight w:val="22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E804444" w14:textId="77777777" w:rsidR="00AE6B7E" w:rsidRPr="00AE6B7E" w:rsidRDefault="00AE6B7E" w:rsidP="00AE6B7E">
            <w:pPr>
              <w:jc w:val="center"/>
              <w:rPr>
                <w:rFonts w:ascii="Calibri" w:eastAsia="Times New Roman" w:hAnsi="Calibri" w:cs="Calibri"/>
                <w:lang w:eastAsia="en-GB"/>
              </w:rPr>
            </w:pPr>
            <w:r w:rsidRPr="00AE6B7E">
              <w:rPr>
                <w:rFonts w:ascii="Calibri" w:eastAsia="Times New Roman" w:hAnsi="Calibri" w:cs="Calibri"/>
                <w:lang w:eastAsia="en-GB"/>
              </w:rPr>
              <w:t>2011-13</w:t>
            </w:r>
          </w:p>
        </w:tc>
        <w:tc>
          <w:tcPr>
            <w:tcW w:w="1864" w:type="dxa"/>
            <w:noWrap/>
            <w:hideMark/>
          </w:tcPr>
          <w:p w14:paraId="09C7A465"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18.4</w:t>
            </w:r>
          </w:p>
        </w:tc>
        <w:tc>
          <w:tcPr>
            <w:tcW w:w="1865" w:type="dxa"/>
            <w:hideMark/>
          </w:tcPr>
          <w:p w14:paraId="4AFA794D"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17.9</w:t>
            </w:r>
          </w:p>
        </w:tc>
        <w:tc>
          <w:tcPr>
            <w:tcW w:w="1865" w:type="dxa"/>
            <w:hideMark/>
          </w:tcPr>
          <w:p w14:paraId="060C6B2C"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20.7</w:t>
            </w:r>
          </w:p>
        </w:tc>
        <w:tc>
          <w:tcPr>
            <w:tcW w:w="1865" w:type="dxa"/>
            <w:hideMark/>
          </w:tcPr>
          <w:p w14:paraId="2578358D"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20.5</w:t>
            </w:r>
          </w:p>
        </w:tc>
      </w:tr>
      <w:tr w:rsidR="00AE6B7E" w:rsidRPr="00AE6B7E" w14:paraId="07FBCB86" w14:textId="77777777" w:rsidTr="0028756A">
        <w:trPr>
          <w:trHeight w:val="22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5463957" w14:textId="77777777" w:rsidR="00AE6B7E" w:rsidRPr="00AE6B7E" w:rsidRDefault="00AE6B7E" w:rsidP="00AE6B7E">
            <w:pPr>
              <w:jc w:val="center"/>
              <w:rPr>
                <w:rFonts w:ascii="Calibri" w:eastAsia="Times New Roman" w:hAnsi="Calibri" w:cs="Calibri"/>
                <w:lang w:eastAsia="en-GB"/>
              </w:rPr>
            </w:pPr>
            <w:r w:rsidRPr="00AE6B7E">
              <w:rPr>
                <w:rFonts w:ascii="Calibri" w:eastAsia="Times New Roman" w:hAnsi="Calibri" w:cs="Calibri"/>
                <w:lang w:eastAsia="en-GB"/>
              </w:rPr>
              <w:t>2012-14</w:t>
            </w:r>
          </w:p>
        </w:tc>
        <w:tc>
          <w:tcPr>
            <w:tcW w:w="1864" w:type="dxa"/>
            <w:noWrap/>
            <w:hideMark/>
          </w:tcPr>
          <w:p w14:paraId="62129DEA"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18.6</w:t>
            </w:r>
          </w:p>
        </w:tc>
        <w:tc>
          <w:tcPr>
            <w:tcW w:w="1865" w:type="dxa"/>
            <w:hideMark/>
          </w:tcPr>
          <w:p w14:paraId="7F40F5A4"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18.1</w:t>
            </w:r>
          </w:p>
        </w:tc>
        <w:tc>
          <w:tcPr>
            <w:tcW w:w="1865" w:type="dxa"/>
            <w:hideMark/>
          </w:tcPr>
          <w:p w14:paraId="7A1C9A66"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20.5</w:t>
            </w:r>
          </w:p>
        </w:tc>
        <w:tc>
          <w:tcPr>
            <w:tcW w:w="1865" w:type="dxa"/>
            <w:hideMark/>
          </w:tcPr>
          <w:p w14:paraId="365C24C8"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20.5</w:t>
            </w:r>
          </w:p>
        </w:tc>
      </w:tr>
      <w:tr w:rsidR="00AE6B7E" w:rsidRPr="00AE6B7E" w14:paraId="7D80830A" w14:textId="77777777" w:rsidTr="0028756A">
        <w:trPr>
          <w:trHeight w:val="22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1BB965D" w14:textId="77777777" w:rsidR="00AE6B7E" w:rsidRPr="00AE6B7E" w:rsidRDefault="00AE6B7E" w:rsidP="00AE6B7E">
            <w:pPr>
              <w:jc w:val="center"/>
              <w:rPr>
                <w:rFonts w:ascii="Calibri" w:eastAsia="Times New Roman" w:hAnsi="Calibri" w:cs="Calibri"/>
                <w:lang w:eastAsia="en-GB"/>
              </w:rPr>
            </w:pPr>
            <w:r w:rsidRPr="00AE6B7E">
              <w:rPr>
                <w:rFonts w:ascii="Calibri" w:eastAsia="Times New Roman" w:hAnsi="Calibri" w:cs="Calibri"/>
                <w:lang w:eastAsia="en-GB"/>
              </w:rPr>
              <w:t>2013-15</w:t>
            </w:r>
          </w:p>
        </w:tc>
        <w:tc>
          <w:tcPr>
            <w:tcW w:w="1864" w:type="dxa"/>
            <w:noWrap/>
            <w:hideMark/>
          </w:tcPr>
          <w:p w14:paraId="748460F2"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18.4</w:t>
            </w:r>
          </w:p>
        </w:tc>
        <w:tc>
          <w:tcPr>
            <w:tcW w:w="1865" w:type="dxa"/>
            <w:hideMark/>
          </w:tcPr>
          <w:p w14:paraId="15882B16"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18.2</w:t>
            </w:r>
          </w:p>
        </w:tc>
        <w:tc>
          <w:tcPr>
            <w:tcW w:w="1865" w:type="dxa"/>
            <w:hideMark/>
          </w:tcPr>
          <w:p w14:paraId="23E9B88C"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20.6</w:t>
            </w:r>
          </w:p>
        </w:tc>
        <w:tc>
          <w:tcPr>
            <w:tcW w:w="1865" w:type="dxa"/>
            <w:hideMark/>
          </w:tcPr>
          <w:p w14:paraId="58598642"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20.6</w:t>
            </w:r>
          </w:p>
        </w:tc>
      </w:tr>
      <w:tr w:rsidR="00AE6B7E" w:rsidRPr="00AE6B7E" w14:paraId="5FAD0F89" w14:textId="77777777" w:rsidTr="0028756A">
        <w:trPr>
          <w:trHeight w:val="22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6301A82" w14:textId="1B97ADDA" w:rsidR="00AE6B7E" w:rsidRPr="00AE6B7E" w:rsidRDefault="00AE6B7E" w:rsidP="00AE6B7E">
            <w:pPr>
              <w:jc w:val="center"/>
              <w:rPr>
                <w:rFonts w:ascii="Calibri" w:eastAsia="Times New Roman" w:hAnsi="Calibri" w:cs="Calibri"/>
                <w:lang w:eastAsia="en-GB"/>
              </w:rPr>
            </w:pPr>
            <w:r w:rsidRPr="00AE6B7E">
              <w:rPr>
                <w:rFonts w:ascii="Calibri" w:eastAsia="Times New Roman" w:hAnsi="Calibri" w:cs="Calibri"/>
                <w:lang w:eastAsia="en-GB"/>
              </w:rPr>
              <w:t>2014-16</w:t>
            </w:r>
          </w:p>
        </w:tc>
        <w:tc>
          <w:tcPr>
            <w:tcW w:w="1864" w:type="dxa"/>
            <w:noWrap/>
            <w:hideMark/>
          </w:tcPr>
          <w:p w14:paraId="3E75BB14"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19</w:t>
            </w:r>
            <w:r w:rsidR="006E37F6">
              <w:rPr>
                <w:rFonts w:ascii="Calibri" w:eastAsia="Times New Roman" w:hAnsi="Calibri" w:cs="Calibri"/>
                <w:lang w:eastAsia="en-GB"/>
              </w:rPr>
              <w:t>.0</w:t>
            </w:r>
          </w:p>
        </w:tc>
        <w:tc>
          <w:tcPr>
            <w:tcW w:w="1865" w:type="dxa"/>
            <w:hideMark/>
          </w:tcPr>
          <w:p w14:paraId="4596BD8A"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18.3</w:t>
            </w:r>
          </w:p>
        </w:tc>
        <w:tc>
          <w:tcPr>
            <w:tcW w:w="1865" w:type="dxa"/>
            <w:hideMark/>
          </w:tcPr>
          <w:p w14:paraId="42F237B7"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20.9</w:t>
            </w:r>
          </w:p>
        </w:tc>
        <w:tc>
          <w:tcPr>
            <w:tcW w:w="1865" w:type="dxa"/>
            <w:hideMark/>
          </w:tcPr>
          <w:p w14:paraId="6150467D"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20.7</w:t>
            </w:r>
          </w:p>
        </w:tc>
      </w:tr>
      <w:tr w:rsidR="00AE6B7E" w:rsidRPr="00AE6B7E" w14:paraId="2359EB20" w14:textId="77777777" w:rsidTr="0028756A">
        <w:trPr>
          <w:trHeight w:val="22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D39EAB7" w14:textId="77777777" w:rsidR="00AE6B7E" w:rsidRPr="00AE6B7E" w:rsidRDefault="00AE6B7E" w:rsidP="00AE6B7E">
            <w:pPr>
              <w:jc w:val="center"/>
              <w:rPr>
                <w:rFonts w:ascii="Calibri" w:eastAsia="Times New Roman" w:hAnsi="Calibri" w:cs="Calibri"/>
                <w:lang w:eastAsia="en-GB"/>
              </w:rPr>
            </w:pPr>
            <w:r w:rsidRPr="00AE6B7E">
              <w:rPr>
                <w:rFonts w:ascii="Calibri" w:eastAsia="Times New Roman" w:hAnsi="Calibri" w:cs="Calibri"/>
                <w:lang w:eastAsia="en-GB"/>
              </w:rPr>
              <w:t>2015-17</w:t>
            </w:r>
          </w:p>
        </w:tc>
        <w:tc>
          <w:tcPr>
            <w:tcW w:w="1864" w:type="dxa"/>
            <w:noWrap/>
            <w:hideMark/>
          </w:tcPr>
          <w:p w14:paraId="01EE3032"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18.6</w:t>
            </w:r>
          </w:p>
        </w:tc>
        <w:tc>
          <w:tcPr>
            <w:tcW w:w="1865" w:type="dxa"/>
            <w:hideMark/>
          </w:tcPr>
          <w:p w14:paraId="29BBAD1B"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18.2</w:t>
            </w:r>
          </w:p>
        </w:tc>
        <w:tc>
          <w:tcPr>
            <w:tcW w:w="1865" w:type="dxa"/>
            <w:hideMark/>
          </w:tcPr>
          <w:p w14:paraId="1FECAE78"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20.9</w:t>
            </w:r>
          </w:p>
        </w:tc>
        <w:tc>
          <w:tcPr>
            <w:tcW w:w="1865" w:type="dxa"/>
            <w:hideMark/>
          </w:tcPr>
          <w:p w14:paraId="55EDEAEA" w14:textId="77777777" w:rsidR="00AE6B7E" w:rsidRPr="00AE6B7E" w:rsidRDefault="00AE6B7E" w:rsidP="00AE6B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AE6B7E">
              <w:rPr>
                <w:rFonts w:ascii="Calibri" w:eastAsia="Times New Roman" w:hAnsi="Calibri" w:cs="Calibri"/>
                <w:lang w:eastAsia="en-GB"/>
              </w:rPr>
              <w:t>20.6</w:t>
            </w:r>
          </w:p>
        </w:tc>
      </w:tr>
      <w:tr w:rsidR="00CD0C89" w:rsidRPr="00AE6B7E" w14:paraId="19EB35F6" w14:textId="77777777" w:rsidTr="0028756A">
        <w:trPr>
          <w:trHeight w:val="22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B9DF57A" w14:textId="77777777" w:rsidR="00CD0C89" w:rsidRPr="00AE6B7E" w:rsidRDefault="00CD0C89" w:rsidP="00CD0C89">
            <w:pPr>
              <w:jc w:val="center"/>
              <w:rPr>
                <w:rFonts w:ascii="Calibri" w:eastAsia="Times New Roman" w:hAnsi="Calibri" w:cs="Calibri"/>
                <w:lang w:eastAsia="en-GB"/>
              </w:rPr>
            </w:pPr>
            <w:r w:rsidRPr="00AE6B7E">
              <w:rPr>
                <w:rFonts w:ascii="Calibri" w:eastAsia="Times New Roman" w:hAnsi="Calibri" w:cs="Calibri"/>
                <w:lang w:eastAsia="en-GB"/>
              </w:rPr>
              <w:t>2016-18</w:t>
            </w:r>
          </w:p>
        </w:tc>
        <w:tc>
          <w:tcPr>
            <w:tcW w:w="1864" w:type="dxa"/>
            <w:noWrap/>
            <w:vAlign w:val="center"/>
            <w:hideMark/>
          </w:tcPr>
          <w:p w14:paraId="05DF34C5" w14:textId="2BDE855E" w:rsidR="00CD0C89" w:rsidRPr="00AE6B7E" w:rsidRDefault="00CD0C89" w:rsidP="00CD0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18.6</w:t>
            </w:r>
          </w:p>
        </w:tc>
        <w:tc>
          <w:tcPr>
            <w:tcW w:w="1865" w:type="dxa"/>
            <w:vAlign w:val="center"/>
            <w:hideMark/>
          </w:tcPr>
          <w:p w14:paraId="5EF82F2C" w14:textId="68B61792" w:rsidR="00CD0C89" w:rsidRPr="00AE6B7E" w:rsidRDefault="00CD0C89" w:rsidP="00CD0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18.4</w:t>
            </w:r>
          </w:p>
        </w:tc>
        <w:tc>
          <w:tcPr>
            <w:tcW w:w="1865" w:type="dxa"/>
            <w:vAlign w:val="center"/>
            <w:hideMark/>
          </w:tcPr>
          <w:p w14:paraId="7236A15E" w14:textId="7123DED3" w:rsidR="00CD0C89" w:rsidRPr="00AE6B7E" w:rsidRDefault="00CD0C89" w:rsidP="00CD0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21.0</w:t>
            </w:r>
          </w:p>
        </w:tc>
        <w:tc>
          <w:tcPr>
            <w:tcW w:w="1865" w:type="dxa"/>
            <w:vAlign w:val="center"/>
            <w:hideMark/>
          </w:tcPr>
          <w:p w14:paraId="34D9930D" w14:textId="0AAD057B" w:rsidR="00CD0C89" w:rsidRPr="00AE6B7E" w:rsidRDefault="00CD0C89" w:rsidP="00CD0C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20.7</w:t>
            </w:r>
          </w:p>
        </w:tc>
      </w:tr>
      <w:tr w:rsidR="00F07CBE" w:rsidRPr="00AE6B7E" w14:paraId="3D646687" w14:textId="77777777" w:rsidTr="0028756A">
        <w:trPr>
          <w:trHeight w:val="227"/>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F81E8D8" w14:textId="77777777" w:rsidR="00F07CBE" w:rsidRPr="00AE6B7E" w:rsidRDefault="00F07CBE" w:rsidP="00F07CBE">
            <w:pPr>
              <w:jc w:val="center"/>
              <w:rPr>
                <w:rFonts w:ascii="Calibri" w:eastAsia="Times New Roman" w:hAnsi="Calibri" w:cs="Calibri"/>
                <w:lang w:eastAsia="en-GB"/>
              </w:rPr>
            </w:pPr>
            <w:r w:rsidRPr="00AE6B7E">
              <w:rPr>
                <w:rFonts w:ascii="Calibri" w:eastAsia="Times New Roman" w:hAnsi="Calibri" w:cs="Calibri"/>
                <w:lang w:eastAsia="en-GB"/>
              </w:rPr>
              <w:t>2017-19</w:t>
            </w:r>
          </w:p>
        </w:tc>
        <w:tc>
          <w:tcPr>
            <w:tcW w:w="1864" w:type="dxa"/>
            <w:noWrap/>
            <w:vAlign w:val="center"/>
            <w:hideMark/>
          </w:tcPr>
          <w:p w14:paraId="65CE9570" w14:textId="36803EF5" w:rsidR="00F07CBE" w:rsidRPr="00AE6B7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18.7</w:t>
            </w:r>
          </w:p>
        </w:tc>
        <w:tc>
          <w:tcPr>
            <w:tcW w:w="1865" w:type="dxa"/>
            <w:vAlign w:val="center"/>
            <w:hideMark/>
          </w:tcPr>
          <w:p w14:paraId="4147C3FA" w14:textId="115B95C6" w:rsidR="00F07CBE" w:rsidRPr="00AE6B7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18.5</w:t>
            </w:r>
          </w:p>
        </w:tc>
        <w:tc>
          <w:tcPr>
            <w:tcW w:w="1865" w:type="dxa"/>
            <w:vAlign w:val="center"/>
            <w:hideMark/>
          </w:tcPr>
          <w:p w14:paraId="793622F0" w14:textId="2E66D1BA" w:rsidR="00F07CBE" w:rsidRPr="00AE6B7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21.2</w:t>
            </w:r>
          </w:p>
        </w:tc>
        <w:tc>
          <w:tcPr>
            <w:tcW w:w="1865" w:type="dxa"/>
            <w:vAlign w:val="center"/>
            <w:hideMark/>
          </w:tcPr>
          <w:p w14:paraId="2CE73837" w14:textId="4A0EAB33" w:rsidR="00F07CBE" w:rsidRPr="00AE6B7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20.9</w:t>
            </w:r>
          </w:p>
        </w:tc>
      </w:tr>
      <w:tr w:rsidR="00F07CBE" w:rsidRPr="00AE6B7E" w14:paraId="1789809A" w14:textId="77777777" w:rsidTr="0028756A">
        <w:trPr>
          <w:trHeight w:val="227"/>
        </w:trPr>
        <w:tc>
          <w:tcPr>
            <w:cnfStyle w:val="001000000000" w:firstRow="0" w:lastRow="0" w:firstColumn="1" w:lastColumn="0" w:oddVBand="0" w:evenVBand="0" w:oddHBand="0" w:evenHBand="0" w:firstRowFirstColumn="0" w:firstRowLastColumn="0" w:lastRowFirstColumn="0" w:lastRowLastColumn="0"/>
            <w:tcW w:w="1276" w:type="dxa"/>
            <w:noWrap/>
            <w:vAlign w:val="center"/>
          </w:tcPr>
          <w:p w14:paraId="4FBE2CFF" w14:textId="77777777" w:rsidR="00F07CBE" w:rsidRPr="00867443" w:rsidRDefault="00F07CBE" w:rsidP="00F07CBE">
            <w:pPr>
              <w:jc w:val="center"/>
              <w:rPr>
                <w:rFonts w:ascii="Calibri" w:hAnsi="Calibri" w:cs="Calibri"/>
              </w:rPr>
            </w:pPr>
            <w:r w:rsidRPr="00867443">
              <w:rPr>
                <w:rFonts w:ascii="Calibri" w:hAnsi="Calibri" w:cs="Calibri"/>
                <w:bCs w:val="0"/>
              </w:rPr>
              <w:t>2018-20</w:t>
            </w:r>
          </w:p>
        </w:tc>
        <w:tc>
          <w:tcPr>
            <w:tcW w:w="1864" w:type="dxa"/>
            <w:noWrap/>
            <w:vAlign w:val="center"/>
          </w:tcPr>
          <w:p w14:paraId="4DD11850" w14:textId="08AB2BDA"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1865" w:type="dxa"/>
            <w:vAlign w:val="center"/>
          </w:tcPr>
          <w:p w14:paraId="699EA18E" w14:textId="7B40440E"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w:t>
            </w:r>
          </w:p>
        </w:tc>
        <w:tc>
          <w:tcPr>
            <w:tcW w:w="1865" w:type="dxa"/>
            <w:vAlign w:val="center"/>
          </w:tcPr>
          <w:p w14:paraId="05A8C564" w14:textId="1FE80DBC"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1865" w:type="dxa"/>
            <w:vAlign w:val="center"/>
          </w:tcPr>
          <w:p w14:paraId="36A94A05" w14:textId="1DE29ED8"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r>
      <w:tr w:rsidR="00F07CBE" w:rsidRPr="00AE6B7E" w14:paraId="065A25DA" w14:textId="77777777" w:rsidTr="0028756A">
        <w:trPr>
          <w:trHeight w:val="227"/>
        </w:trPr>
        <w:tc>
          <w:tcPr>
            <w:cnfStyle w:val="001000000000" w:firstRow="0" w:lastRow="0" w:firstColumn="1" w:lastColumn="0" w:oddVBand="0" w:evenVBand="0" w:oddHBand="0" w:evenHBand="0" w:firstRowFirstColumn="0" w:firstRowLastColumn="0" w:lastRowFirstColumn="0" w:lastRowLastColumn="0"/>
            <w:tcW w:w="1276" w:type="dxa"/>
            <w:noWrap/>
            <w:vAlign w:val="center"/>
          </w:tcPr>
          <w:p w14:paraId="1117652C" w14:textId="77777777" w:rsidR="00F07CBE" w:rsidRPr="00867443" w:rsidRDefault="00F07CBE" w:rsidP="00F07CBE">
            <w:pPr>
              <w:jc w:val="center"/>
              <w:rPr>
                <w:rFonts w:ascii="Calibri" w:hAnsi="Calibri" w:cs="Calibri"/>
              </w:rPr>
            </w:pPr>
            <w:r w:rsidRPr="00867443">
              <w:rPr>
                <w:rFonts w:ascii="Calibri" w:hAnsi="Calibri" w:cs="Calibri"/>
                <w:bCs w:val="0"/>
              </w:rPr>
              <w:t>2019-21</w:t>
            </w:r>
          </w:p>
        </w:tc>
        <w:tc>
          <w:tcPr>
            <w:tcW w:w="1864" w:type="dxa"/>
            <w:noWrap/>
            <w:vAlign w:val="center"/>
          </w:tcPr>
          <w:p w14:paraId="4990F890" w14:textId="53230B27"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w:t>
            </w:r>
          </w:p>
        </w:tc>
        <w:tc>
          <w:tcPr>
            <w:tcW w:w="1865" w:type="dxa"/>
            <w:vAlign w:val="center"/>
          </w:tcPr>
          <w:p w14:paraId="599C9343" w14:textId="14A3CBD9"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w:t>
            </w:r>
          </w:p>
        </w:tc>
        <w:tc>
          <w:tcPr>
            <w:tcW w:w="1865" w:type="dxa"/>
            <w:vAlign w:val="center"/>
          </w:tcPr>
          <w:p w14:paraId="66CA6135" w14:textId="4607C91E"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1865" w:type="dxa"/>
            <w:vAlign w:val="center"/>
          </w:tcPr>
          <w:p w14:paraId="7D000F5C" w14:textId="3607ED55"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r>
      <w:tr w:rsidR="00F07CBE" w:rsidRPr="00AE6B7E" w14:paraId="5278E564" w14:textId="77777777" w:rsidTr="0028756A">
        <w:trPr>
          <w:trHeight w:val="227"/>
        </w:trPr>
        <w:tc>
          <w:tcPr>
            <w:cnfStyle w:val="001000000000" w:firstRow="0" w:lastRow="0" w:firstColumn="1" w:lastColumn="0" w:oddVBand="0" w:evenVBand="0" w:oddHBand="0" w:evenHBand="0" w:firstRowFirstColumn="0" w:firstRowLastColumn="0" w:lastRowFirstColumn="0" w:lastRowLastColumn="0"/>
            <w:tcW w:w="1276" w:type="dxa"/>
            <w:noWrap/>
            <w:vAlign w:val="center"/>
          </w:tcPr>
          <w:p w14:paraId="2C03A5B4" w14:textId="03D3F071" w:rsidR="00F07CBE" w:rsidRPr="00CD0C89" w:rsidRDefault="00F07CBE" w:rsidP="00F07CBE">
            <w:pPr>
              <w:jc w:val="center"/>
              <w:rPr>
                <w:rFonts w:ascii="Calibri" w:hAnsi="Calibri" w:cs="Calibri"/>
              </w:rPr>
            </w:pPr>
            <w:r w:rsidRPr="00CD0C89">
              <w:rPr>
                <w:rFonts w:ascii="Calibri" w:hAnsi="Calibri" w:cs="Calibri"/>
              </w:rPr>
              <w:t>2020-22</w:t>
            </w:r>
          </w:p>
        </w:tc>
        <w:tc>
          <w:tcPr>
            <w:tcW w:w="1864" w:type="dxa"/>
            <w:noWrap/>
            <w:vAlign w:val="center"/>
          </w:tcPr>
          <w:p w14:paraId="22F8AFA0" w14:textId="58D8B84A"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w:t>
            </w:r>
          </w:p>
        </w:tc>
        <w:tc>
          <w:tcPr>
            <w:tcW w:w="1865" w:type="dxa"/>
            <w:vAlign w:val="center"/>
          </w:tcPr>
          <w:p w14:paraId="397660AC" w14:textId="0E1E88FB"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18.3</w:t>
            </w:r>
          </w:p>
        </w:tc>
        <w:tc>
          <w:tcPr>
            <w:tcW w:w="1865" w:type="dxa"/>
            <w:vAlign w:val="center"/>
          </w:tcPr>
          <w:p w14:paraId="0D676E45" w14:textId="78476C46"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r w:rsidR="003713F8">
              <w:rPr>
                <w:rFonts w:ascii="Calibri" w:hAnsi="Calibri" w:cs="Calibri"/>
              </w:rPr>
              <w:t>.0</w:t>
            </w:r>
          </w:p>
        </w:tc>
        <w:tc>
          <w:tcPr>
            <w:tcW w:w="1865" w:type="dxa"/>
            <w:vAlign w:val="center"/>
          </w:tcPr>
          <w:p w14:paraId="53FE00FE" w14:textId="1A2251F7"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w:t>
            </w:r>
          </w:p>
        </w:tc>
      </w:tr>
      <w:tr w:rsidR="00F07CBE" w:rsidRPr="00AE6B7E" w14:paraId="3C69D285" w14:textId="77777777" w:rsidTr="0028756A">
        <w:trPr>
          <w:trHeight w:val="227"/>
        </w:trPr>
        <w:tc>
          <w:tcPr>
            <w:cnfStyle w:val="001000000000" w:firstRow="0" w:lastRow="0" w:firstColumn="1" w:lastColumn="0" w:oddVBand="0" w:evenVBand="0" w:oddHBand="0" w:evenHBand="0" w:firstRowFirstColumn="0" w:firstRowLastColumn="0" w:lastRowFirstColumn="0" w:lastRowLastColumn="0"/>
            <w:tcW w:w="1276" w:type="dxa"/>
            <w:noWrap/>
            <w:vAlign w:val="center"/>
          </w:tcPr>
          <w:p w14:paraId="16AD49AA" w14:textId="309DBCF6" w:rsidR="00F07CBE" w:rsidRPr="00CD0C89" w:rsidRDefault="00F07CBE" w:rsidP="00F07CBE">
            <w:pPr>
              <w:jc w:val="center"/>
              <w:rPr>
                <w:rFonts w:ascii="Calibri" w:hAnsi="Calibri" w:cs="Calibri"/>
              </w:rPr>
            </w:pPr>
            <w:r>
              <w:rPr>
                <w:rFonts w:ascii="Calibri" w:hAnsi="Calibri" w:cs="Calibri"/>
              </w:rPr>
              <w:t>2021-23</w:t>
            </w:r>
          </w:p>
        </w:tc>
        <w:tc>
          <w:tcPr>
            <w:tcW w:w="1864" w:type="dxa"/>
            <w:noWrap/>
            <w:vAlign w:val="center"/>
          </w:tcPr>
          <w:p w14:paraId="10EFCD36" w14:textId="31AF245B"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w:t>
            </w:r>
          </w:p>
        </w:tc>
        <w:tc>
          <w:tcPr>
            <w:tcW w:w="1865" w:type="dxa"/>
            <w:vAlign w:val="center"/>
          </w:tcPr>
          <w:p w14:paraId="5AA04AE9" w14:textId="271296AB"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w:t>
            </w:r>
          </w:p>
        </w:tc>
        <w:tc>
          <w:tcPr>
            <w:tcW w:w="1865" w:type="dxa"/>
            <w:vAlign w:val="center"/>
          </w:tcPr>
          <w:p w14:paraId="5266B29F" w14:textId="0F2AEF46"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1865" w:type="dxa"/>
            <w:vAlign w:val="center"/>
          </w:tcPr>
          <w:p w14:paraId="48DF5FC5" w14:textId="7D29F90A"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r>
      <w:tr w:rsidR="003713F8" w:rsidRPr="00AE6B7E" w14:paraId="70C6A02A" w14:textId="77777777" w:rsidTr="0028756A">
        <w:trPr>
          <w:trHeight w:val="227"/>
        </w:trPr>
        <w:tc>
          <w:tcPr>
            <w:cnfStyle w:val="001000000000" w:firstRow="0" w:lastRow="0" w:firstColumn="1" w:lastColumn="0" w:oddVBand="0" w:evenVBand="0" w:oddHBand="0" w:evenHBand="0" w:firstRowFirstColumn="0" w:firstRowLastColumn="0" w:lastRowFirstColumn="0" w:lastRowLastColumn="0"/>
            <w:tcW w:w="1276" w:type="dxa"/>
            <w:noWrap/>
            <w:vAlign w:val="center"/>
          </w:tcPr>
          <w:p w14:paraId="3F8465BF" w14:textId="7A0A0CC9" w:rsidR="003713F8" w:rsidRDefault="003713F8" w:rsidP="00F07CBE">
            <w:pPr>
              <w:jc w:val="center"/>
              <w:rPr>
                <w:rFonts w:ascii="Calibri" w:hAnsi="Calibri" w:cs="Calibri"/>
              </w:rPr>
            </w:pPr>
            <w:r>
              <w:rPr>
                <w:rFonts w:ascii="Calibri" w:hAnsi="Calibri" w:cs="Calibri"/>
              </w:rPr>
              <w:t>2022-24</w:t>
            </w:r>
          </w:p>
        </w:tc>
        <w:tc>
          <w:tcPr>
            <w:tcW w:w="1864" w:type="dxa"/>
            <w:noWrap/>
            <w:vAlign w:val="center"/>
          </w:tcPr>
          <w:p w14:paraId="55402BE0" w14:textId="77C34914" w:rsidR="003713F8" w:rsidRDefault="003713F8"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1865" w:type="dxa"/>
            <w:vAlign w:val="center"/>
          </w:tcPr>
          <w:p w14:paraId="19E001E6" w14:textId="0F489E50" w:rsidR="003713F8" w:rsidRDefault="003713F8"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1865" w:type="dxa"/>
            <w:vAlign w:val="center"/>
          </w:tcPr>
          <w:p w14:paraId="41B5A002" w14:textId="13A55B6A" w:rsidR="003713F8" w:rsidRDefault="003713F8"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w:t>
            </w:r>
          </w:p>
        </w:tc>
        <w:tc>
          <w:tcPr>
            <w:tcW w:w="1865" w:type="dxa"/>
            <w:vAlign w:val="center"/>
          </w:tcPr>
          <w:p w14:paraId="6FC84331" w14:textId="7A1742B6" w:rsidR="003713F8" w:rsidRDefault="003713F8"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w:t>
            </w:r>
          </w:p>
        </w:tc>
      </w:tr>
    </w:tbl>
    <w:p w14:paraId="5A2B2276" w14:textId="77777777" w:rsidR="007558D5" w:rsidRDefault="0028756A" w:rsidP="00CD0C89">
      <w:pPr>
        <w:rPr>
          <w:i/>
          <w:iCs/>
          <w:noProof/>
          <w:sz w:val="18"/>
          <w:szCs w:val="18"/>
        </w:rPr>
      </w:pPr>
      <w:r>
        <w:rPr>
          <w:i/>
          <w:iCs/>
          <w:noProof/>
          <w:sz w:val="18"/>
          <w:szCs w:val="18"/>
        </w:rPr>
        <w:t>Table 2: Life expectancy at age 65 by gender in Armagh City, Banbridge and Craigavon Borough and Northern Ireland 2011-13 to 2022-24. Source: Health Inequailities Annual Report 2026, Department of Health, Northern Ireland.</w:t>
      </w:r>
    </w:p>
    <w:p w14:paraId="1051006E" w14:textId="3914486C" w:rsidR="00CB27CD" w:rsidRPr="0028756A" w:rsidRDefault="0028756A" w:rsidP="00CD0C89">
      <w:pPr>
        <w:rPr>
          <w:i/>
          <w:iCs/>
          <w:noProof/>
          <w:sz w:val="18"/>
          <w:szCs w:val="18"/>
        </w:rPr>
      </w:pPr>
      <w:r>
        <w:rPr>
          <w:noProof/>
        </w:rPr>
        <w:drawing>
          <wp:anchor distT="0" distB="0" distL="114300" distR="114300" simplePos="0" relativeHeight="251660288" behindDoc="1" locked="0" layoutInCell="1" allowOverlap="1" wp14:anchorId="1A7E31B8" wp14:editId="322A8D06">
            <wp:simplePos x="0" y="0"/>
            <wp:positionH relativeFrom="margin">
              <wp:posOffset>-635</wp:posOffset>
            </wp:positionH>
            <wp:positionV relativeFrom="paragraph">
              <wp:posOffset>330835</wp:posOffset>
            </wp:positionV>
            <wp:extent cx="5686425" cy="3448050"/>
            <wp:effectExtent l="0" t="0" r="9525" b="0"/>
            <wp:wrapTight wrapText="bothSides">
              <wp:wrapPolygon edited="0">
                <wp:start x="0" y="0"/>
                <wp:lineTo x="0" y="21481"/>
                <wp:lineTo x="21564" y="21481"/>
                <wp:lineTo x="21564" y="0"/>
                <wp:lineTo x="0" y="0"/>
              </wp:wrapPolygon>
            </wp:wrapTight>
            <wp:docPr id="2068888908" name="Chart 1" descr="Chart showing the life expectancy at age 65 by gender in Armagh City, Banbridge and Craigavon Borough and Northern Ireland 2011-13 to 2022-24">
              <a:extLst xmlns:a="http://schemas.openxmlformats.org/drawingml/2006/main">
                <a:ext uri="{FF2B5EF4-FFF2-40B4-BE49-F238E27FC236}">
                  <a16:creationId xmlns:a16="http://schemas.microsoft.com/office/drawing/2014/main" id="{92DCAD61-50DD-C71F-1EB2-35290F192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37057B86" w14:textId="43A5630F" w:rsidR="0028756A" w:rsidRPr="00E52EB8" w:rsidRDefault="00C56F16" w:rsidP="008C513E">
      <w:pPr>
        <w:rPr>
          <w:rFonts w:ascii="Calibri" w:hAnsi="Calibri" w:cs="Calibri"/>
          <w:i/>
          <w:sz w:val="20"/>
          <w:szCs w:val="20"/>
          <w:shd w:val="clear" w:color="auto" w:fill="FFFFFF"/>
        </w:rPr>
      </w:pPr>
      <w:r>
        <w:rPr>
          <w:i/>
          <w:sz w:val="20"/>
          <w:szCs w:val="20"/>
        </w:rPr>
        <w:t>Figure</w:t>
      </w:r>
      <w:r w:rsidR="00424224" w:rsidRPr="00C26426">
        <w:rPr>
          <w:i/>
          <w:sz w:val="20"/>
          <w:szCs w:val="20"/>
        </w:rPr>
        <w:t xml:space="preserve"> 2: Life expectancy at age 65 by gender in Armagh City, Banbridge and Craigavon Borough and Northern Ireland 2011-13 to </w:t>
      </w:r>
      <w:r w:rsidR="00C26426" w:rsidRPr="00C26426">
        <w:rPr>
          <w:i/>
          <w:sz w:val="20"/>
          <w:szCs w:val="20"/>
        </w:rPr>
        <w:t>20</w:t>
      </w:r>
      <w:r w:rsidR="005D3D8E">
        <w:rPr>
          <w:i/>
          <w:sz w:val="20"/>
          <w:szCs w:val="20"/>
        </w:rPr>
        <w:t>2</w:t>
      </w:r>
      <w:r w:rsidR="0028756A">
        <w:rPr>
          <w:i/>
          <w:sz w:val="20"/>
          <w:szCs w:val="20"/>
        </w:rPr>
        <w:t>2</w:t>
      </w:r>
      <w:r>
        <w:rPr>
          <w:i/>
          <w:sz w:val="20"/>
          <w:szCs w:val="20"/>
        </w:rPr>
        <w:t>-2</w:t>
      </w:r>
      <w:r w:rsidR="0028756A">
        <w:rPr>
          <w:i/>
          <w:sz w:val="20"/>
          <w:szCs w:val="20"/>
        </w:rPr>
        <w:t>4</w:t>
      </w:r>
      <w:r w:rsidR="00424224" w:rsidRPr="00C26426">
        <w:rPr>
          <w:i/>
          <w:sz w:val="20"/>
          <w:szCs w:val="20"/>
        </w:rPr>
        <w:t xml:space="preserve">. Source: </w:t>
      </w:r>
      <w:r w:rsidR="00CD0C89">
        <w:rPr>
          <w:i/>
          <w:sz w:val="20"/>
          <w:szCs w:val="20"/>
        </w:rPr>
        <w:t>Health Inequalities Annual Report 202</w:t>
      </w:r>
      <w:r w:rsidR="0028756A">
        <w:rPr>
          <w:i/>
          <w:sz w:val="20"/>
          <w:szCs w:val="20"/>
        </w:rPr>
        <w:t>6</w:t>
      </w:r>
      <w:r w:rsidR="00CD0C89">
        <w:rPr>
          <w:i/>
          <w:sz w:val="20"/>
          <w:szCs w:val="20"/>
        </w:rPr>
        <w:t xml:space="preserve">, Department of Health, Northern Ireland. </w:t>
      </w:r>
    </w:p>
    <w:p w14:paraId="26B0BD5A" w14:textId="16FB20E2" w:rsidR="00C6423D" w:rsidRPr="00C56F16" w:rsidRDefault="004F7904" w:rsidP="008C513E">
      <w:r w:rsidRPr="00150784">
        <w:t>The standardised death rate for those aged under 75</w:t>
      </w:r>
      <w:r w:rsidR="00C56F16">
        <w:t xml:space="preserve"> (all causes)</w:t>
      </w:r>
      <w:r w:rsidRPr="00150784">
        <w:t xml:space="preserve"> was 3</w:t>
      </w:r>
      <w:r w:rsidR="00250DE1">
        <w:t>49</w:t>
      </w:r>
      <w:r w:rsidRPr="00150784">
        <w:t xml:space="preserve"> </w:t>
      </w:r>
      <w:r w:rsidR="00B07D3E">
        <w:t xml:space="preserve">per 100,000 population </w:t>
      </w:r>
      <w:r w:rsidRPr="00150784">
        <w:t>in Armagh City, Banbridge and Craigavon</w:t>
      </w:r>
      <w:r w:rsidR="0003078F" w:rsidRPr="00150784">
        <w:t xml:space="preserve"> Borough</w:t>
      </w:r>
      <w:r w:rsidR="00B323BB" w:rsidRPr="00150784">
        <w:t xml:space="preserve"> in </w:t>
      </w:r>
      <w:r w:rsidR="00EE3405" w:rsidRPr="00150784">
        <w:t>20</w:t>
      </w:r>
      <w:r w:rsidR="00250DE1">
        <w:t>20-24</w:t>
      </w:r>
      <w:r w:rsidR="00EE3405" w:rsidRPr="00150784">
        <w:t xml:space="preserve"> and 3</w:t>
      </w:r>
      <w:r w:rsidR="00250DE1">
        <w:t>68</w:t>
      </w:r>
      <w:r w:rsidRPr="00150784">
        <w:t xml:space="preserve"> in Northern Ireland during the same period.</w:t>
      </w:r>
      <w:r w:rsidR="00EE3405" w:rsidRPr="00150784">
        <w:t xml:space="preserve"> </w:t>
      </w:r>
      <w:r w:rsidRPr="00150784">
        <w:t xml:space="preserve"> </w:t>
      </w:r>
      <w:r w:rsidR="00E30FF1" w:rsidRPr="00150784">
        <w:t xml:space="preserve">The death rate per </w:t>
      </w:r>
      <w:r w:rsidR="00C56F16">
        <w:t xml:space="preserve">100,000 population </w:t>
      </w:r>
      <w:r w:rsidR="007558D5">
        <w:t>has</w:t>
      </w:r>
      <w:r w:rsidR="007558D5" w:rsidRPr="00150784">
        <w:t xml:space="preserve"> </w:t>
      </w:r>
      <w:r w:rsidR="00E30FF1" w:rsidRPr="00150784">
        <w:t xml:space="preserve">decreased in the </w:t>
      </w:r>
      <w:r w:rsidR="00F07CBE">
        <w:t>B</w:t>
      </w:r>
      <w:r w:rsidR="00E30FF1" w:rsidRPr="00150784">
        <w:t>orough since 2009-13</w:t>
      </w:r>
      <w:r w:rsidR="007558D5">
        <w:t xml:space="preserve">.  However, having reached a low of </w:t>
      </w:r>
      <w:r w:rsidR="00E30FF1" w:rsidRPr="00150784">
        <w:t>3</w:t>
      </w:r>
      <w:r w:rsidR="00EE3405" w:rsidRPr="00150784">
        <w:t>3</w:t>
      </w:r>
      <w:r w:rsidR="00FF6BDC">
        <w:t>1</w:t>
      </w:r>
      <w:r w:rsidR="007558D5">
        <w:t xml:space="preserve"> per 100,000 population</w:t>
      </w:r>
      <w:r w:rsidR="00E30FF1" w:rsidRPr="00150784">
        <w:t xml:space="preserve"> in </w:t>
      </w:r>
      <w:r w:rsidR="00EE3405" w:rsidRPr="00150784">
        <w:t>2015-19</w:t>
      </w:r>
      <w:r w:rsidR="00C56F16">
        <w:t xml:space="preserve"> and 2016-20</w:t>
      </w:r>
      <w:r w:rsidR="007558D5">
        <w:t>, it</w:t>
      </w:r>
      <w:r w:rsidR="00910AAC">
        <w:t xml:space="preserve"> </w:t>
      </w:r>
      <w:r w:rsidR="00F07CBE">
        <w:t xml:space="preserve">has remained </w:t>
      </w:r>
      <w:r w:rsidR="00351BE5">
        <w:t xml:space="preserve">above these low levels </w:t>
      </w:r>
      <w:r w:rsidR="00F07CBE">
        <w:t>since</w:t>
      </w:r>
      <w:r w:rsidR="00E30FF1" w:rsidRPr="00150784">
        <w:t>.</w:t>
      </w:r>
      <w:r w:rsidR="007E7361">
        <w:t xml:space="preserve"> </w:t>
      </w:r>
      <w:r w:rsidR="00E30FF1" w:rsidRPr="00150784">
        <w:t xml:space="preserve"> The rate in Northern Ireland has also decreased from 388 </w:t>
      </w:r>
      <w:r w:rsidR="00150784" w:rsidRPr="00150784">
        <w:t xml:space="preserve">in 2009-13 to </w:t>
      </w:r>
      <w:r w:rsidR="007558D5" w:rsidRPr="00150784">
        <w:t>36</w:t>
      </w:r>
      <w:r w:rsidR="007558D5">
        <w:t>8 in 2020-24</w:t>
      </w:r>
      <w:r w:rsidR="00BD0C4E">
        <w:t xml:space="preserve">.  However, having reached a low of 361 </w:t>
      </w:r>
      <w:r w:rsidR="00F07CBE">
        <w:t xml:space="preserve">for the two </w:t>
      </w:r>
      <w:r w:rsidR="00BD0C4E">
        <w:t xml:space="preserve">previous </w:t>
      </w:r>
      <w:r w:rsidR="00F07CBE">
        <w:t>periods</w:t>
      </w:r>
      <w:r w:rsidR="00BD0C4E">
        <w:t xml:space="preserve">, it </w:t>
      </w:r>
      <w:r w:rsidR="00BD0C4E">
        <w:lastRenderedPageBreak/>
        <w:t>has increased again in 2020-24</w:t>
      </w:r>
      <w:r w:rsidR="00F07CBE">
        <w:t>.</w:t>
      </w:r>
      <w:r w:rsidR="00250DE1">
        <w:t xml:space="preserve"> The standardised date rate for those aged under 75 (all causes) rose in the period 2020-24 both at Armagh City, Banbridge and Craigavon Borough and Northern Ireland </w:t>
      </w:r>
      <w:r w:rsidR="00E52EB8">
        <w:t>to 349 and 368 retrospectively.</w:t>
      </w:r>
    </w:p>
    <w:tbl>
      <w:tblPr>
        <w:tblStyle w:val="GridTable1Light"/>
        <w:tblW w:w="5665" w:type="dxa"/>
        <w:tblLook w:val="04A0" w:firstRow="1" w:lastRow="0" w:firstColumn="1" w:lastColumn="0" w:noHBand="0" w:noVBand="1"/>
        <w:tblCaption w:val="Standardised death rate (under 75, all causes) per 100,000 population in Armagh City, Banbridge and Craigavon Borough and Northern Ireland 2009-13 to 2015-19"/>
      </w:tblPr>
      <w:tblGrid>
        <w:gridCol w:w="1985"/>
        <w:gridCol w:w="1840"/>
        <w:gridCol w:w="1840"/>
      </w:tblGrid>
      <w:tr w:rsidR="00EE3405" w:rsidRPr="00C6423D" w14:paraId="15142E89" w14:textId="77777777" w:rsidTr="008B4727">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1985" w:type="dxa"/>
            <w:hideMark/>
          </w:tcPr>
          <w:p w14:paraId="655CF8F0" w14:textId="77777777" w:rsidR="00C6423D" w:rsidRPr="00EE3405" w:rsidRDefault="00C6423D" w:rsidP="00C6423D">
            <w:pPr>
              <w:jc w:val="center"/>
              <w:rPr>
                <w:rFonts w:ascii="Calibri" w:eastAsia="Times New Roman" w:hAnsi="Calibri" w:cs="Calibri"/>
                <w:lang w:eastAsia="en-GB"/>
              </w:rPr>
            </w:pPr>
            <w:r w:rsidRPr="00C6423D">
              <w:rPr>
                <w:rFonts w:ascii="Calibri" w:eastAsia="Times New Roman" w:hAnsi="Calibri" w:cs="Calibri"/>
                <w:lang w:eastAsia="en-GB"/>
              </w:rPr>
              <w:t>Death Rate Under 75, All Causes</w:t>
            </w:r>
            <w:r w:rsidRPr="00EE3405">
              <w:rPr>
                <w:rFonts w:ascii="Calibri" w:eastAsia="Times New Roman" w:hAnsi="Calibri" w:cs="Calibri"/>
                <w:lang w:eastAsia="en-GB"/>
              </w:rPr>
              <w:t xml:space="preserve"> </w:t>
            </w:r>
          </w:p>
          <w:p w14:paraId="3AC707D3" w14:textId="77777777" w:rsidR="00C6423D" w:rsidRPr="00C6423D" w:rsidRDefault="00C6423D" w:rsidP="00C6423D">
            <w:pPr>
              <w:jc w:val="center"/>
              <w:rPr>
                <w:rFonts w:ascii="Calibri" w:eastAsia="Times New Roman" w:hAnsi="Calibri" w:cs="Calibri"/>
                <w:lang w:eastAsia="en-GB"/>
              </w:rPr>
            </w:pPr>
            <w:r w:rsidRPr="00C6423D">
              <w:rPr>
                <w:rFonts w:ascii="Calibri" w:eastAsia="Times New Roman" w:hAnsi="Calibri" w:cs="Calibri"/>
                <w:lang w:eastAsia="en-GB"/>
              </w:rPr>
              <w:t>(per 100,000 population)</w:t>
            </w:r>
          </w:p>
        </w:tc>
        <w:tc>
          <w:tcPr>
            <w:tcW w:w="1840" w:type="dxa"/>
            <w:hideMark/>
          </w:tcPr>
          <w:p w14:paraId="0083EE11" w14:textId="77777777" w:rsidR="00C6423D" w:rsidRPr="00C6423D" w:rsidRDefault="00C6423D" w:rsidP="00C6423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6423D">
              <w:rPr>
                <w:rFonts w:ascii="Calibri" w:eastAsia="Times New Roman" w:hAnsi="Calibri" w:cs="Calibri"/>
                <w:lang w:eastAsia="en-GB"/>
              </w:rPr>
              <w:t>Armagh City, Banbridge and Craigavon</w:t>
            </w:r>
          </w:p>
        </w:tc>
        <w:tc>
          <w:tcPr>
            <w:tcW w:w="1840" w:type="dxa"/>
            <w:hideMark/>
          </w:tcPr>
          <w:p w14:paraId="6050AF6E" w14:textId="77777777" w:rsidR="00C6423D" w:rsidRPr="00EE3405" w:rsidRDefault="00C6423D" w:rsidP="00C6423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p>
          <w:p w14:paraId="12670414" w14:textId="77777777" w:rsidR="00C6423D" w:rsidRPr="00C6423D" w:rsidRDefault="00C6423D" w:rsidP="00C6423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6423D">
              <w:rPr>
                <w:rFonts w:ascii="Calibri" w:eastAsia="Times New Roman" w:hAnsi="Calibri" w:cs="Calibri"/>
                <w:lang w:eastAsia="en-GB"/>
              </w:rPr>
              <w:t>Northern Ireland</w:t>
            </w:r>
          </w:p>
        </w:tc>
      </w:tr>
      <w:tr w:rsidR="00EE3405" w:rsidRPr="00C6423D" w14:paraId="2975E031" w14:textId="77777777" w:rsidTr="00C6423D">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24A0B3F" w14:textId="77777777" w:rsidR="00C6423D" w:rsidRPr="00C6423D" w:rsidRDefault="00C6423D" w:rsidP="00C6423D">
            <w:pPr>
              <w:jc w:val="center"/>
              <w:rPr>
                <w:rFonts w:ascii="Calibri" w:eastAsia="Times New Roman" w:hAnsi="Calibri" w:cs="Calibri"/>
                <w:lang w:eastAsia="en-GB"/>
              </w:rPr>
            </w:pPr>
            <w:r w:rsidRPr="00C6423D">
              <w:rPr>
                <w:rFonts w:ascii="Calibri" w:eastAsia="Times New Roman" w:hAnsi="Calibri" w:cs="Calibri"/>
                <w:lang w:eastAsia="en-GB"/>
              </w:rPr>
              <w:t>2009-13</w:t>
            </w:r>
          </w:p>
        </w:tc>
        <w:tc>
          <w:tcPr>
            <w:tcW w:w="1840" w:type="dxa"/>
            <w:noWrap/>
            <w:hideMark/>
          </w:tcPr>
          <w:p w14:paraId="2D9E42AF" w14:textId="77777777" w:rsidR="00C6423D" w:rsidRPr="00C6423D" w:rsidRDefault="00C6423D" w:rsidP="00C642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6423D">
              <w:rPr>
                <w:rFonts w:ascii="Calibri" w:eastAsia="Times New Roman" w:hAnsi="Calibri" w:cs="Calibri"/>
                <w:lang w:eastAsia="en-GB"/>
              </w:rPr>
              <w:t>376</w:t>
            </w:r>
          </w:p>
        </w:tc>
        <w:tc>
          <w:tcPr>
            <w:tcW w:w="1840" w:type="dxa"/>
            <w:hideMark/>
          </w:tcPr>
          <w:p w14:paraId="2B710266" w14:textId="77777777" w:rsidR="00C6423D" w:rsidRPr="00C6423D" w:rsidRDefault="00C6423D" w:rsidP="00C642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6423D">
              <w:rPr>
                <w:rFonts w:ascii="Calibri" w:eastAsia="Times New Roman" w:hAnsi="Calibri" w:cs="Calibri"/>
                <w:lang w:eastAsia="en-GB"/>
              </w:rPr>
              <w:t>388</w:t>
            </w:r>
          </w:p>
        </w:tc>
      </w:tr>
      <w:tr w:rsidR="00EE3405" w:rsidRPr="00C6423D" w14:paraId="1032CCE5" w14:textId="77777777" w:rsidTr="00C6423D">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A26892D" w14:textId="77777777" w:rsidR="00C6423D" w:rsidRPr="00C6423D" w:rsidRDefault="00C6423D" w:rsidP="00C6423D">
            <w:pPr>
              <w:jc w:val="center"/>
              <w:rPr>
                <w:rFonts w:ascii="Calibri" w:eastAsia="Times New Roman" w:hAnsi="Calibri" w:cs="Calibri"/>
                <w:lang w:eastAsia="en-GB"/>
              </w:rPr>
            </w:pPr>
            <w:r w:rsidRPr="00C6423D">
              <w:rPr>
                <w:rFonts w:ascii="Calibri" w:eastAsia="Times New Roman" w:hAnsi="Calibri" w:cs="Calibri"/>
                <w:lang w:eastAsia="en-GB"/>
              </w:rPr>
              <w:t>2010-14</w:t>
            </w:r>
          </w:p>
        </w:tc>
        <w:tc>
          <w:tcPr>
            <w:tcW w:w="1840" w:type="dxa"/>
            <w:noWrap/>
            <w:hideMark/>
          </w:tcPr>
          <w:p w14:paraId="236940DE" w14:textId="77777777" w:rsidR="00C6423D" w:rsidRPr="00C6423D" w:rsidRDefault="00C6423D" w:rsidP="00C642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6423D">
              <w:rPr>
                <w:rFonts w:ascii="Calibri" w:eastAsia="Times New Roman" w:hAnsi="Calibri" w:cs="Calibri"/>
                <w:lang w:eastAsia="en-GB"/>
              </w:rPr>
              <w:t>361</w:t>
            </w:r>
          </w:p>
        </w:tc>
        <w:tc>
          <w:tcPr>
            <w:tcW w:w="1840" w:type="dxa"/>
            <w:hideMark/>
          </w:tcPr>
          <w:p w14:paraId="17EA3CFF" w14:textId="77777777" w:rsidR="00C6423D" w:rsidRPr="00C6423D" w:rsidRDefault="00C6423D" w:rsidP="00C642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6423D">
              <w:rPr>
                <w:rFonts w:ascii="Calibri" w:eastAsia="Times New Roman" w:hAnsi="Calibri" w:cs="Calibri"/>
                <w:lang w:eastAsia="en-GB"/>
              </w:rPr>
              <w:t>379</w:t>
            </w:r>
          </w:p>
        </w:tc>
      </w:tr>
      <w:tr w:rsidR="00EE3405" w:rsidRPr="00C6423D" w14:paraId="2A20678D" w14:textId="77777777" w:rsidTr="00C6423D">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7EB20E5" w14:textId="77777777" w:rsidR="00C6423D" w:rsidRPr="00C6423D" w:rsidRDefault="00C6423D" w:rsidP="00C6423D">
            <w:pPr>
              <w:jc w:val="center"/>
              <w:rPr>
                <w:rFonts w:ascii="Calibri" w:eastAsia="Times New Roman" w:hAnsi="Calibri" w:cs="Calibri"/>
                <w:lang w:eastAsia="en-GB"/>
              </w:rPr>
            </w:pPr>
            <w:r w:rsidRPr="00C6423D">
              <w:rPr>
                <w:rFonts w:ascii="Calibri" w:eastAsia="Times New Roman" w:hAnsi="Calibri" w:cs="Calibri"/>
                <w:lang w:eastAsia="en-GB"/>
              </w:rPr>
              <w:t>2011-15</w:t>
            </w:r>
          </w:p>
        </w:tc>
        <w:tc>
          <w:tcPr>
            <w:tcW w:w="1840" w:type="dxa"/>
            <w:noWrap/>
            <w:hideMark/>
          </w:tcPr>
          <w:p w14:paraId="6259B167" w14:textId="77777777" w:rsidR="00C6423D" w:rsidRPr="00C6423D" w:rsidRDefault="00C6423D" w:rsidP="00C642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6423D">
              <w:rPr>
                <w:rFonts w:ascii="Calibri" w:eastAsia="Times New Roman" w:hAnsi="Calibri" w:cs="Calibri"/>
                <w:lang w:eastAsia="en-GB"/>
              </w:rPr>
              <w:t>352</w:t>
            </w:r>
          </w:p>
        </w:tc>
        <w:tc>
          <w:tcPr>
            <w:tcW w:w="1840" w:type="dxa"/>
            <w:hideMark/>
          </w:tcPr>
          <w:p w14:paraId="25F7AFCF" w14:textId="77777777" w:rsidR="00C6423D" w:rsidRPr="00C6423D" w:rsidRDefault="00C6423D" w:rsidP="00C642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6423D">
              <w:rPr>
                <w:rFonts w:ascii="Calibri" w:eastAsia="Times New Roman" w:hAnsi="Calibri" w:cs="Calibri"/>
                <w:lang w:eastAsia="en-GB"/>
              </w:rPr>
              <w:t>372</w:t>
            </w:r>
          </w:p>
        </w:tc>
      </w:tr>
      <w:tr w:rsidR="00EE3405" w:rsidRPr="00C6423D" w14:paraId="28FDA734" w14:textId="77777777" w:rsidTr="00C6423D">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8314D69" w14:textId="77777777" w:rsidR="00C6423D" w:rsidRPr="00C6423D" w:rsidRDefault="00C6423D" w:rsidP="00C6423D">
            <w:pPr>
              <w:jc w:val="center"/>
              <w:rPr>
                <w:rFonts w:ascii="Calibri" w:eastAsia="Times New Roman" w:hAnsi="Calibri" w:cs="Calibri"/>
                <w:lang w:eastAsia="en-GB"/>
              </w:rPr>
            </w:pPr>
            <w:r w:rsidRPr="00C6423D">
              <w:rPr>
                <w:rFonts w:ascii="Calibri" w:eastAsia="Times New Roman" w:hAnsi="Calibri" w:cs="Calibri"/>
                <w:lang w:eastAsia="en-GB"/>
              </w:rPr>
              <w:t>2012-16</w:t>
            </w:r>
          </w:p>
        </w:tc>
        <w:tc>
          <w:tcPr>
            <w:tcW w:w="1840" w:type="dxa"/>
            <w:noWrap/>
            <w:hideMark/>
          </w:tcPr>
          <w:p w14:paraId="56739008" w14:textId="77777777" w:rsidR="00C6423D" w:rsidRPr="00C6423D" w:rsidRDefault="00C6423D" w:rsidP="00C642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6423D">
              <w:rPr>
                <w:rFonts w:ascii="Calibri" w:eastAsia="Times New Roman" w:hAnsi="Calibri" w:cs="Calibri"/>
                <w:lang w:eastAsia="en-GB"/>
              </w:rPr>
              <w:t>347</w:t>
            </w:r>
          </w:p>
        </w:tc>
        <w:tc>
          <w:tcPr>
            <w:tcW w:w="1840" w:type="dxa"/>
            <w:hideMark/>
          </w:tcPr>
          <w:p w14:paraId="2A696969" w14:textId="77777777" w:rsidR="00C6423D" w:rsidRPr="00C6423D" w:rsidRDefault="00C6423D" w:rsidP="00C642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6423D">
              <w:rPr>
                <w:rFonts w:ascii="Calibri" w:eastAsia="Times New Roman" w:hAnsi="Calibri" w:cs="Calibri"/>
                <w:lang w:eastAsia="en-GB"/>
              </w:rPr>
              <w:t>369</w:t>
            </w:r>
          </w:p>
        </w:tc>
      </w:tr>
      <w:tr w:rsidR="00EE3405" w:rsidRPr="00C6423D" w14:paraId="55574104" w14:textId="77777777" w:rsidTr="00C6423D">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604495D" w14:textId="77777777" w:rsidR="00C6423D" w:rsidRPr="00C6423D" w:rsidRDefault="00C6423D" w:rsidP="00C6423D">
            <w:pPr>
              <w:jc w:val="center"/>
              <w:rPr>
                <w:rFonts w:ascii="Calibri" w:eastAsia="Times New Roman" w:hAnsi="Calibri" w:cs="Calibri"/>
                <w:lang w:eastAsia="en-GB"/>
              </w:rPr>
            </w:pPr>
            <w:r w:rsidRPr="00C6423D">
              <w:rPr>
                <w:rFonts w:ascii="Calibri" w:eastAsia="Times New Roman" w:hAnsi="Calibri" w:cs="Calibri"/>
                <w:lang w:eastAsia="en-GB"/>
              </w:rPr>
              <w:t>2013-17</w:t>
            </w:r>
          </w:p>
        </w:tc>
        <w:tc>
          <w:tcPr>
            <w:tcW w:w="1840" w:type="dxa"/>
            <w:noWrap/>
            <w:hideMark/>
          </w:tcPr>
          <w:p w14:paraId="0D7F359A" w14:textId="77777777" w:rsidR="00C6423D" w:rsidRPr="00C6423D" w:rsidRDefault="00C6423D" w:rsidP="00C642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6423D">
              <w:rPr>
                <w:rFonts w:ascii="Calibri" w:eastAsia="Times New Roman" w:hAnsi="Calibri" w:cs="Calibri"/>
                <w:lang w:eastAsia="en-GB"/>
              </w:rPr>
              <w:t>341</w:t>
            </w:r>
          </w:p>
        </w:tc>
        <w:tc>
          <w:tcPr>
            <w:tcW w:w="1840" w:type="dxa"/>
            <w:hideMark/>
          </w:tcPr>
          <w:p w14:paraId="64380CFD" w14:textId="77777777" w:rsidR="00C6423D" w:rsidRPr="00C6423D" w:rsidRDefault="00C6423D" w:rsidP="00C642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C6423D">
              <w:rPr>
                <w:rFonts w:ascii="Calibri" w:eastAsia="Times New Roman" w:hAnsi="Calibri" w:cs="Calibri"/>
                <w:lang w:eastAsia="en-GB"/>
              </w:rPr>
              <w:t>369</w:t>
            </w:r>
          </w:p>
        </w:tc>
      </w:tr>
      <w:tr w:rsidR="00FF6BDC" w:rsidRPr="00C6423D" w14:paraId="31310248" w14:textId="77777777" w:rsidTr="006D0AB7">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F662101" w14:textId="77777777" w:rsidR="00FF6BDC" w:rsidRPr="00C6423D" w:rsidRDefault="00FF6BDC" w:rsidP="00FF6BDC">
            <w:pPr>
              <w:jc w:val="center"/>
              <w:rPr>
                <w:rFonts w:ascii="Calibri" w:eastAsia="Times New Roman" w:hAnsi="Calibri" w:cs="Calibri"/>
                <w:lang w:eastAsia="en-GB"/>
              </w:rPr>
            </w:pPr>
            <w:r w:rsidRPr="00C6423D">
              <w:rPr>
                <w:rFonts w:ascii="Calibri" w:eastAsia="Times New Roman" w:hAnsi="Calibri" w:cs="Calibri"/>
                <w:lang w:eastAsia="en-GB"/>
              </w:rPr>
              <w:t>2014-18</w:t>
            </w:r>
          </w:p>
        </w:tc>
        <w:tc>
          <w:tcPr>
            <w:tcW w:w="1840" w:type="dxa"/>
            <w:noWrap/>
            <w:vAlign w:val="bottom"/>
            <w:hideMark/>
          </w:tcPr>
          <w:p w14:paraId="5C0CE214" w14:textId="6F8DC467" w:rsidR="00FF6BDC" w:rsidRPr="00C6423D" w:rsidRDefault="00FF6BDC" w:rsidP="00FF6B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339</w:t>
            </w:r>
          </w:p>
        </w:tc>
        <w:tc>
          <w:tcPr>
            <w:tcW w:w="1840" w:type="dxa"/>
            <w:vAlign w:val="bottom"/>
            <w:hideMark/>
          </w:tcPr>
          <w:p w14:paraId="7549F460" w14:textId="246C90C2" w:rsidR="00FF6BDC" w:rsidRPr="00C6423D" w:rsidRDefault="00FF6BDC" w:rsidP="00FF6BD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364</w:t>
            </w:r>
          </w:p>
        </w:tc>
      </w:tr>
      <w:tr w:rsidR="00F07CBE" w:rsidRPr="00C6423D" w14:paraId="2ACA9A9D" w14:textId="77777777" w:rsidTr="006D0AB7">
        <w:trPr>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031644A" w14:textId="77777777" w:rsidR="00F07CBE" w:rsidRPr="00C6423D" w:rsidRDefault="00F07CBE" w:rsidP="00F07CBE">
            <w:pPr>
              <w:jc w:val="center"/>
              <w:rPr>
                <w:rFonts w:ascii="Calibri" w:eastAsia="Times New Roman" w:hAnsi="Calibri" w:cs="Calibri"/>
                <w:lang w:eastAsia="en-GB"/>
              </w:rPr>
            </w:pPr>
            <w:r>
              <w:rPr>
                <w:rFonts w:ascii="Calibri" w:eastAsia="Times New Roman" w:hAnsi="Calibri" w:cs="Calibri"/>
                <w:lang w:eastAsia="en-GB"/>
              </w:rPr>
              <w:t>2015</w:t>
            </w:r>
            <w:r w:rsidRPr="00C6423D">
              <w:rPr>
                <w:rFonts w:ascii="Calibri" w:eastAsia="Times New Roman" w:hAnsi="Calibri" w:cs="Calibri"/>
                <w:lang w:eastAsia="en-GB"/>
              </w:rPr>
              <w:t>-19</w:t>
            </w:r>
          </w:p>
        </w:tc>
        <w:tc>
          <w:tcPr>
            <w:tcW w:w="1840" w:type="dxa"/>
            <w:noWrap/>
            <w:vAlign w:val="bottom"/>
            <w:hideMark/>
          </w:tcPr>
          <w:p w14:paraId="41E14672" w14:textId="05112139" w:rsidR="00F07CBE" w:rsidRPr="00C6423D"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331</w:t>
            </w:r>
          </w:p>
        </w:tc>
        <w:tc>
          <w:tcPr>
            <w:tcW w:w="1840" w:type="dxa"/>
            <w:vAlign w:val="bottom"/>
            <w:hideMark/>
          </w:tcPr>
          <w:p w14:paraId="7A585BE7" w14:textId="5A926BEE" w:rsidR="00F07CBE" w:rsidRPr="00C6423D"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hAnsi="Calibri" w:cs="Calibri"/>
              </w:rPr>
              <w:t>361</w:t>
            </w:r>
          </w:p>
        </w:tc>
      </w:tr>
      <w:tr w:rsidR="00F07CBE" w:rsidRPr="00C56F16" w14:paraId="51A351F0" w14:textId="77777777" w:rsidTr="006D0AB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center"/>
          </w:tcPr>
          <w:p w14:paraId="399A4FE1" w14:textId="77777777" w:rsidR="00F07CBE" w:rsidRPr="00C56F16" w:rsidRDefault="00F07CBE" w:rsidP="00F07CBE">
            <w:pPr>
              <w:jc w:val="center"/>
              <w:rPr>
                <w:rFonts w:ascii="Calibri" w:hAnsi="Calibri" w:cs="Calibri"/>
              </w:rPr>
            </w:pPr>
            <w:r w:rsidRPr="00C56F16">
              <w:rPr>
                <w:rFonts w:ascii="Calibri" w:hAnsi="Calibri" w:cs="Calibri"/>
                <w:bCs w:val="0"/>
              </w:rPr>
              <w:t>2016-20</w:t>
            </w:r>
          </w:p>
        </w:tc>
        <w:tc>
          <w:tcPr>
            <w:tcW w:w="1840" w:type="dxa"/>
            <w:noWrap/>
            <w:vAlign w:val="bottom"/>
          </w:tcPr>
          <w:p w14:paraId="6FF73238" w14:textId="3D812D66" w:rsidR="00F07CBE" w:rsidRPr="00C56F16"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331</w:t>
            </w:r>
          </w:p>
        </w:tc>
        <w:tc>
          <w:tcPr>
            <w:tcW w:w="1840" w:type="dxa"/>
            <w:vAlign w:val="bottom"/>
          </w:tcPr>
          <w:p w14:paraId="794E731E" w14:textId="5D638E80" w:rsidR="00F07CBE" w:rsidRPr="00C56F16"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362</w:t>
            </w:r>
          </w:p>
        </w:tc>
      </w:tr>
      <w:tr w:rsidR="00F07CBE" w:rsidRPr="00C56F16" w14:paraId="52A647E4" w14:textId="77777777" w:rsidTr="006D0AB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center"/>
          </w:tcPr>
          <w:p w14:paraId="018B50C3" w14:textId="632F12E2" w:rsidR="00F07CBE" w:rsidRPr="00C56F16" w:rsidRDefault="00F07CBE" w:rsidP="00F07CBE">
            <w:pPr>
              <w:jc w:val="center"/>
              <w:rPr>
                <w:rFonts w:ascii="Calibri" w:hAnsi="Calibri" w:cs="Calibri"/>
              </w:rPr>
            </w:pPr>
            <w:r w:rsidRPr="00C56F16">
              <w:rPr>
                <w:rFonts w:ascii="Calibri" w:hAnsi="Calibri" w:cs="Calibri"/>
                <w:bCs w:val="0"/>
              </w:rPr>
              <w:t>2017-21</w:t>
            </w:r>
          </w:p>
        </w:tc>
        <w:tc>
          <w:tcPr>
            <w:tcW w:w="1840" w:type="dxa"/>
            <w:noWrap/>
            <w:vAlign w:val="bottom"/>
          </w:tcPr>
          <w:p w14:paraId="58A603E2" w14:textId="7D0CB457" w:rsidR="00F07CBE" w:rsidRPr="00C56F16"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338</w:t>
            </w:r>
          </w:p>
        </w:tc>
        <w:tc>
          <w:tcPr>
            <w:tcW w:w="1840" w:type="dxa"/>
            <w:vAlign w:val="bottom"/>
          </w:tcPr>
          <w:p w14:paraId="73EFD409" w14:textId="2E3E9FA7" w:rsidR="00F07CBE" w:rsidRPr="00C56F16"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364</w:t>
            </w:r>
          </w:p>
        </w:tc>
      </w:tr>
      <w:tr w:rsidR="00F07CBE" w:rsidRPr="00C56F16" w14:paraId="78A83405" w14:textId="77777777" w:rsidTr="006D0AB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center"/>
          </w:tcPr>
          <w:p w14:paraId="4057E0A6" w14:textId="4496AB1B" w:rsidR="00F07CBE" w:rsidRPr="00C56F16" w:rsidRDefault="00F07CBE" w:rsidP="00F07CBE">
            <w:pPr>
              <w:jc w:val="center"/>
              <w:rPr>
                <w:rFonts w:ascii="Calibri" w:hAnsi="Calibri" w:cs="Calibri"/>
              </w:rPr>
            </w:pPr>
            <w:r>
              <w:rPr>
                <w:rFonts w:ascii="Calibri" w:hAnsi="Calibri" w:cs="Calibri"/>
              </w:rPr>
              <w:t>2018-22</w:t>
            </w:r>
          </w:p>
        </w:tc>
        <w:tc>
          <w:tcPr>
            <w:tcW w:w="1840" w:type="dxa"/>
            <w:noWrap/>
            <w:vAlign w:val="bottom"/>
          </w:tcPr>
          <w:p w14:paraId="065222FD" w14:textId="4099DBF4" w:rsidR="00F07CBE" w:rsidRPr="00C56F16"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334</w:t>
            </w:r>
          </w:p>
        </w:tc>
        <w:tc>
          <w:tcPr>
            <w:tcW w:w="1840" w:type="dxa"/>
            <w:vAlign w:val="bottom"/>
          </w:tcPr>
          <w:p w14:paraId="1814FFDB" w14:textId="061CB76E" w:rsidR="00F07CBE" w:rsidRPr="00C56F16"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r>
      <w:tr w:rsidR="00F07CBE" w:rsidRPr="00C56F16" w14:paraId="3078ED82" w14:textId="77777777" w:rsidTr="006D0AB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center"/>
          </w:tcPr>
          <w:p w14:paraId="0E3D0908" w14:textId="6E5E0962" w:rsidR="00F07CBE" w:rsidRDefault="00F07CBE" w:rsidP="00F07CBE">
            <w:pPr>
              <w:jc w:val="center"/>
              <w:rPr>
                <w:rFonts w:ascii="Calibri" w:hAnsi="Calibri" w:cs="Calibri"/>
              </w:rPr>
            </w:pPr>
            <w:r>
              <w:rPr>
                <w:rFonts w:ascii="Calibri" w:hAnsi="Calibri" w:cs="Calibri"/>
              </w:rPr>
              <w:t>2019-23</w:t>
            </w:r>
          </w:p>
        </w:tc>
        <w:tc>
          <w:tcPr>
            <w:tcW w:w="1840" w:type="dxa"/>
            <w:noWrap/>
            <w:vAlign w:val="bottom"/>
          </w:tcPr>
          <w:p w14:paraId="56902C48" w14:textId="16B59F33"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336</w:t>
            </w:r>
          </w:p>
        </w:tc>
        <w:tc>
          <w:tcPr>
            <w:tcW w:w="1840" w:type="dxa"/>
            <w:vAlign w:val="bottom"/>
          </w:tcPr>
          <w:p w14:paraId="73FF9EB8" w14:textId="50A92FC2" w:rsidR="00F07CBE" w:rsidRDefault="00F07CBE"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r>
      <w:tr w:rsidR="00250DE1" w:rsidRPr="00C56F16" w14:paraId="773BEA5F" w14:textId="77777777" w:rsidTr="006D0AB7">
        <w:trPr>
          <w:trHeight w:val="300"/>
        </w:trPr>
        <w:tc>
          <w:tcPr>
            <w:cnfStyle w:val="001000000000" w:firstRow="0" w:lastRow="0" w:firstColumn="1" w:lastColumn="0" w:oddVBand="0" w:evenVBand="0" w:oddHBand="0" w:evenHBand="0" w:firstRowFirstColumn="0" w:firstRowLastColumn="0" w:lastRowFirstColumn="0" w:lastRowLastColumn="0"/>
            <w:tcW w:w="1985" w:type="dxa"/>
            <w:noWrap/>
            <w:vAlign w:val="center"/>
          </w:tcPr>
          <w:p w14:paraId="5A67F365" w14:textId="6D110C22" w:rsidR="00250DE1" w:rsidRDefault="00250DE1" w:rsidP="00F07CBE">
            <w:pPr>
              <w:jc w:val="center"/>
              <w:rPr>
                <w:rFonts w:ascii="Calibri" w:hAnsi="Calibri" w:cs="Calibri"/>
              </w:rPr>
            </w:pPr>
            <w:r>
              <w:rPr>
                <w:rFonts w:ascii="Calibri" w:hAnsi="Calibri" w:cs="Calibri"/>
              </w:rPr>
              <w:t>2020-24</w:t>
            </w:r>
          </w:p>
        </w:tc>
        <w:tc>
          <w:tcPr>
            <w:tcW w:w="1840" w:type="dxa"/>
            <w:noWrap/>
            <w:vAlign w:val="bottom"/>
          </w:tcPr>
          <w:p w14:paraId="60F140FB" w14:textId="5221314C" w:rsidR="00250DE1" w:rsidRDefault="00250DE1"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349</w:t>
            </w:r>
          </w:p>
        </w:tc>
        <w:tc>
          <w:tcPr>
            <w:tcW w:w="1840" w:type="dxa"/>
            <w:vAlign w:val="bottom"/>
          </w:tcPr>
          <w:p w14:paraId="2256CE7A" w14:textId="4D84AA74" w:rsidR="00250DE1" w:rsidRDefault="00250DE1" w:rsidP="00F07C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368</w:t>
            </w:r>
          </w:p>
        </w:tc>
      </w:tr>
    </w:tbl>
    <w:p w14:paraId="43246292" w14:textId="65E64A63" w:rsidR="00E52EB8" w:rsidRDefault="00A73657" w:rsidP="00CD0C89">
      <w:pPr>
        <w:rPr>
          <w:noProof/>
        </w:rPr>
      </w:pPr>
      <w:r w:rsidRPr="00EE3405">
        <w:rPr>
          <w:i/>
          <w:sz w:val="20"/>
          <w:szCs w:val="20"/>
        </w:rPr>
        <w:t xml:space="preserve">Table </w:t>
      </w:r>
      <w:r w:rsidR="008215BC" w:rsidRPr="00EE3405">
        <w:rPr>
          <w:i/>
          <w:sz w:val="20"/>
          <w:szCs w:val="20"/>
        </w:rPr>
        <w:t>3</w:t>
      </w:r>
      <w:r w:rsidRPr="00EE3405">
        <w:rPr>
          <w:i/>
          <w:sz w:val="20"/>
          <w:szCs w:val="20"/>
        </w:rPr>
        <w:t>: Standardised death rate (</w:t>
      </w:r>
      <w:r w:rsidR="004F7904" w:rsidRPr="00EE3405">
        <w:rPr>
          <w:i/>
          <w:sz w:val="20"/>
          <w:szCs w:val="20"/>
        </w:rPr>
        <w:t xml:space="preserve">under 75, </w:t>
      </w:r>
      <w:r w:rsidRPr="00EE3405">
        <w:rPr>
          <w:i/>
          <w:sz w:val="20"/>
          <w:szCs w:val="20"/>
        </w:rPr>
        <w:t xml:space="preserve">all causes) per 100,000 population in Armagh City, Banbridge and Craigavon Borough and </w:t>
      </w:r>
      <w:r w:rsidR="00B323BB" w:rsidRPr="00EE3405">
        <w:rPr>
          <w:i/>
          <w:sz w:val="20"/>
          <w:szCs w:val="20"/>
        </w:rPr>
        <w:t xml:space="preserve">Northern Ireland 2009-13 to </w:t>
      </w:r>
      <w:r w:rsidR="00E52EB8">
        <w:rPr>
          <w:i/>
          <w:sz w:val="20"/>
          <w:szCs w:val="20"/>
        </w:rPr>
        <w:t>2020-24</w:t>
      </w:r>
      <w:r w:rsidRPr="00EE3405">
        <w:rPr>
          <w:i/>
          <w:sz w:val="20"/>
          <w:szCs w:val="20"/>
        </w:rPr>
        <w:t xml:space="preserve">. Source: </w:t>
      </w:r>
      <w:r w:rsidR="00CD0C89">
        <w:rPr>
          <w:i/>
          <w:sz w:val="20"/>
          <w:szCs w:val="20"/>
        </w:rPr>
        <w:t>Health Inequalities Annual Report 202</w:t>
      </w:r>
      <w:r w:rsidR="00E52EB8">
        <w:rPr>
          <w:i/>
          <w:sz w:val="20"/>
          <w:szCs w:val="20"/>
        </w:rPr>
        <w:t>6</w:t>
      </w:r>
      <w:r w:rsidR="00CD0C89">
        <w:rPr>
          <w:i/>
          <w:sz w:val="20"/>
          <w:szCs w:val="20"/>
        </w:rPr>
        <w:t xml:space="preserve">, Department of Health, Northern Ireland. </w:t>
      </w:r>
      <w:r w:rsidR="00B323BB" w:rsidRPr="007A1305">
        <w:rPr>
          <w:i/>
          <w:color w:val="FF0000"/>
          <w:sz w:val="20"/>
          <w:szCs w:val="20"/>
        </w:rPr>
        <w:t xml:space="preserve"> </w:t>
      </w:r>
      <w:r w:rsidR="00826676" w:rsidRPr="00826676">
        <w:rPr>
          <w:noProof/>
        </w:rPr>
        <w:t xml:space="preserve"> </w:t>
      </w:r>
    </w:p>
    <w:p w14:paraId="0183731E" w14:textId="77777777" w:rsidR="007558D5" w:rsidRDefault="007558D5" w:rsidP="00CD0C89">
      <w:pPr>
        <w:rPr>
          <w:noProof/>
        </w:rPr>
      </w:pPr>
    </w:p>
    <w:p w14:paraId="5EE2001E" w14:textId="3C0148E4" w:rsidR="00CD0C89" w:rsidRDefault="00E52EB8" w:rsidP="00CD0C89">
      <w:pPr>
        <w:rPr>
          <w:rFonts w:ascii="Calibri" w:hAnsi="Calibri" w:cs="Calibri"/>
          <w:i/>
          <w:sz w:val="20"/>
          <w:szCs w:val="20"/>
          <w:shd w:val="clear" w:color="auto" w:fill="FFFFFF"/>
        </w:rPr>
      </w:pPr>
      <w:r>
        <w:rPr>
          <w:noProof/>
        </w:rPr>
        <w:drawing>
          <wp:inline distT="0" distB="0" distL="0" distR="0" wp14:anchorId="37C86D40" wp14:editId="282C6C56">
            <wp:extent cx="5753100" cy="3438525"/>
            <wp:effectExtent l="0" t="0" r="0" b="9525"/>
            <wp:docPr id="1343059519" name="Chart 1" descr="Chart showing the standardised death rate (under 75, all causes) per 100,000 population in Armagh City, Banbridge and Craigavon Borough and Northern Ireland 2009-13 to 2020-24. ">
              <a:extLst xmlns:a="http://schemas.openxmlformats.org/drawingml/2006/main">
                <a:ext uri="{FF2B5EF4-FFF2-40B4-BE49-F238E27FC236}">
                  <a16:creationId xmlns:a16="http://schemas.microsoft.com/office/drawing/2014/main" id="{03C522B5-6F2B-70DE-748D-A4EA1BC37A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8215BC" w:rsidRPr="00D227B1">
        <w:rPr>
          <w:i/>
          <w:sz w:val="20"/>
          <w:szCs w:val="20"/>
        </w:rPr>
        <w:t>Figure 3</w:t>
      </w:r>
      <w:r w:rsidR="007A3383" w:rsidRPr="00D227B1">
        <w:rPr>
          <w:i/>
          <w:sz w:val="20"/>
          <w:szCs w:val="20"/>
        </w:rPr>
        <w:t>: Standardised death rate (</w:t>
      </w:r>
      <w:r w:rsidR="004F7904" w:rsidRPr="00D227B1">
        <w:rPr>
          <w:i/>
          <w:sz w:val="20"/>
          <w:szCs w:val="20"/>
        </w:rPr>
        <w:t xml:space="preserve">under 75, </w:t>
      </w:r>
      <w:r w:rsidR="007A3383" w:rsidRPr="00D227B1">
        <w:rPr>
          <w:i/>
          <w:sz w:val="20"/>
          <w:szCs w:val="20"/>
        </w:rPr>
        <w:t xml:space="preserve">all causes) per 100,000 population in Armagh City, Banbridge and Craigavon Borough and </w:t>
      </w:r>
      <w:r w:rsidR="00B323BB" w:rsidRPr="00D227B1">
        <w:rPr>
          <w:i/>
          <w:sz w:val="20"/>
          <w:szCs w:val="20"/>
        </w:rPr>
        <w:t xml:space="preserve">Northern Ireland 2009-13 to </w:t>
      </w:r>
      <w:r>
        <w:rPr>
          <w:i/>
          <w:sz w:val="20"/>
          <w:szCs w:val="20"/>
        </w:rPr>
        <w:t>2020-24</w:t>
      </w:r>
      <w:r w:rsidR="007A3383" w:rsidRPr="00D227B1">
        <w:rPr>
          <w:i/>
          <w:sz w:val="20"/>
          <w:szCs w:val="20"/>
        </w:rPr>
        <w:t xml:space="preserve">. Source: </w:t>
      </w:r>
      <w:r w:rsidR="00CD0C89">
        <w:rPr>
          <w:i/>
          <w:sz w:val="20"/>
          <w:szCs w:val="20"/>
        </w:rPr>
        <w:t>Health Inequalities Annual Report 202</w:t>
      </w:r>
      <w:r>
        <w:rPr>
          <w:i/>
          <w:sz w:val="20"/>
          <w:szCs w:val="20"/>
        </w:rPr>
        <w:t>6</w:t>
      </w:r>
      <w:r w:rsidR="00CD0C89">
        <w:rPr>
          <w:i/>
          <w:sz w:val="20"/>
          <w:szCs w:val="20"/>
        </w:rPr>
        <w:t xml:space="preserve">, Department of Health, Northern Ireland. </w:t>
      </w:r>
    </w:p>
    <w:p w14:paraId="3BC777BA" w14:textId="2B65468A" w:rsidR="00826676" w:rsidRDefault="00E30FF1" w:rsidP="007A3383">
      <w:r w:rsidRPr="00703EC9">
        <w:lastRenderedPageBreak/>
        <w:t>Avoidable deaths</w:t>
      </w:r>
      <w:r w:rsidRPr="00703EC9">
        <w:rPr>
          <w:rStyle w:val="FootnoteReference"/>
        </w:rPr>
        <w:footnoteReference w:id="1"/>
      </w:r>
      <w:r w:rsidRPr="00703EC9">
        <w:t xml:space="preserve"> are those that are defined as preventable, amenable (treatable) or both. The standardised</w:t>
      </w:r>
      <w:r w:rsidR="009D7733" w:rsidRPr="00703EC9">
        <w:t xml:space="preserve"> avoidable death rat</w:t>
      </w:r>
      <w:r w:rsidR="00B323BB" w:rsidRPr="00703EC9">
        <w:t xml:space="preserve">e per 100,000 population in </w:t>
      </w:r>
      <w:r w:rsidR="00E52EB8">
        <w:t>2020-24</w:t>
      </w:r>
      <w:r w:rsidR="003863F0">
        <w:t xml:space="preserve"> was 2</w:t>
      </w:r>
      <w:r w:rsidR="00E52EB8">
        <w:t>49</w:t>
      </w:r>
      <w:r w:rsidR="009D7733" w:rsidRPr="00703EC9">
        <w:t xml:space="preserve"> in Armagh City, Banbridge and Craigavon</w:t>
      </w:r>
      <w:r w:rsidR="0003078F" w:rsidRPr="00703EC9">
        <w:t xml:space="preserve"> Borough</w:t>
      </w:r>
      <w:r w:rsidR="003863F0">
        <w:t xml:space="preserve"> which is </w:t>
      </w:r>
      <w:r w:rsidR="00826676">
        <w:t xml:space="preserve">a </w:t>
      </w:r>
      <w:r w:rsidR="00E52EB8">
        <w:t xml:space="preserve">rise </w:t>
      </w:r>
      <w:r w:rsidR="00826676">
        <w:t>of</w:t>
      </w:r>
      <w:r w:rsidR="00E52EB8">
        <w:t xml:space="preserve"> 11</w:t>
      </w:r>
      <w:r w:rsidR="00826676">
        <w:t xml:space="preserve"> since </w:t>
      </w:r>
      <w:r w:rsidR="00E52EB8">
        <w:t>2019-</w:t>
      </w:r>
      <w:r w:rsidR="00BD0C4E">
        <w:t>23</w:t>
      </w:r>
      <w:r w:rsidR="00E52EB8">
        <w:t xml:space="preserve">. </w:t>
      </w:r>
      <w:r w:rsidR="00826676">
        <w:t>In</w:t>
      </w:r>
      <w:r w:rsidR="009D7733" w:rsidRPr="00703EC9">
        <w:t xml:space="preserve"> Northern Ireland overall </w:t>
      </w:r>
      <w:r w:rsidR="00826676">
        <w:t xml:space="preserve">the avoidable death rate has also </w:t>
      </w:r>
      <w:r w:rsidR="00E52EB8">
        <w:t>risen to 262 from 257 in 2019-23.</w:t>
      </w:r>
    </w:p>
    <w:p w14:paraId="082C8B34" w14:textId="77777777" w:rsidR="00BD0C4E" w:rsidRPr="00703EC9" w:rsidRDefault="00BD0C4E" w:rsidP="007A3383"/>
    <w:tbl>
      <w:tblPr>
        <w:tblStyle w:val="GridTable1Light"/>
        <w:tblW w:w="5807" w:type="dxa"/>
        <w:tblLayout w:type="fixed"/>
        <w:tblLook w:val="04A0" w:firstRow="1" w:lastRow="0" w:firstColumn="1" w:lastColumn="0" w:noHBand="0" w:noVBand="1"/>
        <w:tblCaption w:val="Standardised death rate for avoidable deaths per 100,000 population in Armagh City, Banbridge and Craigavon Borough and Northern Ireland 2010-14 and 2015-19"/>
      </w:tblPr>
      <w:tblGrid>
        <w:gridCol w:w="1980"/>
        <w:gridCol w:w="1913"/>
        <w:gridCol w:w="1914"/>
      </w:tblGrid>
      <w:tr w:rsidR="00703EC9" w:rsidRPr="00703EC9" w14:paraId="21E3ADA4" w14:textId="77777777" w:rsidTr="008B472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80" w:type="dxa"/>
            <w:hideMark/>
          </w:tcPr>
          <w:p w14:paraId="62D8EC56" w14:textId="77777777" w:rsidR="001F4F0E" w:rsidRPr="001F4F0E" w:rsidRDefault="001F4F0E" w:rsidP="001F4F0E">
            <w:pPr>
              <w:jc w:val="center"/>
              <w:rPr>
                <w:rFonts w:ascii="Calibri" w:eastAsia="Times New Roman" w:hAnsi="Calibri" w:cs="Times New Roman"/>
                <w:bCs w:val="0"/>
                <w:lang w:eastAsia="en-GB"/>
              </w:rPr>
            </w:pPr>
            <w:r w:rsidRPr="001F4F0E">
              <w:rPr>
                <w:rFonts w:ascii="Calibri" w:eastAsia="Times New Roman" w:hAnsi="Calibri" w:cs="Times New Roman"/>
                <w:bCs w:val="0"/>
                <w:lang w:eastAsia="en-GB"/>
              </w:rPr>
              <w:t>Avoidable Death Rate</w:t>
            </w:r>
            <w:r w:rsidRPr="00703EC9">
              <w:rPr>
                <w:rFonts w:ascii="Calibri" w:eastAsia="Times New Roman" w:hAnsi="Calibri" w:cs="Times New Roman"/>
                <w:bCs w:val="0"/>
                <w:lang w:eastAsia="en-GB"/>
              </w:rPr>
              <w:t xml:space="preserve"> </w:t>
            </w:r>
            <w:r w:rsidRPr="001F4F0E">
              <w:rPr>
                <w:rFonts w:ascii="Calibri" w:eastAsia="Times New Roman" w:hAnsi="Calibri" w:cs="Times New Roman"/>
                <w:bCs w:val="0"/>
                <w:lang w:eastAsia="en-GB"/>
              </w:rPr>
              <w:t>(per 100,000 population)</w:t>
            </w:r>
          </w:p>
        </w:tc>
        <w:tc>
          <w:tcPr>
            <w:tcW w:w="1913" w:type="dxa"/>
            <w:noWrap/>
            <w:hideMark/>
          </w:tcPr>
          <w:p w14:paraId="36EF8F7C" w14:textId="77777777" w:rsidR="001F4F0E" w:rsidRPr="001F4F0E" w:rsidRDefault="001F4F0E" w:rsidP="001F4F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lang w:eastAsia="en-GB"/>
              </w:rPr>
            </w:pPr>
            <w:r w:rsidRPr="001F4F0E">
              <w:rPr>
                <w:rFonts w:ascii="Calibri" w:eastAsia="Times New Roman" w:hAnsi="Calibri" w:cs="Times New Roman"/>
                <w:bCs w:val="0"/>
                <w:lang w:eastAsia="en-GB"/>
              </w:rPr>
              <w:t>Armagh City, Banbridge and Craigavon</w:t>
            </w:r>
          </w:p>
        </w:tc>
        <w:tc>
          <w:tcPr>
            <w:tcW w:w="1914" w:type="dxa"/>
          </w:tcPr>
          <w:p w14:paraId="1F6065A2" w14:textId="77777777" w:rsidR="008B4727" w:rsidRDefault="008B4727" w:rsidP="001F4F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lang w:eastAsia="en-GB"/>
              </w:rPr>
            </w:pPr>
          </w:p>
          <w:p w14:paraId="5027CCAB" w14:textId="77777777" w:rsidR="001F4F0E" w:rsidRPr="001F4F0E" w:rsidRDefault="001F4F0E" w:rsidP="001F4F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lang w:eastAsia="en-GB"/>
              </w:rPr>
            </w:pPr>
            <w:r w:rsidRPr="001F4F0E">
              <w:rPr>
                <w:rFonts w:ascii="Calibri" w:eastAsia="Times New Roman" w:hAnsi="Calibri" w:cs="Times New Roman"/>
                <w:bCs w:val="0"/>
                <w:lang w:eastAsia="en-GB"/>
              </w:rPr>
              <w:t>Northern Ireland</w:t>
            </w:r>
          </w:p>
        </w:tc>
      </w:tr>
      <w:tr w:rsidR="00703EC9" w:rsidRPr="00703EC9" w14:paraId="54C18F23" w14:textId="77777777" w:rsidTr="001F4F0E">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3689272C" w14:textId="77777777" w:rsidR="001F4F0E" w:rsidRPr="001F4F0E" w:rsidRDefault="001F4F0E" w:rsidP="001F4F0E">
            <w:pPr>
              <w:jc w:val="center"/>
              <w:rPr>
                <w:rFonts w:ascii="Calibri" w:eastAsia="Times New Roman" w:hAnsi="Calibri" w:cs="Times New Roman"/>
                <w:bCs w:val="0"/>
                <w:lang w:eastAsia="en-GB"/>
              </w:rPr>
            </w:pPr>
            <w:r w:rsidRPr="001F4F0E">
              <w:rPr>
                <w:rFonts w:ascii="Calibri" w:eastAsia="Times New Roman" w:hAnsi="Calibri" w:cs="Times New Roman"/>
                <w:bCs w:val="0"/>
                <w:lang w:eastAsia="en-GB"/>
              </w:rPr>
              <w:t>2010-14</w:t>
            </w:r>
          </w:p>
        </w:tc>
        <w:tc>
          <w:tcPr>
            <w:tcW w:w="1913" w:type="dxa"/>
            <w:noWrap/>
            <w:hideMark/>
          </w:tcPr>
          <w:p w14:paraId="46B09E79" w14:textId="77777777" w:rsidR="001F4F0E" w:rsidRPr="001F4F0E" w:rsidRDefault="001F4F0E" w:rsidP="001F4F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1F4F0E">
              <w:rPr>
                <w:rFonts w:ascii="Calibri" w:eastAsia="Times New Roman" w:hAnsi="Calibri" w:cs="Times New Roman"/>
                <w:lang w:eastAsia="en-GB"/>
              </w:rPr>
              <w:t>247</w:t>
            </w:r>
          </w:p>
        </w:tc>
        <w:tc>
          <w:tcPr>
            <w:tcW w:w="1914" w:type="dxa"/>
          </w:tcPr>
          <w:p w14:paraId="00BC597C" w14:textId="77777777" w:rsidR="001F4F0E" w:rsidRPr="001F4F0E" w:rsidRDefault="001F4F0E" w:rsidP="001F4F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1F4F0E">
              <w:rPr>
                <w:rFonts w:ascii="Calibri" w:eastAsia="Times New Roman" w:hAnsi="Calibri" w:cs="Times New Roman"/>
                <w:lang w:eastAsia="en-GB"/>
              </w:rPr>
              <w:t>267</w:t>
            </w:r>
          </w:p>
        </w:tc>
      </w:tr>
      <w:tr w:rsidR="00703EC9" w:rsidRPr="00703EC9" w14:paraId="2BFA9586" w14:textId="77777777" w:rsidTr="001F4F0E">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209D082F" w14:textId="77777777" w:rsidR="001F4F0E" w:rsidRPr="001F4F0E" w:rsidRDefault="001F4F0E" w:rsidP="001F4F0E">
            <w:pPr>
              <w:jc w:val="center"/>
              <w:rPr>
                <w:rFonts w:ascii="Calibri" w:eastAsia="Times New Roman" w:hAnsi="Calibri" w:cs="Times New Roman"/>
                <w:bCs w:val="0"/>
                <w:lang w:eastAsia="en-GB"/>
              </w:rPr>
            </w:pPr>
            <w:r w:rsidRPr="001F4F0E">
              <w:rPr>
                <w:rFonts w:ascii="Calibri" w:eastAsia="Times New Roman" w:hAnsi="Calibri" w:cs="Times New Roman"/>
                <w:bCs w:val="0"/>
                <w:lang w:eastAsia="en-GB"/>
              </w:rPr>
              <w:t>2011-15</w:t>
            </w:r>
          </w:p>
        </w:tc>
        <w:tc>
          <w:tcPr>
            <w:tcW w:w="1913" w:type="dxa"/>
            <w:noWrap/>
            <w:hideMark/>
          </w:tcPr>
          <w:p w14:paraId="434FC98B" w14:textId="77777777" w:rsidR="001F4F0E" w:rsidRPr="001F4F0E" w:rsidRDefault="001F4F0E" w:rsidP="001F4F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1F4F0E">
              <w:rPr>
                <w:rFonts w:ascii="Calibri" w:eastAsia="Times New Roman" w:hAnsi="Calibri" w:cs="Times New Roman"/>
                <w:lang w:eastAsia="en-GB"/>
              </w:rPr>
              <w:t>239</w:t>
            </w:r>
          </w:p>
        </w:tc>
        <w:tc>
          <w:tcPr>
            <w:tcW w:w="1914" w:type="dxa"/>
          </w:tcPr>
          <w:p w14:paraId="66F3A47F" w14:textId="77777777" w:rsidR="001F4F0E" w:rsidRPr="001F4F0E" w:rsidRDefault="001F4F0E" w:rsidP="001F4F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1F4F0E">
              <w:rPr>
                <w:rFonts w:ascii="Calibri" w:eastAsia="Times New Roman" w:hAnsi="Calibri" w:cs="Times New Roman"/>
                <w:lang w:eastAsia="en-GB"/>
              </w:rPr>
              <w:t>260</w:t>
            </w:r>
          </w:p>
        </w:tc>
      </w:tr>
      <w:tr w:rsidR="00703EC9" w:rsidRPr="00703EC9" w14:paraId="60086425" w14:textId="77777777" w:rsidTr="001F4F0E">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4746F30C" w14:textId="77777777" w:rsidR="001F4F0E" w:rsidRPr="001F4F0E" w:rsidRDefault="001F4F0E" w:rsidP="001F4F0E">
            <w:pPr>
              <w:jc w:val="center"/>
              <w:rPr>
                <w:rFonts w:ascii="Calibri" w:eastAsia="Times New Roman" w:hAnsi="Calibri" w:cs="Times New Roman"/>
                <w:bCs w:val="0"/>
                <w:lang w:eastAsia="en-GB"/>
              </w:rPr>
            </w:pPr>
            <w:r w:rsidRPr="001F4F0E">
              <w:rPr>
                <w:rFonts w:ascii="Calibri" w:eastAsia="Times New Roman" w:hAnsi="Calibri" w:cs="Times New Roman"/>
                <w:bCs w:val="0"/>
                <w:lang w:eastAsia="en-GB"/>
              </w:rPr>
              <w:t>2012-16</w:t>
            </w:r>
          </w:p>
        </w:tc>
        <w:tc>
          <w:tcPr>
            <w:tcW w:w="1913" w:type="dxa"/>
            <w:noWrap/>
            <w:hideMark/>
          </w:tcPr>
          <w:p w14:paraId="07E6E423" w14:textId="77777777" w:rsidR="001F4F0E" w:rsidRPr="001F4F0E" w:rsidRDefault="001F4F0E" w:rsidP="001F4F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1F4F0E">
              <w:rPr>
                <w:rFonts w:ascii="Calibri" w:eastAsia="Times New Roman" w:hAnsi="Calibri" w:cs="Times New Roman"/>
                <w:lang w:eastAsia="en-GB"/>
              </w:rPr>
              <w:t>238</w:t>
            </w:r>
          </w:p>
        </w:tc>
        <w:tc>
          <w:tcPr>
            <w:tcW w:w="1914" w:type="dxa"/>
          </w:tcPr>
          <w:p w14:paraId="3FCABED9" w14:textId="77777777" w:rsidR="001F4F0E" w:rsidRPr="001F4F0E" w:rsidRDefault="001F4F0E" w:rsidP="001F4F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1F4F0E">
              <w:rPr>
                <w:rFonts w:ascii="Calibri" w:eastAsia="Times New Roman" w:hAnsi="Calibri" w:cs="Times New Roman"/>
                <w:lang w:eastAsia="en-GB"/>
              </w:rPr>
              <w:t>256</w:t>
            </w:r>
          </w:p>
        </w:tc>
      </w:tr>
      <w:tr w:rsidR="00703EC9" w:rsidRPr="00703EC9" w14:paraId="44C9CF89" w14:textId="77777777" w:rsidTr="001F4F0E">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3CF6CD10" w14:textId="77777777" w:rsidR="001F4F0E" w:rsidRPr="001F4F0E" w:rsidRDefault="001F4F0E" w:rsidP="001F4F0E">
            <w:pPr>
              <w:jc w:val="center"/>
              <w:rPr>
                <w:rFonts w:ascii="Calibri" w:eastAsia="Times New Roman" w:hAnsi="Calibri" w:cs="Times New Roman"/>
                <w:bCs w:val="0"/>
                <w:lang w:eastAsia="en-GB"/>
              </w:rPr>
            </w:pPr>
            <w:r w:rsidRPr="001F4F0E">
              <w:rPr>
                <w:rFonts w:ascii="Calibri" w:eastAsia="Times New Roman" w:hAnsi="Calibri" w:cs="Times New Roman"/>
                <w:bCs w:val="0"/>
                <w:lang w:eastAsia="en-GB"/>
              </w:rPr>
              <w:t>2013-17</w:t>
            </w:r>
          </w:p>
        </w:tc>
        <w:tc>
          <w:tcPr>
            <w:tcW w:w="1913" w:type="dxa"/>
            <w:noWrap/>
            <w:hideMark/>
          </w:tcPr>
          <w:p w14:paraId="6325AEAF" w14:textId="77777777" w:rsidR="001F4F0E" w:rsidRPr="001F4F0E" w:rsidRDefault="001F4F0E" w:rsidP="001F4F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1F4F0E">
              <w:rPr>
                <w:rFonts w:ascii="Calibri" w:eastAsia="Times New Roman" w:hAnsi="Calibri" w:cs="Times New Roman"/>
                <w:lang w:eastAsia="en-GB"/>
              </w:rPr>
              <w:t>237</w:t>
            </w:r>
          </w:p>
        </w:tc>
        <w:tc>
          <w:tcPr>
            <w:tcW w:w="1914" w:type="dxa"/>
          </w:tcPr>
          <w:p w14:paraId="37AB618A" w14:textId="77777777" w:rsidR="001F4F0E" w:rsidRPr="001F4F0E" w:rsidRDefault="001F4F0E" w:rsidP="001F4F0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1F4F0E">
              <w:rPr>
                <w:rFonts w:ascii="Calibri" w:eastAsia="Times New Roman" w:hAnsi="Calibri" w:cs="Times New Roman"/>
                <w:lang w:eastAsia="en-GB"/>
              </w:rPr>
              <w:t>256</w:t>
            </w:r>
          </w:p>
        </w:tc>
      </w:tr>
      <w:tr w:rsidR="00781473" w:rsidRPr="00703EC9" w14:paraId="1184EC04" w14:textId="77777777" w:rsidTr="005B1703">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0D2BA3E6" w14:textId="77777777" w:rsidR="00781473" w:rsidRPr="001F4F0E" w:rsidRDefault="00781473" w:rsidP="00781473">
            <w:pPr>
              <w:jc w:val="center"/>
              <w:rPr>
                <w:rFonts w:ascii="Calibri" w:eastAsia="Times New Roman" w:hAnsi="Calibri" w:cs="Times New Roman"/>
                <w:bCs w:val="0"/>
                <w:lang w:eastAsia="en-GB"/>
              </w:rPr>
            </w:pPr>
            <w:r w:rsidRPr="001F4F0E">
              <w:rPr>
                <w:rFonts w:ascii="Calibri" w:eastAsia="Times New Roman" w:hAnsi="Calibri" w:cs="Times New Roman"/>
                <w:bCs w:val="0"/>
                <w:lang w:eastAsia="en-GB"/>
              </w:rPr>
              <w:t>2014-18</w:t>
            </w:r>
          </w:p>
        </w:tc>
        <w:tc>
          <w:tcPr>
            <w:tcW w:w="1913" w:type="dxa"/>
            <w:noWrap/>
            <w:vAlign w:val="center"/>
            <w:hideMark/>
          </w:tcPr>
          <w:p w14:paraId="5E3B5BF6" w14:textId="2DC3DB22" w:rsidR="00781473" w:rsidRPr="00781473" w:rsidRDefault="00781473" w:rsidP="007814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781473">
              <w:rPr>
                <w:rFonts w:ascii="Calibri" w:hAnsi="Calibri" w:cs="Calibri"/>
              </w:rPr>
              <w:t>236</w:t>
            </w:r>
          </w:p>
        </w:tc>
        <w:tc>
          <w:tcPr>
            <w:tcW w:w="1914" w:type="dxa"/>
            <w:vAlign w:val="center"/>
          </w:tcPr>
          <w:p w14:paraId="2643C90E" w14:textId="0460247B" w:rsidR="00781473" w:rsidRPr="00781473" w:rsidRDefault="00781473" w:rsidP="007814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781473">
              <w:rPr>
                <w:rFonts w:ascii="Calibri" w:hAnsi="Calibri" w:cs="Calibri"/>
              </w:rPr>
              <w:t>253</w:t>
            </w:r>
          </w:p>
        </w:tc>
      </w:tr>
      <w:tr w:rsidR="00826676" w:rsidRPr="00703EC9" w14:paraId="7BDD4E83" w14:textId="77777777" w:rsidTr="005B1703">
        <w:trPr>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335F0555" w14:textId="77777777" w:rsidR="00826676" w:rsidRPr="001F4F0E" w:rsidRDefault="00826676" w:rsidP="00826676">
            <w:pPr>
              <w:jc w:val="center"/>
              <w:rPr>
                <w:rFonts w:ascii="Calibri" w:eastAsia="Times New Roman" w:hAnsi="Calibri" w:cs="Times New Roman"/>
                <w:bCs w:val="0"/>
                <w:lang w:eastAsia="en-GB"/>
              </w:rPr>
            </w:pPr>
            <w:r w:rsidRPr="001F4F0E">
              <w:rPr>
                <w:rFonts w:ascii="Calibri" w:eastAsia="Times New Roman" w:hAnsi="Calibri" w:cs="Times New Roman"/>
                <w:bCs w:val="0"/>
                <w:lang w:eastAsia="en-GB"/>
              </w:rPr>
              <w:t>2015-19</w:t>
            </w:r>
          </w:p>
        </w:tc>
        <w:tc>
          <w:tcPr>
            <w:tcW w:w="1913" w:type="dxa"/>
            <w:noWrap/>
            <w:vAlign w:val="center"/>
            <w:hideMark/>
          </w:tcPr>
          <w:p w14:paraId="5F5C6A57" w14:textId="41747EF4" w:rsidR="00826676" w:rsidRPr="00826676" w:rsidRDefault="00826676" w:rsidP="008266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826676">
              <w:rPr>
                <w:rFonts w:ascii="Calibri" w:hAnsi="Calibri" w:cs="Calibri"/>
              </w:rPr>
              <w:t>231</w:t>
            </w:r>
          </w:p>
        </w:tc>
        <w:tc>
          <w:tcPr>
            <w:tcW w:w="1914" w:type="dxa"/>
            <w:vAlign w:val="center"/>
          </w:tcPr>
          <w:p w14:paraId="77686AFC" w14:textId="3657B25E" w:rsidR="00826676" w:rsidRPr="00826676" w:rsidRDefault="00826676" w:rsidP="0082667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lang w:eastAsia="en-GB"/>
              </w:rPr>
            </w:pPr>
            <w:r w:rsidRPr="00826676">
              <w:rPr>
                <w:rFonts w:ascii="Calibri" w:hAnsi="Calibri" w:cs="Calibri"/>
              </w:rPr>
              <w:t>252</w:t>
            </w:r>
          </w:p>
        </w:tc>
      </w:tr>
      <w:tr w:rsidR="00826676" w:rsidRPr="00703EC9" w14:paraId="54D63861" w14:textId="77777777" w:rsidTr="001B033D">
        <w:trPr>
          <w:trHeight w:val="30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419F94A" w14:textId="77777777" w:rsidR="00826676" w:rsidRPr="003863F0" w:rsidRDefault="00826676" w:rsidP="00826676">
            <w:pPr>
              <w:jc w:val="center"/>
              <w:rPr>
                <w:rFonts w:ascii="Calibri" w:hAnsi="Calibri" w:cs="Calibri"/>
              </w:rPr>
            </w:pPr>
            <w:r w:rsidRPr="003863F0">
              <w:rPr>
                <w:rFonts w:ascii="Calibri" w:hAnsi="Calibri" w:cs="Calibri"/>
                <w:bCs w:val="0"/>
              </w:rPr>
              <w:t>2016-20</w:t>
            </w:r>
          </w:p>
        </w:tc>
        <w:tc>
          <w:tcPr>
            <w:tcW w:w="1913" w:type="dxa"/>
            <w:noWrap/>
            <w:vAlign w:val="center"/>
          </w:tcPr>
          <w:p w14:paraId="237D75E9" w14:textId="2C1BE0AD" w:rsidR="00826676" w:rsidRPr="00826676" w:rsidRDefault="00826676" w:rsidP="008266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676">
              <w:rPr>
                <w:rFonts w:ascii="Calibri" w:hAnsi="Calibri" w:cs="Calibri"/>
              </w:rPr>
              <w:t>234</w:t>
            </w:r>
          </w:p>
        </w:tc>
        <w:tc>
          <w:tcPr>
            <w:tcW w:w="1914" w:type="dxa"/>
            <w:vAlign w:val="center"/>
          </w:tcPr>
          <w:p w14:paraId="1F212006" w14:textId="0E996E7C" w:rsidR="00826676" w:rsidRPr="00826676" w:rsidRDefault="00826676" w:rsidP="008266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676">
              <w:rPr>
                <w:rFonts w:ascii="Calibri" w:hAnsi="Calibri" w:cs="Calibri"/>
              </w:rPr>
              <w:t>254</w:t>
            </w:r>
          </w:p>
        </w:tc>
      </w:tr>
      <w:tr w:rsidR="00826676" w:rsidRPr="00703EC9" w14:paraId="6CBDAB94" w14:textId="77777777" w:rsidTr="001B033D">
        <w:trPr>
          <w:trHeight w:val="30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93DD5E7" w14:textId="77777777" w:rsidR="00826676" w:rsidRPr="003863F0" w:rsidRDefault="00826676" w:rsidP="00826676">
            <w:pPr>
              <w:jc w:val="center"/>
              <w:rPr>
                <w:rFonts w:ascii="Calibri" w:hAnsi="Calibri" w:cs="Calibri"/>
              </w:rPr>
            </w:pPr>
            <w:r w:rsidRPr="003863F0">
              <w:rPr>
                <w:rFonts w:ascii="Calibri" w:hAnsi="Calibri" w:cs="Calibri"/>
                <w:bCs w:val="0"/>
              </w:rPr>
              <w:t>2017-21</w:t>
            </w:r>
          </w:p>
        </w:tc>
        <w:tc>
          <w:tcPr>
            <w:tcW w:w="1913" w:type="dxa"/>
            <w:noWrap/>
            <w:vAlign w:val="center"/>
          </w:tcPr>
          <w:p w14:paraId="1443D1A4" w14:textId="6AD275B8" w:rsidR="00826676" w:rsidRPr="00826676" w:rsidRDefault="00826676" w:rsidP="008266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676">
              <w:rPr>
                <w:rFonts w:ascii="Calibri" w:hAnsi="Calibri" w:cs="Calibri"/>
              </w:rPr>
              <w:t>238</w:t>
            </w:r>
          </w:p>
        </w:tc>
        <w:tc>
          <w:tcPr>
            <w:tcW w:w="1914" w:type="dxa"/>
            <w:vAlign w:val="center"/>
          </w:tcPr>
          <w:p w14:paraId="08CE4870" w14:textId="0493F7B5" w:rsidR="00826676" w:rsidRPr="00826676" w:rsidRDefault="00826676" w:rsidP="008266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676">
              <w:rPr>
                <w:rFonts w:ascii="Calibri" w:hAnsi="Calibri" w:cs="Calibri"/>
              </w:rPr>
              <w:t>259</w:t>
            </w:r>
          </w:p>
        </w:tc>
      </w:tr>
      <w:tr w:rsidR="00826676" w:rsidRPr="00703EC9" w14:paraId="7066440F" w14:textId="77777777" w:rsidTr="001B033D">
        <w:trPr>
          <w:trHeight w:val="30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C93E5E4" w14:textId="1C730C9C" w:rsidR="00826676" w:rsidRPr="003863F0" w:rsidRDefault="00826676" w:rsidP="00826676">
            <w:pPr>
              <w:jc w:val="center"/>
              <w:rPr>
                <w:rFonts w:ascii="Calibri" w:hAnsi="Calibri" w:cs="Calibri"/>
              </w:rPr>
            </w:pPr>
            <w:r>
              <w:rPr>
                <w:rFonts w:ascii="Calibri" w:hAnsi="Calibri" w:cs="Calibri"/>
              </w:rPr>
              <w:t>2018-22</w:t>
            </w:r>
          </w:p>
        </w:tc>
        <w:tc>
          <w:tcPr>
            <w:tcW w:w="1913" w:type="dxa"/>
            <w:noWrap/>
            <w:vAlign w:val="center"/>
          </w:tcPr>
          <w:p w14:paraId="10E73BE4" w14:textId="7DEBFBAF" w:rsidR="00826676" w:rsidRPr="00826676" w:rsidRDefault="00826676" w:rsidP="008266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676">
              <w:rPr>
                <w:rFonts w:ascii="Calibri" w:hAnsi="Calibri" w:cs="Calibri"/>
              </w:rPr>
              <w:t>240</w:t>
            </w:r>
          </w:p>
        </w:tc>
        <w:tc>
          <w:tcPr>
            <w:tcW w:w="1914" w:type="dxa"/>
            <w:vAlign w:val="center"/>
          </w:tcPr>
          <w:p w14:paraId="11F14810" w14:textId="24E7DDF1" w:rsidR="00826676" w:rsidRPr="00826676" w:rsidRDefault="00826676" w:rsidP="008266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676">
              <w:rPr>
                <w:rFonts w:ascii="Calibri" w:hAnsi="Calibri" w:cs="Calibri"/>
              </w:rPr>
              <w:t>259</w:t>
            </w:r>
          </w:p>
        </w:tc>
      </w:tr>
      <w:tr w:rsidR="00826676" w:rsidRPr="00703EC9" w14:paraId="65D1A66E" w14:textId="77777777" w:rsidTr="001B033D">
        <w:trPr>
          <w:trHeight w:val="30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19CED99" w14:textId="459B0929" w:rsidR="00826676" w:rsidRDefault="00826676" w:rsidP="00826676">
            <w:pPr>
              <w:jc w:val="center"/>
              <w:rPr>
                <w:rFonts w:ascii="Calibri" w:hAnsi="Calibri" w:cs="Calibri"/>
              </w:rPr>
            </w:pPr>
            <w:r>
              <w:rPr>
                <w:rFonts w:ascii="Calibri" w:hAnsi="Calibri" w:cs="Calibri"/>
              </w:rPr>
              <w:t>2019-23</w:t>
            </w:r>
          </w:p>
        </w:tc>
        <w:tc>
          <w:tcPr>
            <w:tcW w:w="1913" w:type="dxa"/>
            <w:noWrap/>
            <w:vAlign w:val="center"/>
          </w:tcPr>
          <w:p w14:paraId="1C53D64F" w14:textId="6E3A3D51" w:rsidR="00826676" w:rsidRPr="00826676" w:rsidRDefault="00826676" w:rsidP="008266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676">
              <w:rPr>
                <w:rFonts w:ascii="Calibri" w:hAnsi="Calibri" w:cs="Calibri"/>
              </w:rPr>
              <w:t>238</w:t>
            </w:r>
          </w:p>
        </w:tc>
        <w:tc>
          <w:tcPr>
            <w:tcW w:w="1914" w:type="dxa"/>
            <w:vAlign w:val="center"/>
          </w:tcPr>
          <w:p w14:paraId="5751525D" w14:textId="4B4F334D" w:rsidR="00826676" w:rsidRPr="00826676" w:rsidRDefault="00826676" w:rsidP="008266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26676">
              <w:rPr>
                <w:rFonts w:ascii="Calibri" w:hAnsi="Calibri" w:cs="Calibri"/>
              </w:rPr>
              <w:t>257</w:t>
            </w:r>
          </w:p>
        </w:tc>
      </w:tr>
      <w:tr w:rsidR="00E52EB8" w:rsidRPr="00703EC9" w14:paraId="0D10C717" w14:textId="77777777" w:rsidTr="001B033D">
        <w:trPr>
          <w:trHeight w:val="30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5C14EFB" w14:textId="0F931E6E" w:rsidR="00E52EB8" w:rsidRDefault="00E52EB8" w:rsidP="00826676">
            <w:pPr>
              <w:jc w:val="center"/>
              <w:rPr>
                <w:rFonts w:ascii="Calibri" w:hAnsi="Calibri" w:cs="Calibri"/>
              </w:rPr>
            </w:pPr>
            <w:r>
              <w:rPr>
                <w:rFonts w:ascii="Calibri" w:hAnsi="Calibri" w:cs="Calibri"/>
              </w:rPr>
              <w:t>2020-24</w:t>
            </w:r>
          </w:p>
        </w:tc>
        <w:tc>
          <w:tcPr>
            <w:tcW w:w="1913" w:type="dxa"/>
            <w:noWrap/>
            <w:vAlign w:val="center"/>
          </w:tcPr>
          <w:p w14:paraId="43FFF050" w14:textId="554374BB" w:rsidR="00E52EB8" w:rsidRPr="00826676" w:rsidRDefault="00E52EB8" w:rsidP="008266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249</w:t>
            </w:r>
          </w:p>
        </w:tc>
        <w:tc>
          <w:tcPr>
            <w:tcW w:w="1914" w:type="dxa"/>
            <w:vAlign w:val="center"/>
          </w:tcPr>
          <w:p w14:paraId="4CB313F0" w14:textId="018DC334" w:rsidR="00E52EB8" w:rsidRPr="00826676" w:rsidRDefault="00E52EB8" w:rsidP="008266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w:t>
            </w:r>
          </w:p>
        </w:tc>
      </w:tr>
    </w:tbl>
    <w:p w14:paraId="3D890529" w14:textId="0EE3409E" w:rsidR="00CD0C89" w:rsidRDefault="00E30FF1" w:rsidP="00CD0C89">
      <w:pPr>
        <w:rPr>
          <w:i/>
          <w:sz w:val="20"/>
          <w:szCs w:val="20"/>
        </w:rPr>
      </w:pPr>
      <w:r w:rsidRPr="00703EC9">
        <w:rPr>
          <w:i/>
          <w:sz w:val="20"/>
          <w:szCs w:val="20"/>
        </w:rPr>
        <w:t>Table 4: Standardised death rate for avoidable deaths per 100,000 population in Armagh City, Banbridge and Craigavon B</w:t>
      </w:r>
      <w:r w:rsidR="00B323BB" w:rsidRPr="00703EC9">
        <w:rPr>
          <w:i/>
          <w:sz w:val="20"/>
          <w:szCs w:val="20"/>
        </w:rPr>
        <w:t>orough and Northern Ireland 2010-14</w:t>
      </w:r>
      <w:r w:rsidRPr="00703EC9">
        <w:rPr>
          <w:i/>
          <w:sz w:val="20"/>
          <w:szCs w:val="20"/>
        </w:rPr>
        <w:t xml:space="preserve"> to </w:t>
      </w:r>
      <w:r w:rsidR="001F4F0E" w:rsidRPr="00703EC9">
        <w:rPr>
          <w:i/>
          <w:sz w:val="20"/>
          <w:szCs w:val="20"/>
        </w:rPr>
        <w:t>20</w:t>
      </w:r>
      <w:r w:rsidR="00E52EB8">
        <w:rPr>
          <w:i/>
          <w:sz w:val="20"/>
          <w:szCs w:val="20"/>
        </w:rPr>
        <w:t>20-24</w:t>
      </w:r>
      <w:r w:rsidRPr="00703EC9">
        <w:rPr>
          <w:i/>
          <w:sz w:val="20"/>
          <w:szCs w:val="20"/>
        </w:rPr>
        <w:t xml:space="preserve">. Source: </w:t>
      </w:r>
      <w:r w:rsidR="00CD0C89">
        <w:rPr>
          <w:i/>
          <w:sz w:val="20"/>
          <w:szCs w:val="20"/>
        </w:rPr>
        <w:t>Health Inequalities Annual Report 202</w:t>
      </w:r>
      <w:r w:rsidR="00E52EB8">
        <w:rPr>
          <w:i/>
          <w:sz w:val="20"/>
          <w:szCs w:val="20"/>
        </w:rPr>
        <w:t>6</w:t>
      </w:r>
      <w:r w:rsidR="00CD0C89">
        <w:rPr>
          <w:i/>
          <w:sz w:val="20"/>
          <w:szCs w:val="20"/>
        </w:rPr>
        <w:t xml:space="preserve">, Department of Health, Northern Ireland. </w:t>
      </w:r>
    </w:p>
    <w:p w14:paraId="17676C58" w14:textId="77777777" w:rsidR="007558D5" w:rsidRDefault="007558D5" w:rsidP="00CD0C89">
      <w:pPr>
        <w:rPr>
          <w:rFonts w:ascii="Calibri" w:hAnsi="Calibri" w:cs="Calibri"/>
          <w:i/>
          <w:sz w:val="20"/>
          <w:szCs w:val="20"/>
          <w:shd w:val="clear" w:color="auto" w:fill="FFFFFF"/>
        </w:rPr>
      </w:pPr>
    </w:p>
    <w:p w14:paraId="1D32867D" w14:textId="77777777" w:rsidR="00E52EB8" w:rsidRDefault="00781473" w:rsidP="00CD0C89">
      <w:pPr>
        <w:rPr>
          <w:noProof/>
        </w:rPr>
      </w:pPr>
      <w:r w:rsidRPr="00781473">
        <w:rPr>
          <w:noProof/>
        </w:rPr>
        <w:lastRenderedPageBreak/>
        <w:t xml:space="preserve"> </w:t>
      </w:r>
      <w:r w:rsidR="00826676" w:rsidRPr="00826676">
        <w:rPr>
          <w:noProof/>
        </w:rPr>
        <w:t xml:space="preserve"> </w:t>
      </w:r>
      <w:r w:rsidR="00E52EB8">
        <w:rPr>
          <w:noProof/>
        </w:rPr>
        <w:drawing>
          <wp:inline distT="0" distB="0" distL="0" distR="0" wp14:anchorId="738F3A6D" wp14:editId="3FC3A8C4">
            <wp:extent cx="4994910" cy="3194685"/>
            <wp:effectExtent l="0" t="0" r="15240" b="5715"/>
            <wp:docPr id="54729208" name="Chart 1" descr="Chart showing the standardised death rate for avoidable deaths per 100,000 population in Armagh City, Banbridge and Craigavon Borough and Northern Ireland 2010-14 to 2020-24. ">
              <a:extLst xmlns:a="http://schemas.openxmlformats.org/drawingml/2006/main">
                <a:ext uri="{FF2B5EF4-FFF2-40B4-BE49-F238E27FC236}">
                  <a16:creationId xmlns:a16="http://schemas.microsoft.com/office/drawing/2014/main" id="{7974E1A1-F9AE-64A2-86D8-40058869DE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2CE1D9" w14:textId="365E2A60" w:rsidR="00826676" w:rsidRPr="00E52EB8" w:rsidRDefault="009D7733" w:rsidP="007D4D31">
      <w:pPr>
        <w:rPr>
          <w:rFonts w:ascii="Calibri" w:hAnsi="Calibri" w:cs="Calibri"/>
          <w:i/>
          <w:sz w:val="20"/>
          <w:szCs w:val="20"/>
          <w:shd w:val="clear" w:color="auto" w:fill="FFFFFF"/>
        </w:rPr>
      </w:pPr>
      <w:r w:rsidRPr="00703EC9">
        <w:rPr>
          <w:i/>
          <w:sz w:val="20"/>
          <w:szCs w:val="20"/>
        </w:rPr>
        <w:t>Figure 4: Standardised death rate for avoidable deaths per 100,000 population in Armagh City, Banbridge and Craigavon B</w:t>
      </w:r>
      <w:r w:rsidR="00B323BB" w:rsidRPr="00703EC9">
        <w:rPr>
          <w:i/>
          <w:sz w:val="20"/>
          <w:szCs w:val="20"/>
        </w:rPr>
        <w:t>orough and Northern Ireland 2010-14 to 20</w:t>
      </w:r>
      <w:r w:rsidR="00E52EB8">
        <w:rPr>
          <w:i/>
          <w:sz w:val="20"/>
          <w:szCs w:val="20"/>
        </w:rPr>
        <w:t>20-24</w:t>
      </w:r>
      <w:r w:rsidRPr="00703EC9">
        <w:rPr>
          <w:i/>
          <w:sz w:val="20"/>
          <w:szCs w:val="20"/>
        </w:rPr>
        <w:t xml:space="preserve">. Source: </w:t>
      </w:r>
      <w:r w:rsidR="00CD0C89">
        <w:rPr>
          <w:i/>
          <w:sz w:val="20"/>
          <w:szCs w:val="20"/>
        </w:rPr>
        <w:t>Health Inequalities Annual Report 202</w:t>
      </w:r>
      <w:r w:rsidR="00E52EB8">
        <w:rPr>
          <w:i/>
          <w:sz w:val="20"/>
          <w:szCs w:val="20"/>
        </w:rPr>
        <w:t>6</w:t>
      </w:r>
      <w:r w:rsidR="00CD0C89">
        <w:rPr>
          <w:i/>
          <w:sz w:val="20"/>
          <w:szCs w:val="20"/>
        </w:rPr>
        <w:t xml:space="preserve">, Department of Health, Northern Ireland. </w:t>
      </w:r>
    </w:p>
    <w:p w14:paraId="3CEDEE69" w14:textId="0D798077" w:rsidR="008E087E" w:rsidRPr="007E7185" w:rsidRDefault="008E087E" w:rsidP="007D4D31">
      <w:pPr>
        <w:rPr>
          <w:color w:val="FF0000"/>
        </w:rPr>
      </w:pPr>
      <w:r w:rsidRPr="007E7185">
        <w:t xml:space="preserve">The </w:t>
      </w:r>
      <w:r w:rsidR="00826676">
        <w:t xml:space="preserve">standardised death </w:t>
      </w:r>
      <w:r w:rsidRPr="007E7185">
        <w:t>rate</w:t>
      </w:r>
      <w:r w:rsidR="00826676">
        <w:t xml:space="preserve"> for suicide</w:t>
      </w:r>
      <w:r w:rsidRPr="007E7185">
        <w:t xml:space="preserve"> is defined as ‘the number of deaths by intentional self-harm and events of undetermined intent per 100,000 population’</w:t>
      </w:r>
      <w:r w:rsidR="00826676" w:rsidRPr="007E7185">
        <w:rPr>
          <w:rStyle w:val="FootnoteReference"/>
        </w:rPr>
        <w:footnoteReference w:id="2"/>
      </w:r>
      <w:r w:rsidRPr="007E7185">
        <w:t xml:space="preserve">.  In </w:t>
      </w:r>
      <w:r w:rsidR="00E52EB8">
        <w:t>2020-24</w:t>
      </w:r>
      <w:r w:rsidRPr="007E7185">
        <w:t xml:space="preserve">, in Armagh City, Banbridge and Craigavon </w:t>
      </w:r>
      <w:r w:rsidR="006A4E89">
        <w:t>B</w:t>
      </w:r>
      <w:r w:rsidRPr="007E7185">
        <w:t>orough</w:t>
      </w:r>
      <w:r w:rsidR="000929BF" w:rsidRPr="007E7185">
        <w:t xml:space="preserve">, the </w:t>
      </w:r>
      <w:r w:rsidR="006A4E89">
        <w:t xml:space="preserve">standardised death </w:t>
      </w:r>
      <w:r w:rsidR="006A4E89" w:rsidRPr="007E7185">
        <w:t>rate</w:t>
      </w:r>
      <w:r w:rsidR="006A4E89">
        <w:t xml:space="preserve"> for suicide</w:t>
      </w:r>
      <w:r w:rsidR="006A4E89" w:rsidRPr="007E7185">
        <w:t xml:space="preserve"> </w:t>
      </w:r>
      <w:r w:rsidR="000929BF" w:rsidRPr="007E7185">
        <w:t xml:space="preserve">was </w:t>
      </w:r>
      <w:r w:rsidR="00E52EB8">
        <w:t>15</w:t>
      </w:r>
      <w:r w:rsidR="000929BF" w:rsidRPr="007E7185">
        <w:t xml:space="preserve"> </w:t>
      </w:r>
      <w:r w:rsidRPr="007E7185">
        <w:t xml:space="preserve">per 100,000 </w:t>
      </w:r>
      <w:r w:rsidR="000929BF" w:rsidRPr="007E7185">
        <w:t xml:space="preserve">population.  This was up from </w:t>
      </w:r>
      <w:r w:rsidR="00E52EB8">
        <w:t>13</w:t>
      </w:r>
      <w:r w:rsidR="000929BF" w:rsidRPr="007E7185">
        <w:t xml:space="preserve"> per 100,000 </w:t>
      </w:r>
      <w:r w:rsidR="000929BF">
        <w:t xml:space="preserve">in </w:t>
      </w:r>
      <w:r w:rsidR="00E52EB8">
        <w:t>2019-23</w:t>
      </w:r>
      <w:r w:rsidRPr="00397024">
        <w:t xml:space="preserve">.  </w:t>
      </w:r>
      <w:r w:rsidR="00E52EB8">
        <w:t>Until now i</w:t>
      </w:r>
      <w:r w:rsidRPr="00397024">
        <w:t>n Northern Ireland</w:t>
      </w:r>
      <w:r>
        <w:t>,</w:t>
      </w:r>
      <w:r w:rsidR="006A4E89">
        <w:t xml:space="preserve"> the</w:t>
      </w:r>
      <w:r w:rsidRPr="00397024">
        <w:t xml:space="preserve"> </w:t>
      </w:r>
      <w:r w:rsidR="006A4E89">
        <w:t xml:space="preserve">standardised death </w:t>
      </w:r>
      <w:r w:rsidR="006A4E89" w:rsidRPr="007E7185">
        <w:t>rate</w:t>
      </w:r>
      <w:r w:rsidR="006A4E89">
        <w:t xml:space="preserve"> for suicide</w:t>
      </w:r>
      <w:r w:rsidR="006A4E89" w:rsidRPr="007E7185">
        <w:t xml:space="preserve"> </w:t>
      </w:r>
      <w:r w:rsidR="007E7185">
        <w:t>has been</w:t>
      </w:r>
      <w:r>
        <w:t xml:space="preserve"> higher than the </w:t>
      </w:r>
      <w:r w:rsidR="006A4E89">
        <w:t>B</w:t>
      </w:r>
      <w:r>
        <w:t xml:space="preserve">orough </w:t>
      </w:r>
      <w:r w:rsidR="007E7185">
        <w:t xml:space="preserve">for </w:t>
      </w:r>
      <w:r w:rsidR="002428AA">
        <w:t xml:space="preserve">each of </w:t>
      </w:r>
      <w:r w:rsidR="007E7185">
        <w:t>the periods presented</w:t>
      </w:r>
      <w:r w:rsidR="00E52EB8">
        <w:t>.</w:t>
      </w:r>
      <w:r w:rsidR="007E7185">
        <w:t xml:space="preserve"> </w:t>
      </w:r>
      <w:r w:rsidR="00E52EB8">
        <w:t>However,</w:t>
      </w:r>
      <w:r w:rsidR="002428AA">
        <w:t xml:space="preserve"> with the increase seen in the Borough </w:t>
      </w:r>
      <w:r w:rsidR="006A4E89">
        <w:t>since 2017-21</w:t>
      </w:r>
      <w:r w:rsidR="00E52EB8">
        <w:t xml:space="preserve"> and the most recent increase in 2020-24</w:t>
      </w:r>
      <w:r w:rsidR="002428AA">
        <w:t xml:space="preserve">, the </w:t>
      </w:r>
      <w:r w:rsidR="002428AA" w:rsidRPr="007E7185">
        <w:t>Armagh City, Banbridge and Craigavon</w:t>
      </w:r>
      <w:r w:rsidR="002428AA">
        <w:t xml:space="preserve"> LGD-NI Gap </w:t>
      </w:r>
      <w:r w:rsidR="00E52EB8">
        <w:t xml:space="preserve">has closed and now the standardised death rate for suicide in the Armagh City, Banbridge and Craigavon Borough is higher than the rate in Northern Ireland. </w:t>
      </w:r>
    </w:p>
    <w:tbl>
      <w:tblPr>
        <w:tblStyle w:val="GridTable1Light"/>
        <w:tblW w:w="6941" w:type="dxa"/>
        <w:tblLayout w:type="fixed"/>
        <w:tblLook w:val="04A0" w:firstRow="1" w:lastRow="0" w:firstColumn="1" w:lastColumn="0" w:noHBand="0" w:noVBand="1"/>
      </w:tblPr>
      <w:tblGrid>
        <w:gridCol w:w="2405"/>
        <w:gridCol w:w="2268"/>
        <w:gridCol w:w="2268"/>
      </w:tblGrid>
      <w:tr w:rsidR="008E087E" w:rsidRPr="008E087E" w14:paraId="108E2D2D" w14:textId="77777777" w:rsidTr="008E087E">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05" w:type="dxa"/>
            <w:vMerge w:val="restart"/>
            <w:hideMark/>
          </w:tcPr>
          <w:p w14:paraId="6745CE0D" w14:textId="77777777" w:rsidR="006A4E89" w:rsidRPr="006A4E89" w:rsidRDefault="006A4E89" w:rsidP="006A4E89">
            <w:pPr>
              <w:jc w:val="center"/>
              <w:rPr>
                <w:rFonts w:ascii="Calibri" w:hAnsi="Calibri" w:cs="Calibri"/>
              </w:rPr>
            </w:pPr>
            <w:r w:rsidRPr="006A4E89">
              <w:rPr>
                <w:rFonts w:ascii="Calibri" w:hAnsi="Calibri" w:cs="Calibri"/>
              </w:rPr>
              <w:t>Standardised Death Rate - Suicide (Deaths per 100,000 population)</w:t>
            </w:r>
          </w:p>
          <w:p w14:paraId="41335702" w14:textId="3B0A6C6C" w:rsidR="008E087E" w:rsidRPr="006A4E89" w:rsidRDefault="008E087E" w:rsidP="008E087E">
            <w:pPr>
              <w:jc w:val="center"/>
              <w:rPr>
                <w:rFonts w:ascii="Calibri" w:eastAsia="Times New Roman" w:hAnsi="Calibri" w:cs="Calibri"/>
                <w:lang w:eastAsia="en-GB"/>
              </w:rPr>
            </w:pPr>
          </w:p>
        </w:tc>
        <w:tc>
          <w:tcPr>
            <w:tcW w:w="2268" w:type="dxa"/>
            <w:vMerge w:val="restart"/>
            <w:hideMark/>
          </w:tcPr>
          <w:p w14:paraId="699DBD25" w14:textId="77777777" w:rsidR="008E087E" w:rsidRPr="006A4E89" w:rsidRDefault="008E087E" w:rsidP="008E08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A4E89">
              <w:rPr>
                <w:rFonts w:ascii="Calibri" w:eastAsia="Times New Roman" w:hAnsi="Calibri" w:cs="Calibri"/>
                <w:lang w:eastAsia="en-GB"/>
              </w:rPr>
              <w:t>Armagh City, Banbridge and Craigavon</w:t>
            </w:r>
          </w:p>
        </w:tc>
        <w:tc>
          <w:tcPr>
            <w:tcW w:w="2268" w:type="dxa"/>
            <w:vMerge w:val="restart"/>
            <w:hideMark/>
          </w:tcPr>
          <w:p w14:paraId="636E10FA" w14:textId="77777777" w:rsidR="008E087E" w:rsidRPr="006A4E89" w:rsidRDefault="008E087E" w:rsidP="008E08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A4E89">
              <w:rPr>
                <w:rFonts w:ascii="Calibri" w:eastAsia="Times New Roman" w:hAnsi="Calibri" w:cs="Calibri"/>
                <w:lang w:eastAsia="en-GB"/>
              </w:rPr>
              <w:t>Northern Ireland</w:t>
            </w:r>
          </w:p>
        </w:tc>
      </w:tr>
      <w:tr w:rsidR="008E087E" w:rsidRPr="008E087E" w14:paraId="680D764A" w14:textId="77777777" w:rsidTr="008E087E">
        <w:trPr>
          <w:trHeight w:val="450"/>
        </w:trPr>
        <w:tc>
          <w:tcPr>
            <w:cnfStyle w:val="001000000000" w:firstRow="0" w:lastRow="0" w:firstColumn="1" w:lastColumn="0" w:oddVBand="0" w:evenVBand="0" w:oddHBand="0" w:evenHBand="0" w:firstRowFirstColumn="0" w:firstRowLastColumn="0" w:lastRowFirstColumn="0" w:lastRowLastColumn="0"/>
            <w:tcW w:w="2405" w:type="dxa"/>
            <w:vMerge/>
            <w:hideMark/>
          </w:tcPr>
          <w:p w14:paraId="3967CF78" w14:textId="77777777" w:rsidR="008E087E" w:rsidRPr="006A4E89" w:rsidRDefault="008E087E" w:rsidP="008E087E">
            <w:pPr>
              <w:rPr>
                <w:rFonts w:ascii="Calibri" w:eastAsia="Times New Roman" w:hAnsi="Calibri" w:cs="Calibri"/>
                <w:b w:val="0"/>
                <w:lang w:eastAsia="en-GB"/>
              </w:rPr>
            </w:pPr>
          </w:p>
        </w:tc>
        <w:tc>
          <w:tcPr>
            <w:tcW w:w="2268" w:type="dxa"/>
            <w:vMerge/>
            <w:hideMark/>
          </w:tcPr>
          <w:p w14:paraId="5E8F0A4E" w14:textId="77777777" w:rsidR="008E087E" w:rsidRPr="006A4E89" w:rsidRDefault="008E087E" w:rsidP="008E08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p>
        </w:tc>
        <w:tc>
          <w:tcPr>
            <w:tcW w:w="2268" w:type="dxa"/>
            <w:vMerge/>
            <w:hideMark/>
          </w:tcPr>
          <w:p w14:paraId="308B38C4" w14:textId="77777777" w:rsidR="008E087E" w:rsidRPr="006A4E89" w:rsidRDefault="008E087E" w:rsidP="008E08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lang w:eastAsia="en-GB"/>
              </w:rPr>
            </w:pPr>
          </w:p>
        </w:tc>
      </w:tr>
      <w:tr w:rsidR="006A4E89" w:rsidRPr="008E087E" w14:paraId="7956CEF2" w14:textId="77777777" w:rsidTr="003E4A47">
        <w:trPr>
          <w:trHeight w:val="315"/>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14:paraId="677FF2D6" w14:textId="2CECEBC1" w:rsidR="006A4E89" w:rsidRPr="006A4E89" w:rsidRDefault="006A4E89" w:rsidP="006A4E89">
            <w:pPr>
              <w:jc w:val="center"/>
              <w:rPr>
                <w:rFonts w:ascii="Calibri" w:eastAsia="Times New Roman" w:hAnsi="Calibri" w:cs="Calibri"/>
                <w:lang w:eastAsia="en-GB"/>
              </w:rPr>
            </w:pPr>
            <w:r w:rsidRPr="006A4E89">
              <w:rPr>
                <w:rFonts w:ascii="Calibri" w:hAnsi="Calibri" w:cs="Calibri"/>
              </w:rPr>
              <w:t>2015-19</w:t>
            </w:r>
          </w:p>
        </w:tc>
        <w:tc>
          <w:tcPr>
            <w:tcW w:w="2268" w:type="dxa"/>
            <w:noWrap/>
            <w:vAlign w:val="center"/>
            <w:hideMark/>
          </w:tcPr>
          <w:p w14:paraId="3293E28C" w14:textId="2F566AE0" w:rsidR="006A4E89" w:rsidRPr="006A4E89" w:rsidRDefault="006A4E89" w:rsidP="006A4E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A4E89">
              <w:rPr>
                <w:rFonts w:ascii="Calibri" w:hAnsi="Calibri" w:cs="Calibri"/>
              </w:rPr>
              <w:t>9.8</w:t>
            </w:r>
          </w:p>
        </w:tc>
        <w:tc>
          <w:tcPr>
            <w:tcW w:w="2268" w:type="dxa"/>
            <w:vAlign w:val="center"/>
            <w:hideMark/>
          </w:tcPr>
          <w:p w14:paraId="6E66D06D" w14:textId="6C53C420" w:rsidR="006A4E89" w:rsidRPr="006A4E89" w:rsidRDefault="006A4E89" w:rsidP="006A4E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A4E89">
              <w:rPr>
                <w:rFonts w:ascii="Calibri" w:hAnsi="Calibri" w:cs="Calibri"/>
              </w:rPr>
              <w:t>12.8</w:t>
            </w:r>
          </w:p>
        </w:tc>
      </w:tr>
      <w:tr w:rsidR="006A4E89" w:rsidRPr="008E087E" w14:paraId="0E19D8D1" w14:textId="77777777" w:rsidTr="003E4A47">
        <w:trPr>
          <w:trHeight w:val="315"/>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14:paraId="124E02BE" w14:textId="31CECCC6" w:rsidR="006A4E89" w:rsidRPr="006A4E89" w:rsidRDefault="006A4E89" w:rsidP="006A4E89">
            <w:pPr>
              <w:jc w:val="center"/>
              <w:rPr>
                <w:rFonts w:ascii="Calibri" w:eastAsia="Times New Roman" w:hAnsi="Calibri" w:cs="Calibri"/>
                <w:lang w:eastAsia="en-GB"/>
              </w:rPr>
            </w:pPr>
            <w:r w:rsidRPr="006A4E89">
              <w:rPr>
                <w:rFonts w:ascii="Calibri" w:hAnsi="Calibri" w:cs="Calibri"/>
              </w:rPr>
              <w:t>2016-20</w:t>
            </w:r>
          </w:p>
        </w:tc>
        <w:tc>
          <w:tcPr>
            <w:tcW w:w="2268" w:type="dxa"/>
            <w:noWrap/>
            <w:vAlign w:val="center"/>
            <w:hideMark/>
          </w:tcPr>
          <w:p w14:paraId="55CBEAFE" w14:textId="41FF1AA6" w:rsidR="006A4E89" w:rsidRPr="006A4E89" w:rsidRDefault="006A4E89" w:rsidP="006A4E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A4E89">
              <w:rPr>
                <w:rFonts w:ascii="Calibri" w:hAnsi="Calibri" w:cs="Calibri"/>
              </w:rPr>
              <w:t>9.7</w:t>
            </w:r>
          </w:p>
        </w:tc>
        <w:tc>
          <w:tcPr>
            <w:tcW w:w="2268" w:type="dxa"/>
            <w:vAlign w:val="center"/>
            <w:hideMark/>
          </w:tcPr>
          <w:p w14:paraId="0B03066A" w14:textId="1E42403B" w:rsidR="006A4E89" w:rsidRPr="006A4E89" w:rsidRDefault="006A4E89" w:rsidP="006A4E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A4E89">
              <w:rPr>
                <w:rFonts w:ascii="Calibri" w:hAnsi="Calibri" w:cs="Calibri"/>
              </w:rPr>
              <w:t>12.8</w:t>
            </w:r>
          </w:p>
        </w:tc>
      </w:tr>
      <w:tr w:rsidR="006A4E89" w:rsidRPr="008E087E" w14:paraId="51619403" w14:textId="77777777" w:rsidTr="003E4A47">
        <w:trPr>
          <w:trHeight w:val="315"/>
        </w:trPr>
        <w:tc>
          <w:tcPr>
            <w:cnfStyle w:val="001000000000" w:firstRow="0" w:lastRow="0" w:firstColumn="1" w:lastColumn="0" w:oddVBand="0" w:evenVBand="0" w:oddHBand="0" w:evenHBand="0" w:firstRowFirstColumn="0" w:firstRowLastColumn="0" w:lastRowFirstColumn="0" w:lastRowLastColumn="0"/>
            <w:tcW w:w="2405" w:type="dxa"/>
            <w:noWrap/>
            <w:vAlign w:val="center"/>
            <w:hideMark/>
          </w:tcPr>
          <w:p w14:paraId="109F8845" w14:textId="0F2DA50B" w:rsidR="006A4E89" w:rsidRPr="006A4E89" w:rsidRDefault="006A4E89" w:rsidP="006A4E89">
            <w:pPr>
              <w:jc w:val="center"/>
              <w:rPr>
                <w:rFonts w:ascii="Calibri" w:eastAsia="Times New Roman" w:hAnsi="Calibri" w:cs="Calibri"/>
                <w:lang w:eastAsia="en-GB"/>
              </w:rPr>
            </w:pPr>
            <w:r w:rsidRPr="006A4E89">
              <w:rPr>
                <w:rFonts w:ascii="Calibri" w:hAnsi="Calibri" w:cs="Calibri"/>
              </w:rPr>
              <w:t>2017-21</w:t>
            </w:r>
          </w:p>
        </w:tc>
        <w:tc>
          <w:tcPr>
            <w:tcW w:w="2268" w:type="dxa"/>
            <w:noWrap/>
            <w:vAlign w:val="center"/>
            <w:hideMark/>
          </w:tcPr>
          <w:p w14:paraId="533B7756" w14:textId="4C85AF59" w:rsidR="006A4E89" w:rsidRPr="006A4E89" w:rsidRDefault="006A4E89" w:rsidP="006A4E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A4E89">
              <w:rPr>
                <w:rFonts w:ascii="Calibri" w:hAnsi="Calibri" w:cs="Calibri"/>
              </w:rPr>
              <w:t>10.8</w:t>
            </w:r>
          </w:p>
        </w:tc>
        <w:tc>
          <w:tcPr>
            <w:tcW w:w="2268" w:type="dxa"/>
            <w:vAlign w:val="center"/>
            <w:hideMark/>
          </w:tcPr>
          <w:p w14:paraId="2B5E07E5" w14:textId="2FF9F3FC" w:rsidR="006A4E89" w:rsidRPr="006A4E89" w:rsidRDefault="006A4E89" w:rsidP="006A4E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A4E89">
              <w:rPr>
                <w:rFonts w:ascii="Calibri" w:hAnsi="Calibri" w:cs="Calibri"/>
              </w:rPr>
              <w:t>13.2</w:t>
            </w:r>
          </w:p>
        </w:tc>
      </w:tr>
      <w:tr w:rsidR="006A4E89" w:rsidRPr="008E087E" w14:paraId="177EBDC6" w14:textId="77777777" w:rsidTr="003E4A47">
        <w:trPr>
          <w:trHeight w:val="315"/>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14:paraId="41F43E74" w14:textId="7D5A1F54" w:rsidR="006A4E89" w:rsidRPr="006A4E89" w:rsidRDefault="006A4E89" w:rsidP="006A4E89">
            <w:pPr>
              <w:jc w:val="center"/>
              <w:rPr>
                <w:rFonts w:ascii="Calibri" w:eastAsia="Times New Roman" w:hAnsi="Calibri" w:cs="Calibri"/>
                <w:lang w:eastAsia="en-GB"/>
              </w:rPr>
            </w:pPr>
            <w:r w:rsidRPr="006A4E89">
              <w:rPr>
                <w:rFonts w:ascii="Calibri" w:hAnsi="Calibri" w:cs="Calibri"/>
              </w:rPr>
              <w:t>2018-22</w:t>
            </w:r>
          </w:p>
        </w:tc>
        <w:tc>
          <w:tcPr>
            <w:tcW w:w="2268" w:type="dxa"/>
            <w:noWrap/>
            <w:vAlign w:val="center"/>
          </w:tcPr>
          <w:p w14:paraId="520CB5C4" w14:textId="534691A5" w:rsidR="006A4E89" w:rsidRPr="006A4E89" w:rsidRDefault="006A4E89" w:rsidP="006A4E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A4E89">
              <w:rPr>
                <w:rFonts w:ascii="Calibri" w:hAnsi="Calibri" w:cs="Calibri"/>
              </w:rPr>
              <w:t>12.3</w:t>
            </w:r>
          </w:p>
        </w:tc>
        <w:tc>
          <w:tcPr>
            <w:tcW w:w="2268" w:type="dxa"/>
            <w:vAlign w:val="center"/>
          </w:tcPr>
          <w:p w14:paraId="4CA600EF" w14:textId="36F5605F" w:rsidR="006A4E89" w:rsidRPr="006A4E89" w:rsidRDefault="006A4E89" w:rsidP="006A4E8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A4E89">
              <w:rPr>
                <w:rFonts w:ascii="Calibri" w:hAnsi="Calibri" w:cs="Calibri"/>
              </w:rPr>
              <w:t>13.3</w:t>
            </w:r>
          </w:p>
        </w:tc>
      </w:tr>
      <w:tr w:rsidR="006A4E89" w:rsidRPr="008E087E" w14:paraId="2A6A1E23" w14:textId="77777777" w:rsidTr="003E4A47">
        <w:trPr>
          <w:trHeight w:val="315"/>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14:paraId="478C2C85" w14:textId="7E7EEB7C" w:rsidR="006A4E89" w:rsidRPr="006A4E89" w:rsidRDefault="006A4E89" w:rsidP="006A4E89">
            <w:pPr>
              <w:jc w:val="center"/>
              <w:rPr>
                <w:rFonts w:ascii="Calibri" w:eastAsia="Times New Roman" w:hAnsi="Calibri" w:cs="Calibri"/>
                <w:lang w:eastAsia="en-GB"/>
              </w:rPr>
            </w:pPr>
            <w:r w:rsidRPr="006A4E89">
              <w:rPr>
                <w:rFonts w:ascii="Calibri" w:hAnsi="Calibri" w:cs="Calibri"/>
              </w:rPr>
              <w:t>2019-23</w:t>
            </w:r>
          </w:p>
        </w:tc>
        <w:tc>
          <w:tcPr>
            <w:tcW w:w="2268" w:type="dxa"/>
            <w:noWrap/>
            <w:vAlign w:val="center"/>
          </w:tcPr>
          <w:p w14:paraId="6794B94A" w14:textId="661CDF1E" w:rsidR="006A4E89" w:rsidRPr="006A4E89" w:rsidRDefault="006A4E89" w:rsidP="006A4E8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4E89">
              <w:rPr>
                <w:rFonts w:ascii="Calibri" w:hAnsi="Calibri" w:cs="Calibri"/>
              </w:rPr>
              <w:t>13</w:t>
            </w:r>
          </w:p>
        </w:tc>
        <w:tc>
          <w:tcPr>
            <w:tcW w:w="2268" w:type="dxa"/>
            <w:vAlign w:val="center"/>
          </w:tcPr>
          <w:p w14:paraId="4F9536F4" w14:textId="7CA87177" w:rsidR="006A4E89" w:rsidRPr="006A4E89" w:rsidRDefault="006A4E89" w:rsidP="006A4E8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4E89">
              <w:rPr>
                <w:rFonts w:ascii="Calibri" w:hAnsi="Calibri" w:cs="Calibri"/>
              </w:rPr>
              <w:t>13.1</w:t>
            </w:r>
          </w:p>
        </w:tc>
      </w:tr>
      <w:tr w:rsidR="00E52EB8" w:rsidRPr="008E087E" w14:paraId="6D8CEA45" w14:textId="77777777" w:rsidTr="003E4A47">
        <w:trPr>
          <w:trHeight w:val="315"/>
        </w:trPr>
        <w:tc>
          <w:tcPr>
            <w:cnfStyle w:val="001000000000" w:firstRow="0" w:lastRow="0" w:firstColumn="1" w:lastColumn="0" w:oddVBand="0" w:evenVBand="0" w:oddHBand="0" w:evenHBand="0" w:firstRowFirstColumn="0" w:firstRowLastColumn="0" w:lastRowFirstColumn="0" w:lastRowLastColumn="0"/>
            <w:tcW w:w="2405" w:type="dxa"/>
            <w:noWrap/>
            <w:vAlign w:val="center"/>
          </w:tcPr>
          <w:p w14:paraId="0C28515D" w14:textId="45E47093" w:rsidR="00E52EB8" w:rsidRPr="006A4E89" w:rsidRDefault="00E52EB8" w:rsidP="006A4E89">
            <w:pPr>
              <w:jc w:val="center"/>
              <w:rPr>
                <w:rFonts w:ascii="Calibri" w:hAnsi="Calibri" w:cs="Calibri"/>
              </w:rPr>
            </w:pPr>
            <w:r>
              <w:rPr>
                <w:rFonts w:ascii="Calibri" w:hAnsi="Calibri" w:cs="Calibri"/>
              </w:rPr>
              <w:t>2020-24</w:t>
            </w:r>
          </w:p>
        </w:tc>
        <w:tc>
          <w:tcPr>
            <w:tcW w:w="2268" w:type="dxa"/>
            <w:noWrap/>
            <w:vAlign w:val="center"/>
          </w:tcPr>
          <w:p w14:paraId="01C602B4" w14:textId="38C12564" w:rsidR="00E52EB8" w:rsidRPr="006A4E89" w:rsidRDefault="00E52EB8" w:rsidP="006A4E8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2268" w:type="dxa"/>
            <w:vAlign w:val="center"/>
          </w:tcPr>
          <w:p w14:paraId="2462636C" w14:textId="676DF9CC" w:rsidR="00E52EB8" w:rsidRPr="006A4E89" w:rsidRDefault="00E52EB8" w:rsidP="006A4E8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r>
    </w:tbl>
    <w:p w14:paraId="3D0245F8" w14:textId="492F0BC0" w:rsidR="00CD0C89" w:rsidRDefault="009D7733" w:rsidP="00CD0C89">
      <w:pPr>
        <w:rPr>
          <w:rFonts w:ascii="Calibri" w:hAnsi="Calibri" w:cs="Calibri"/>
          <w:i/>
          <w:sz w:val="20"/>
          <w:szCs w:val="20"/>
          <w:shd w:val="clear" w:color="auto" w:fill="FFFFFF"/>
        </w:rPr>
      </w:pPr>
      <w:r w:rsidRPr="00397024">
        <w:rPr>
          <w:i/>
          <w:sz w:val="20"/>
          <w:szCs w:val="20"/>
        </w:rPr>
        <w:t xml:space="preserve">Table </w:t>
      </w:r>
      <w:r w:rsidR="00465842" w:rsidRPr="00397024">
        <w:rPr>
          <w:i/>
          <w:sz w:val="20"/>
          <w:szCs w:val="20"/>
        </w:rPr>
        <w:t>5</w:t>
      </w:r>
      <w:r w:rsidRPr="00397024">
        <w:rPr>
          <w:i/>
          <w:sz w:val="20"/>
          <w:szCs w:val="20"/>
        </w:rPr>
        <w:t>: Crude</w:t>
      </w:r>
      <w:r w:rsidR="00397024" w:rsidRPr="00397024">
        <w:rPr>
          <w:i/>
          <w:sz w:val="20"/>
          <w:szCs w:val="20"/>
        </w:rPr>
        <w:t xml:space="preserve"> </w:t>
      </w:r>
      <w:r w:rsidR="008E087E">
        <w:rPr>
          <w:i/>
          <w:sz w:val="20"/>
          <w:szCs w:val="20"/>
        </w:rPr>
        <w:t>suicide</w:t>
      </w:r>
      <w:r w:rsidR="00397024" w:rsidRPr="00397024">
        <w:rPr>
          <w:i/>
          <w:sz w:val="20"/>
          <w:szCs w:val="20"/>
        </w:rPr>
        <w:t xml:space="preserve"> rate </w:t>
      </w:r>
      <w:r w:rsidRPr="00397024">
        <w:rPr>
          <w:i/>
          <w:sz w:val="20"/>
          <w:szCs w:val="20"/>
        </w:rPr>
        <w:t>per 100,000 population in Armagh City, Banbridge and Craigavon Borough and Northern Ireland 201</w:t>
      </w:r>
      <w:r w:rsidR="00397024" w:rsidRPr="00397024">
        <w:rPr>
          <w:i/>
          <w:sz w:val="20"/>
          <w:szCs w:val="20"/>
        </w:rPr>
        <w:t>5-19</w:t>
      </w:r>
      <w:r w:rsidR="008E087E">
        <w:rPr>
          <w:i/>
          <w:sz w:val="20"/>
          <w:szCs w:val="20"/>
        </w:rPr>
        <w:t xml:space="preserve"> to 20</w:t>
      </w:r>
      <w:r w:rsidR="00E52EB8">
        <w:rPr>
          <w:i/>
          <w:sz w:val="20"/>
          <w:szCs w:val="20"/>
        </w:rPr>
        <w:t>20-24</w:t>
      </w:r>
      <w:r w:rsidRPr="00397024">
        <w:rPr>
          <w:i/>
          <w:sz w:val="20"/>
          <w:szCs w:val="20"/>
        </w:rPr>
        <w:t xml:space="preserve">. Source: </w:t>
      </w:r>
      <w:r w:rsidR="00CD0C89">
        <w:rPr>
          <w:i/>
          <w:sz w:val="20"/>
          <w:szCs w:val="20"/>
        </w:rPr>
        <w:t>Health Inequalities Annual Report 202</w:t>
      </w:r>
      <w:r w:rsidR="00E52EB8">
        <w:rPr>
          <w:i/>
          <w:sz w:val="20"/>
          <w:szCs w:val="20"/>
        </w:rPr>
        <w:t>6</w:t>
      </w:r>
      <w:r w:rsidR="00CD0C89">
        <w:rPr>
          <w:i/>
          <w:sz w:val="20"/>
          <w:szCs w:val="20"/>
        </w:rPr>
        <w:t xml:space="preserve">, Department of Health, Northern Ireland. </w:t>
      </w:r>
    </w:p>
    <w:p w14:paraId="251931B5" w14:textId="3C78119F" w:rsidR="00E45786" w:rsidRDefault="00E52EB8" w:rsidP="007D4D31">
      <w:pPr>
        <w:rPr>
          <w:color w:val="FF0000"/>
          <w:sz w:val="20"/>
          <w:szCs w:val="20"/>
        </w:rPr>
      </w:pPr>
      <w:r>
        <w:rPr>
          <w:noProof/>
        </w:rPr>
        <w:lastRenderedPageBreak/>
        <w:drawing>
          <wp:inline distT="0" distB="0" distL="0" distR="0" wp14:anchorId="6548E52A" wp14:editId="513E51BE">
            <wp:extent cx="5723906" cy="3223656"/>
            <wp:effectExtent l="0" t="0" r="10160" b="15240"/>
            <wp:docPr id="1175274974" name="Chart 1" descr="Chart showing the standardised death rate – suicide (per 100,000 population) in Armagh City, Banbridge and Craigavon Borough and Northern Ireland 2015-19 to 2020-24. ">
              <a:extLst xmlns:a="http://schemas.openxmlformats.org/drawingml/2006/main">
                <a:ext uri="{FF2B5EF4-FFF2-40B4-BE49-F238E27FC236}">
                  <a16:creationId xmlns:a16="http://schemas.microsoft.com/office/drawing/2014/main" id="{9C73E74D-1A5D-8B93-4409-333021122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9F88E8" w14:textId="658DDE6C" w:rsidR="00E87A34" w:rsidRPr="00E52EB8" w:rsidRDefault="00465842" w:rsidP="00465842">
      <w:pPr>
        <w:rPr>
          <w:rFonts w:ascii="Calibri" w:hAnsi="Calibri" w:cs="Calibri"/>
          <w:i/>
          <w:sz w:val="20"/>
          <w:szCs w:val="20"/>
          <w:shd w:val="clear" w:color="auto" w:fill="FFFFFF"/>
        </w:rPr>
      </w:pPr>
      <w:r w:rsidRPr="008A4661">
        <w:rPr>
          <w:i/>
          <w:sz w:val="20"/>
          <w:szCs w:val="20"/>
        </w:rPr>
        <w:t xml:space="preserve">Figure 5: </w:t>
      </w:r>
      <w:r w:rsidR="006A4E89">
        <w:rPr>
          <w:i/>
          <w:sz w:val="20"/>
          <w:szCs w:val="20"/>
        </w:rPr>
        <w:t>Standardised death rate – suicide</w:t>
      </w:r>
      <w:r w:rsidR="008A4661" w:rsidRPr="008A4661">
        <w:rPr>
          <w:i/>
          <w:sz w:val="20"/>
          <w:szCs w:val="20"/>
        </w:rPr>
        <w:t xml:space="preserve"> </w:t>
      </w:r>
      <w:r w:rsidR="006A4E89">
        <w:rPr>
          <w:i/>
          <w:sz w:val="20"/>
          <w:szCs w:val="20"/>
        </w:rPr>
        <w:t>(</w:t>
      </w:r>
      <w:r w:rsidRPr="008A4661">
        <w:rPr>
          <w:i/>
          <w:sz w:val="20"/>
          <w:szCs w:val="20"/>
        </w:rPr>
        <w:t>per 100,000 population</w:t>
      </w:r>
      <w:r w:rsidR="006A4E89">
        <w:rPr>
          <w:i/>
          <w:sz w:val="20"/>
          <w:szCs w:val="20"/>
        </w:rPr>
        <w:t>)</w:t>
      </w:r>
      <w:r w:rsidRPr="008A4661">
        <w:rPr>
          <w:i/>
          <w:sz w:val="20"/>
          <w:szCs w:val="20"/>
        </w:rPr>
        <w:t xml:space="preserve"> in Armagh City, Banbridge and Craigavon Borough and Northern Ireland 201</w:t>
      </w:r>
      <w:r w:rsidR="008A4661" w:rsidRPr="008A4661">
        <w:rPr>
          <w:i/>
          <w:sz w:val="20"/>
          <w:szCs w:val="20"/>
        </w:rPr>
        <w:t>5-19</w:t>
      </w:r>
      <w:r w:rsidR="00E45786">
        <w:rPr>
          <w:i/>
          <w:sz w:val="20"/>
          <w:szCs w:val="20"/>
        </w:rPr>
        <w:t xml:space="preserve"> to 20</w:t>
      </w:r>
      <w:r w:rsidR="00E52EB8">
        <w:rPr>
          <w:i/>
          <w:sz w:val="20"/>
          <w:szCs w:val="20"/>
        </w:rPr>
        <w:t>20-24</w:t>
      </w:r>
      <w:r w:rsidRPr="008A4661">
        <w:rPr>
          <w:i/>
          <w:sz w:val="20"/>
          <w:szCs w:val="20"/>
        </w:rPr>
        <w:t xml:space="preserve">. Source: </w:t>
      </w:r>
      <w:r w:rsidR="00CD0C89">
        <w:rPr>
          <w:i/>
          <w:sz w:val="20"/>
          <w:szCs w:val="20"/>
        </w:rPr>
        <w:t>Health Inequalities Annual Report 202</w:t>
      </w:r>
      <w:r w:rsidR="00E52EB8">
        <w:rPr>
          <w:i/>
          <w:sz w:val="20"/>
          <w:szCs w:val="20"/>
        </w:rPr>
        <w:t>6</w:t>
      </w:r>
      <w:r w:rsidR="00CD0C89">
        <w:rPr>
          <w:i/>
          <w:sz w:val="20"/>
          <w:szCs w:val="20"/>
        </w:rPr>
        <w:t xml:space="preserve">, Department of Health, Northern Ireland. </w:t>
      </w:r>
    </w:p>
    <w:p w14:paraId="5C53E8F9" w14:textId="77777777" w:rsidR="00F70234" w:rsidRPr="008A4661" w:rsidRDefault="007D4D31" w:rsidP="007D4D31">
      <w:r w:rsidRPr="008A4661">
        <w:t xml:space="preserve">Further information on </w:t>
      </w:r>
      <w:r w:rsidR="00424224" w:rsidRPr="008A4661">
        <w:t>life expectancy and death rates</w:t>
      </w:r>
      <w:r w:rsidRPr="008A4661">
        <w:t xml:space="preserve"> can be found in the Health Inequalities </w:t>
      </w:r>
      <w:r w:rsidR="00B323BB" w:rsidRPr="008A4661">
        <w:t xml:space="preserve">Annual </w:t>
      </w:r>
      <w:r w:rsidR="0003078F" w:rsidRPr="008A4661">
        <w:t>Report which can be accessed</w:t>
      </w:r>
      <w:r w:rsidR="00677633" w:rsidRPr="008A4661">
        <w:t xml:space="preserve"> via the following link:</w:t>
      </w:r>
    </w:p>
    <w:p w14:paraId="1A1D773E" w14:textId="3494D3D9" w:rsidR="00677633" w:rsidRDefault="009D4760" w:rsidP="009D4760">
      <w:pPr>
        <w:rPr>
          <w:rStyle w:val="Hyperlink"/>
          <w:color w:val="auto"/>
        </w:rPr>
      </w:pPr>
      <w:hyperlink r:id="rId12" w:history="1">
        <w:r w:rsidRPr="009D4760">
          <w:rPr>
            <w:rStyle w:val="Hyperlink"/>
          </w:rPr>
          <w:t>Health inequalities statistics | Department of Health</w:t>
        </w:r>
      </w:hyperlink>
    </w:p>
    <w:sectPr w:rsidR="0067763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081A" w14:textId="77777777" w:rsidR="00BC2E7E" w:rsidRDefault="00BC2E7E" w:rsidP="009470B4">
      <w:pPr>
        <w:spacing w:after="0" w:line="240" w:lineRule="auto"/>
      </w:pPr>
      <w:r>
        <w:separator/>
      </w:r>
    </w:p>
  </w:endnote>
  <w:endnote w:type="continuationSeparator" w:id="0">
    <w:p w14:paraId="18D25549" w14:textId="77777777" w:rsidR="00BC2E7E" w:rsidRDefault="00BC2E7E" w:rsidP="0094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84376"/>
      <w:docPartObj>
        <w:docPartGallery w:val="Page Numbers (Bottom of Page)"/>
        <w:docPartUnique/>
      </w:docPartObj>
    </w:sdtPr>
    <w:sdtEndPr>
      <w:rPr>
        <w:noProof/>
      </w:rPr>
    </w:sdtEndPr>
    <w:sdtContent>
      <w:p w14:paraId="7AE7BC4E" w14:textId="77777777" w:rsidR="009470B4" w:rsidRDefault="009470B4">
        <w:pPr>
          <w:pStyle w:val="Footer"/>
          <w:jc w:val="right"/>
        </w:pPr>
        <w:r>
          <w:fldChar w:fldCharType="begin"/>
        </w:r>
        <w:r>
          <w:instrText xml:space="preserve"> PAGE   \* MERGEFORMAT </w:instrText>
        </w:r>
        <w:r>
          <w:fldChar w:fldCharType="separate"/>
        </w:r>
        <w:r w:rsidR="00B07D3E">
          <w:rPr>
            <w:noProof/>
          </w:rPr>
          <w:t>6</w:t>
        </w:r>
        <w:r>
          <w:rPr>
            <w:noProof/>
          </w:rPr>
          <w:fldChar w:fldCharType="end"/>
        </w:r>
      </w:p>
    </w:sdtContent>
  </w:sdt>
  <w:p w14:paraId="2730090E" w14:textId="77777777" w:rsidR="009470B4" w:rsidRDefault="0094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5C464" w14:textId="77777777" w:rsidR="00BC2E7E" w:rsidRDefault="00BC2E7E" w:rsidP="009470B4">
      <w:pPr>
        <w:spacing w:after="0" w:line="240" w:lineRule="auto"/>
      </w:pPr>
      <w:r>
        <w:separator/>
      </w:r>
    </w:p>
  </w:footnote>
  <w:footnote w:type="continuationSeparator" w:id="0">
    <w:p w14:paraId="3C1C0FD3" w14:textId="77777777" w:rsidR="00BC2E7E" w:rsidRDefault="00BC2E7E" w:rsidP="009470B4">
      <w:pPr>
        <w:spacing w:after="0" w:line="240" w:lineRule="auto"/>
      </w:pPr>
      <w:r>
        <w:continuationSeparator/>
      </w:r>
    </w:p>
  </w:footnote>
  <w:footnote w:id="1">
    <w:p w14:paraId="387C2017" w14:textId="77777777" w:rsidR="00E30FF1" w:rsidRDefault="00E30FF1">
      <w:pPr>
        <w:pStyle w:val="FootnoteText"/>
      </w:pPr>
      <w:r>
        <w:rPr>
          <w:rStyle w:val="FootnoteReference"/>
        </w:rPr>
        <w:footnoteRef/>
      </w:r>
      <w:r>
        <w:t xml:space="preserve"> </w:t>
      </w:r>
      <w:r w:rsidR="00222055">
        <w:t>A new definition of avoidable mortality has been implemented, following the proposal of a new definition by the Organisation for Economic Co-operation and an Office for National Statistics consultation. Figures based on the old definition can be found on page 62 of the Health Inequalities Annual Report 2020. For the new definition a</w:t>
      </w:r>
      <w:r>
        <w:t xml:space="preserve"> list of all causes of death considered avoidable can be found on page</w:t>
      </w:r>
      <w:r w:rsidR="007A410C">
        <w:t>s 75-79</w:t>
      </w:r>
      <w:r>
        <w:t xml:space="preserve"> </w:t>
      </w:r>
      <w:r w:rsidR="00222055">
        <w:t xml:space="preserve">while those considered avoidable under the previous definition can be found on pages 82-83 </w:t>
      </w:r>
      <w:r>
        <w:t>of the Health</w:t>
      </w:r>
      <w:r w:rsidR="007A410C">
        <w:t xml:space="preserve"> Inequalities Annual Report 2020</w:t>
      </w:r>
      <w:r>
        <w:t xml:space="preserve"> - </w:t>
      </w:r>
      <w:hyperlink r:id="rId1" w:history="1">
        <w:r w:rsidR="007A410C" w:rsidRPr="008326C3">
          <w:rPr>
            <w:rStyle w:val="Hyperlink"/>
          </w:rPr>
          <w:t>https://www.health-ni.gov.uk/sites/default/files/publications/health/hscims-report-2020.pdf</w:t>
        </w:r>
      </w:hyperlink>
      <w:r w:rsidR="007A410C">
        <w:t xml:space="preserve"> </w:t>
      </w:r>
    </w:p>
  </w:footnote>
  <w:footnote w:id="2">
    <w:p w14:paraId="5D1E9A15" w14:textId="4697DE00" w:rsidR="00826676" w:rsidRDefault="00826676" w:rsidP="00826676">
      <w:pPr>
        <w:pStyle w:val="FootnoteText"/>
      </w:pPr>
      <w:r>
        <w:rPr>
          <w:rStyle w:val="FootnoteReference"/>
        </w:rPr>
        <w:footnoteRef/>
      </w:r>
      <w:r>
        <w:t xml:space="preserve"> </w:t>
      </w:r>
      <w:hyperlink r:id="rId2" w:history="1">
        <w:r w:rsidR="009D4760" w:rsidRPr="009D4760">
          <w:rPr>
            <w:rStyle w:val="Hyperlink"/>
          </w:rPr>
          <w:t>Health Inequalities Annual Report 2026</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87"/>
    <w:rsid w:val="00015C89"/>
    <w:rsid w:val="0001685E"/>
    <w:rsid w:val="0003078F"/>
    <w:rsid w:val="00054791"/>
    <w:rsid w:val="000929BF"/>
    <w:rsid w:val="000A77E2"/>
    <w:rsid w:val="000C7CE8"/>
    <w:rsid w:val="00141D37"/>
    <w:rsid w:val="001464FA"/>
    <w:rsid w:val="00150784"/>
    <w:rsid w:val="00154E71"/>
    <w:rsid w:val="00162F16"/>
    <w:rsid w:val="0017017F"/>
    <w:rsid w:val="001F4F0E"/>
    <w:rsid w:val="00222055"/>
    <w:rsid w:val="002428AA"/>
    <w:rsid w:val="00246A98"/>
    <w:rsid w:val="00250DE1"/>
    <w:rsid w:val="00265E55"/>
    <w:rsid w:val="002701D5"/>
    <w:rsid w:val="0028756A"/>
    <w:rsid w:val="002919B7"/>
    <w:rsid w:val="002A611E"/>
    <w:rsid w:val="002B13D9"/>
    <w:rsid w:val="002D238C"/>
    <w:rsid w:val="00351BE5"/>
    <w:rsid w:val="0036051A"/>
    <w:rsid w:val="00363148"/>
    <w:rsid w:val="003713F8"/>
    <w:rsid w:val="00381E1E"/>
    <w:rsid w:val="003863F0"/>
    <w:rsid w:val="00396AED"/>
    <w:rsid w:val="00397024"/>
    <w:rsid w:val="003E3D2F"/>
    <w:rsid w:val="004138D5"/>
    <w:rsid w:val="00424224"/>
    <w:rsid w:val="00426EFC"/>
    <w:rsid w:val="00465842"/>
    <w:rsid w:val="00470647"/>
    <w:rsid w:val="00476299"/>
    <w:rsid w:val="00494448"/>
    <w:rsid w:val="00494473"/>
    <w:rsid w:val="004A2BF8"/>
    <w:rsid w:val="004B367F"/>
    <w:rsid w:val="004B5004"/>
    <w:rsid w:val="004B5682"/>
    <w:rsid w:val="004C515E"/>
    <w:rsid w:val="004F7904"/>
    <w:rsid w:val="00505DD9"/>
    <w:rsid w:val="005124B9"/>
    <w:rsid w:val="00543809"/>
    <w:rsid w:val="00546B94"/>
    <w:rsid w:val="0058031F"/>
    <w:rsid w:val="00597F6E"/>
    <w:rsid w:val="005B320E"/>
    <w:rsid w:val="005D3D8E"/>
    <w:rsid w:val="005F22F2"/>
    <w:rsid w:val="005F612B"/>
    <w:rsid w:val="00621111"/>
    <w:rsid w:val="00664E21"/>
    <w:rsid w:val="00677633"/>
    <w:rsid w:val="00681D05"/>
    <w:rsid w:val="006A299D"/>
    <w:rsid w:val="006A4E89"/>
    <w:rsid w:val="006A61C9"/>
    <w:rsid w:val="006D6ECA"/>
    <w:rsid w:val="006E37F6"/>
    <w:rsid w:val="006E4145"/>
    <w:rsid w:val="006E58F0"/>
    <w:rsid w:val="00703EC9"/>
    <w:rsid w:val="00710A1A"/>
    <w:rsid w:val="007558D5"/>
    <w:rsid w:val="00781473"/>
    <w:rsid w:val="00784CED"/>
    <w:rsid w:val="00785AEC"/>
    <w:rsid w:val="0079173A"/>
    <w:rsid w:val="007A1305"/>
    <w:rsid w:val="007A3383"/>
    <w:rsid w:val="007A410C"/>
    <w:rsid w:val="007B6DC1"/>
    <w:rsid w:val="007C1C25"/>
    <w:rsid w:val="007C7AFB"/>
    <w:rsid w:val="007D4D31"/>
    <w:rsid w:val="007E7185"/>
    <w:rsid w:val="007E7361"/>
    <w:rsid w:val="0081416E"/>
    <w:rsid w:val="00814A73"/>
    <w:rsid w:val="0081698D"/>
    <w:rsid w:val="008203FA"/>
    <w:rsid w:val="00820F29"/>
    <w:rsid w:val="008215BC"/>
    <w:rsid w:val="00826676"/>
    <w:rsid w:val="008353FB"/>
    <w:rsid w:val="00836E9E"/>
    <w:rsid w:val="0084512A"/>
    <w:rsid w:val="008607BE"/>
    <w:rsid w:val="00867443"/>
    <w:rsid w:val="008745ED"/>
    <w:rsid w:val="00881262"/>
    <w:rsid w:val="0088357C"/>
    <w:rsid w:val="008A4661"/>
    <w:rsid w:val="008B4727"/>
    <w:rsid w:val="008C1EDC"/>
    <w:rsid w:val="008C3787"/>
    <w:rsid w:val="008C513E"/>
    <w:rsid w:val="008E03FF"/>
    <w:rsid w:val="008E087E"/>
    <w:rsid w:val="00904D7C"/>
    <w:rsid w:val="00910AAC"/>
    <w:rsid w:val="0091353D"/>
    <w:rsid w:val="00917F16"/>
    <w:rsid w:val="009470B4"/>
    <w:rsid w:val="0098101A"/>
    <w:rsid w:val="009D4760"/>
    <w:rsid w:val="009D7733"/>
    <w:rsid w:val="00A0792D"/>
    <w:rsid w:val="00A37FB8"/>
    <w:rsid w:val="00A64F03"/>
    <w:rsid w:val="00A70F15"/>
    <w:rsid w:val="00A73657"/>
    <w:rsid w:val="00A76810"/>
    <w:rsid w:val="00AC255D"/>
    <w:rsid w:val="00AC4294"/>
    <w:rsid w:val="00AD33B6"/>
    <w:rsid w:val="00AD3BA9"/>
    <w:rsid w:val="00AD6354"/>
    <w:rsid w:val="00AE2515"/>
    <w:rsid w:val="00AE6B7E"/>
    <w:rsid w:val="00B07D3E"/>
    <w:rsid w:val="00B118BB"/>
    <w:rsid w:val="00B1744E"/>
    <w:rsid w:val="00B323BB"/>
    <w:rsid w:val="00B6539C"/>
    <w:rsid w:val="00B82B36"/>
    <w:rsid w:val="00BA3A62"/>
    <w:rsid w:val="00BC2E7E"/>
    <w:rsid w:val="00BD0C4E"/>
    <w:rsid w:val="00BD6E61"/>
    <w:rsid w:val="00C17259"/>
    <w:rsid w:val="00C26426"/>
    <w:rsid w:val="00C5645F"/>
    <w:rsid w:val="00C56F16"/>
    <w:rsid w:val="00C6423D"/>
    <w:rsid w:val="00CA73A0"/>
    <w:rsid w:val="00CB27CD"/>
    <w:rsid w:val="00CD0C89"/>
    <w:rsid w:val="00D14FF4"/>
    <w:rsid w:val="00D209DA"/>
    <w:rsid w:val="00D227B1"/>
    <w:rsid w:val="00D51E94"/>
    <w:rsid w:val="00D75716"/>
    <w:rsid w:val="00D82855"/>
    <w:rsid w:val="00DC0E4D"/>
    <w:rsid w:val="00E00CE7"/>
    <w:rsid w:val="00E123E2"/>
    <w:rsid w:val="00E300FB"/>
    <w:rsid w:val="00E30FF1"/>
    <w:rsid w:val="00E379CD"/>
    <w:rsid w:val="00E45786"/>
    <w:rsid w:val="00E52EB8"/>
    <w:rsid w:val="00E72BAC"/>
    <w:rsid w:val="00E87A34"/>
    <w:rsid w:val="00EE21AF"/>
    <w:rsid w:val="00EE3405"/>
    <w:rsid w:val="00F0707E"/>
    <w:rsid w:val="00F07CBE"/>
    <w:rsid w:val="00F14B8F"/>
    <w:rsid w:val="00F5367C"/>
    <w:rsid w:val="00F70234"/>
    <w:rsid w:val="00FB3F25"/>
    <w:rsid w:val="00FC1BA9"/>
    <w:rsid w:val="00FD0733"/>
    <w:rsid w:val="00FD7000"/>
    <w:rsid w:val="00FF0957"/>
    <w:rsid w:val="00FF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C1FD"/>
  <w15:chartTrackingRefBased/>
  <w15:docId w15:val="{C11A593D-929D-46F6-A671-5201660B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0B4"/>
  </w:style>
  <w:style w:type="paragraph" w:styleId="Footer">
    <w:name w:val="footer"/>
    <w:basedOn w:val="Normal"/>
    <w:link w:val="FooterChar"/>
    <w:uiPriority w:val="99"/>
    <w:unhideWhenUsed/>
    <w:rsid w:val="0094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0B4"/>
  </w:style>
  <w:style w:type="character" w:styleId="Hyperlink">
    <w:name w:val="Hyperlink"/>
    <w:basedOn w:val="DefaultParagraphFont"/>
    <w:uiPriority w:val="99"/>
    <w:unhideWhenUsed/>
    <w:rsid w:val="00677633"/>
    <w:rPr>
      <w:color w:val="0000FF"/>
      <w:u w:val="single"/>
    </w:rPr>
  </w:style>
  <w:style w:type="character" w:styleId="FollowedHyperlink">
    <w:name w:val="FollowedHyperlink"/>
    <w:basedOn w:val="DefaultParagraphFont"/>
    <w:uiPriority w:val="99"/>
    <w:semiHidden/>
    <w:unhideWhenUsed/>
    <w:rsid w:val="00FF0957"/>
    <w:rPr>
      <w:color w:val="954F72" w:themeColor="followedHyperlink"/>
      <w:u w:val="single"/>
    </w:rPr>
  </w:style>
  <w:style w:type="paragraph" w:styleId="FootnoteText">
    <w:name w:val="footnote text"/>
    <w:basedOn w:val="Normal"/>
    <w:link w:val="FootnoteTextChar"/>
    <w:uiPriority w:val="99"/>
    <w:semiHidden/>
    <w:unhideWhenUsed/>
    <w:rsid w:val="00E30F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0FF1"/>
    <w:rPr>
      <w:sz w:val="20"/>
      <w:szCs w:val="20"/>
    </w:rPr>
  </w:style>
  <w:style w:type="character" w:styleId="FootnoteReference">
    <w:name w:val="footnote reference"/>
    <w:basedOn w:val="DefaultParagraphFont"/>
    <w:uiPriority w:val="99"/>
    <w:semiHidden/>
    <w:unhideWhenUsed/>
    <w:rsid w:val="00E30FF1"/>
    <w:rPr>
      <w:vertAlign w:val="superscript"/>
    </w:rPr>
  </w:style>
  <w:style w:type="table" w:styleId="GridTable1Light">
    <w:name w:val="Grid Table 1 Light"/>
    <w:basedOn w:val="TableNormal"/>
    <w:uiPriority w:val="46"/>
    <w:rsid w:val="004C51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62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AED"/>
    <w:rPr>
      <w:rFonts w:ascii="Segoe UI" w:hAnsi="Segoe UI" w:cs="Segoe UI"/>
      <w:sz w:val="18"/>
      <w:szCs w:val="18"/>
    </w:rPr>
  </w:style>
  <w:style w:type="character" w:styleId="UnresolvedMention">
    <w:name w:val="Unresolved Mention"/>
    <w:basedOn w:val="DefaultParagraphFont"/>
    <w:uiPriority w:val="99"/>
    <w:semiHidden/>
    <w:unhideWhenUsed/>
    <w:rsid w:val="00826676"/>
    <w:rPr>
      <w:color w:val="605E5C"/>
      <w:shd w:val="clear" w:color="auto" w:fill="E1DFDD"/>
    </w:rPr>
  </w:style>
  <w:style w:type="paragraph" w:styleId="Caption">
    <w:name w:val="caption"/>
    <w:basedOn w:val="Normal"/>
    <w:next w:val="Normal"/>
    <w:uiPriority w:val="35"/>
    <w:unhideWhenUsed/>
    <w:qFormat/>
    <w:rsid w:val="0028756A"/>
    <w:pPr>
      <w:spacing w:after="200" w:line="240" w:lineRule="auto"/>
    </w:pPr>
    <w:rPr>
      <w:i/>
      <w:iCs/>
      <w:color w:val="44546A" w:themeColor="text2"/>
      <w:sz w:val="18"/>
      <w:szCs w:val="18"/>
    </w:rPr>
  </w:style>
  <w:style w:type="paragraph" w:styleId="Revision">
    <w:name w:val="Revision"/>
    <w:hidden/>
    <w:uiPriority w:val="99"/>
    <w:semiHidden/>
    <w:rsid w:val="007558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6461">
      <w:bodyDiv w:val="1"/>
      <w:marLeft w:val="0"/>
      <w:marRight w:val="0"/>
      <w:marTop w:val="0"/>
      <w:marBottom w:val="0"/>
      <w:divBdr>
        <w:top w:val="none" w:sz="0" w:space="0" w:color="auto"/>
        <w:left w:val="none" w:sz="0" w:space="0" w:color="auto"/>
        <w:bottom w:val="none" w:sz="0" w:space="0" w:color="auto"/>
        <w:right w:val="none" w:sz="0" w:space="0" w:color="auto"/>
      </w:divBdr>
    </w:div>
    <w:div w:id="641616845">
      <w:bodyDiv w:val="1"/>
      <w:marLeft w:val="0"/>
      <w:marRight w:val="0"/>
      <w:marTop w:val="0"/>
      <w:marBottom w:val="0"/>
      <w:divBdr>
        <w:top w:val="none" w:sz="0" w:space="0" w:color="auto"/>
        <w:left w:val="none" w:sz="0" w:space="0" w:color="auto"/>
        <w:bottom w:val="none" w:sz="0" w:space="0" w:color="auto"/>
        <w:right w:val="none" w:sz="0" w:space="0" w:color="auto"/>
      </w:divBdr>
    </w:div>
    <w:div w:id="708385393">
      <w:bodyDiv w:val="1"/>
      <w:marLeft w:val="0"/>
      <w:marRight w:val="0"/>
      <w:marTop w:val="0"/>
      <w:marBottom w:val="0"/>
      <w:divBdr>
        <w:top w:val="none" w:sz="0" w:space="0" w:color="auto"/>
        <w:left w:val="none" w:sz="0" w:space="0" w:color="auto"/>
        <w:bottom w:val="none" w:sz="0" w:space="0" w:color="auto"/>
        <w:right w:val="none" w:sz="0" w:space="0" w:color="auto"/>
      </w:divBdr>
    </w:div>
    <w:div w:id="734425964">
      <w:bodyDiv w:val="1"/>
      <w:marLeft w:val="0"/>
      <w:marRight w:val="0"/>
      <w:marTop w:val="0"/>
      <w:marBottom w:val="0"/>
      <w:divBdr>
        <w:top w:val="none" w:sz="0" w:space="0" w:color="auto"/>
        <w:left w:val="none" w:sz="0" w:space="0" w:color="auto"/>
        <w:bottom w:val="none" w:sz="0" w:space="0" w:color="auto"/>
        <w:right w:val="none" w:sz="0" w:space="0" w:color="auto"/>
      </w:divBdr>
    </w:div>
    <w:div w:id="842742651">
      <w:bodyDiv w:val="1"/>
      <w:marLeft w:val="0"/>
      <w:marRight w:val="0"/>
      <w:marTop w:val="0"/>
      <w:marBottom w:val="0"/>
      <w:divBdr>
        <w:top w:val="none" w:sz="0" w:space="0" w:color="auto"/>
        <w:left w:val="none" w:sz="0" w:space="0" w:color="auto"/>
        <w:bottom w:val="none" w:sz="0" w:space="0" w:color="auto"/>
        <w:right w:val="none" w:sz="0" w:space="0" w:color="auto"/>
      </w:divBdr>
    </w:div>
    <w:div w:id="1264457571">
      <w:bodyDiv w:val="1"/>
      <w:marLeft w:val="0"/>
      <w:marRight w:val="0"/>
      <w:marTop w:val="0"/>
      <w:marBottom w:val="0"/>
      <w:divBdr>
        <w:top w:val="none" w:sz="0" w:space="0" w:color="auto"/>
        <w:left w:val="none" w:sz="0" w:space="0" w:color="auto"/>
        <w:bottom w:val="none" w:sz="0" w:space="0" w:color="auto"/>
        <w:right w:val="none" w:sz="0" w:space="0" w:color="auto"/>
      </w:divBdr>
    </w:div>
    <w:div w:id="1434400451">
      <w:bodyDiv w:val="1"/>
      <w:marLeft w:val="0"/>
      <w:marRight w:val="0"/>
      <w:marTop w:val="0"/>
      <w:marBottom w:val="0"/>
      <w:divBdr>
        <w:top w:val="none" w:sz="0" w:space="0" w:color="auto"/>
        <w:left w:val="none" w:sz="0" w:space="0" w:color="auto"/>
        <w:bottom w:val="none" w:sz="0" w:space="0" w:color="auto"/>
        <w:right w:val="none" w:sz="0" w:space="0" w:color="auto"/>
      </w:divBdr>
    </w:div>
    <w:div w:id="1444302241">
      <w:bodyDiv w:val="1"/>
      <w:marLeft w:val="0"/>
      <w:marRight w:val="0"/>
      <w:marTop w:val="0"/>
      <w:marBottom w:val="0"/>
      <w:divBdr>
        <w:top w:val="none" w:sz="0" w:space="0" w:color="auto"/>
        <w:left w:val="none" w:sz="0" w:space="0" w:color="auto"/>
        <w:bottom w:val="none" w:sz="0" w:space="0" w:color="auto"/>
        <w:right w:val="none" w:sz="0" w:space="0" w:color="auto"/>
      </w:divBdr>
    </w:div>
    <w:div w:id="1456171171">
      <w:bodyDiv w:val="1"/>
      <w:marLeft w:val="0"/>
      <w:marRight w:val="0"/>
      <w:marTop w:val="0"/>
      <w:marBottom w:val="0"/>
      <w:divBdr>
        <w:top w:val="none" w:sz="0" w:space="0" w:color="auto"/>
        <w:left w:val="none" w:sz="0" w:space="0" w:color="auto"/>
        <w:bottom w:val="none" w:sz="0" w:space="0" w:color="auto"/>
        <w:right w:val="none" w:sz="0" w:space="0" w:color="auto"/>
      </w:divBdr>
    </w:div>
    <w:div w:id="1469974771">
      <w:bodyDiv w:val="1"/>
      <w:marLeft w:val="0"/>
      <w:marRight w:val="0"/>
      <w:marTop w:val="0"/>
      <w:marBottom w:val="0"/>
      <w:divBdr>
        <w:top w:val="none" w:sz="0" w:space="0" w:color="auto"/>
        <w:left w:val="none" w:sz="0" w:space="0" w:color="auto"/>
        <w:bottom w:val="none" w:sz="0" w:space="0" w:color="auto"/>
        <w:right w:val="none" w:sz="0" w:space="0" w:color="auto"/>
      </w:divBdr>
    </w:div>
    <w:div w:id="1650668926">
      <w:bodyDiv w:val="1"/>
      <w:marLeft w:val="0"/>
      <w:marRight w:val="0"/>
      <w:marTop w:val="0"/>
      <w:marBottom w:val="0"/>
      <w:divBdr>
        <w:top w:val="none" w:sz="0" w:space="0" w:color="auto"/>
        <w:left w:val="none" w:sz="0" w:space="0" w:color="auto"/>
        <w:bottom w:val="none" w:sz="0" w:space="0" w:color="auto"/>
        <w:right w:val="none" w:sz="0" w:space="0" w:color="auto"/>
      </w:divBdr>
    </w:div>
    <w:div w:id="1989742093">
      <w:bodyDiv w:val="1"/>
      <w:marLeft w:val="0"/>
      <w:marRight w:val="0"/>
      <w:marTop w:val="0"/>
      <w:marBottom w:val="0"/>
      <w:divBdr>
        <w:top w:val="none" w:sz="0" w:space="0" w:color="auto"/>
        <w:left w:val="none" w:sz="0" w:space="0" w:color="auto"/>
        <w:bottom w:val="none" w:sz="0" w:space="0" w:color="auto"/>
        <w:right w:val="none" w:sz="0" w:space="0" w:color="auto"/>
      </w:divBdr>
    </w:div>
    <w:div w:id="21062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health-ni.gov.uk/topics/health-inequalities-statistic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health-ni.gov.uk/sites/default/files/2026-03/hscims-report-2026.pdf" TargetMode="External"/><Relationship Id="rId1" Type="http://schemas.openxmlformats.org/officeDocument/2006/relationships/hyperlink" Target="https://www.health-ni.gov.uk/sites/default/files/publications/health/hscims-report-2020.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abc-svr-17\ABC-Banbridgelegacy\community_planning\2.%20Cmty%20&amp;%20Strat%20Planning%20JD\DATA%20ANALYST\2.%20Statistics%20for%20Website\Health%20and%20Well-Being\2026\Life%20Expectancy%20and%20Death%20Rates\Life%20Expectancy%202026%20data%20update.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abc-svr-17\ABC-Banbridgelegacy\community_planning\2.%20Cmty%20&amp;%20Strat%20Planning%20JD\DATA%20ANALYST\2.%20Statistics%20for%20Website\Health%20and%20Well-Being\2024\Life%20Expectancy%20and%20Death%20Rates\Life%20Expectancy%202025%20data%20update.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abc-svr-17\ABC-Banbridgelegacy\community_planning\2.%20Cmty%20&amp;%20Strat%20Planning%20JD\DATA%20ANALYST\2.%20Statistics%20for%20Website\Health%20and%20Well-Being\2026\Life%20Expectancy%20and%20Death%20Rates\Life%20Expectancy%202026%20data%20update.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abc-svr-17\ABC-Banbridgelegacy\community_planning\2.%20Cmty%20&amp;%20Strat%20Planning%20JD\DATA%20ANALYST\2.%20Statistics%20for%20Website\Health%20and%20Well-Being\2026\Life%20Expectancy%20and%20Death%20Rates\Life%20Expectancy%202026%20data%20update.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abc-svr-17\ABC-Banbridgelegacy\community_planning\2.%20Cmty%20&amp;%20Strat%20Planning%20JD\DATA%20ANALYST\2.%20Statistics%20for%20Website\Health%20and%20Well-Being\2026\Life%20Expectancy%20and%20Death%20Rates\Life%20Expectancy%202026%20data%20updat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00338370945641"/>
          <c:y val="0.11859381617958492"/>
          <c:w val="0.86309199934483072"/>
          <c:h val="0.72416294751103805"/>
        </c:manualLayout>
      </c:layout>
      <c:lineChart>
        <c:grouping val="standard"/>
        <c:varyColors val="0"/>
        <c:ser>
          <c:idx val="0"/>
          <c:order val="0"/>
          <c:tx>
            <c:strRef>
              <c:f>'LE at birth'!$C$18</c:f>
              <c:strCache>
                <c:ptCount val="1"/>
                <c:pt idx="0">
                  <c:v>Male ABC</c:v>
                </c:pt>
              </c:strCache>
            </c:strRef>
          </c:tx>
          <c:spPr>
            <a:ln w="28575" cap="rnd">
              <a:solidFill>
                <a:schemeClr val="accent1"/>
              </a:solidFill>
              <a:round/>
            </a:ln>
            <a:effectLst/>
          </c:spPr>
          <c:marker>
            <c:symbol val="square"/>
            <c:size val="7"/>
            <c:spPr>
              <a:solidFill>
                <a:schemeClr val="accent1"/>
              </a:solidFill>
              <a:ln w="9525">
                <a:solidFill>
                  <a:schemeClr val="accent1"/>
                </a:solidFill>
              </a:ln>
              <a:effectLst/>
            </c:spPr>
          </c:marker>
          <c:cat>
            <c:strRef>
              <c:f>'LE at birth'!$B$19:$B$30</c:f>
              <c:strCache>
                <c:ptCount val="12"/>
                <c:pt idx="0">
                  <c:v>2011-13</c:v>
                </c:pt>
                <c:pt idx="1">
                  <c:v>2012-14</c:v>
                </c:pt>
                <c:pt idx="2">
                  <c:v>2013-15</c:v>
                </c:pt>
                <c:pt idx="3">
                  <c:v>2014-16</c:v>
                </c:pt>
                <c:pt idx="4">
                  <c:v>2015-17</c:v>
                </c:pt>
                <c:pt idx="5">
                  <c:v>2016-18</c:v>
                </c:pt>
                <c:pt idx="6">
                  <c:v>2017-19</c:v>
                </c:pt>
                <c:pt idx="7">
                  <c:v>2018-20</c:v>
                </c:pt>
                <c:pt idx="8">
                  <c:v>2019-21</c:v>
                </c:pt>
                <c:pt idx="9">
                  <c:v>2020-22</c:v>
                </c:pt>
                <c:pt idx="10">
                  <c:v>2021-23</c:v>
                </c:pt>
                <c:pt idx="11">
                  <c:v>2022-24</c:v>
                </c:pt>
              </c:strCache>
            </c:strRef>
          </c:cat>
          <c:val>
            <c:numRef>
              <c:f>'LE at birth'!$C$19:$C$30</c:f>
              <c:numCache>
                <c:formatCode>General</c:formatCode>
                <c:ptCount val="12"/>
                <c:pt idx="0">
                  <c:v>78.5</c:v>
                </c:pt>
                <c:pt idx="1">
                  <c:v>78.900000000000006</c:v>
                </c:pt>
                <c:pt idx="2">
                  <c:v>78.8</c:v>
                </c:pt>
                <c:pt idx="3">
                  <c:v>79.2</c:v>
                </c:pt>
                <c:pt idx="4">
                  <c:v>79</c:v>
                </c:pt>
                <c:pt idx="5">
                  <c:v>79.099999999999994</c:v>
                </c:pt>
                <c:pt idx="6">
                  <c:v>79.5</c:v>
                </c:pt>
                <c:pt idx="7">
                  <c:v>79.400000000000006</c:v>
                </c:pt>
                <c:pt idx="8">
                  <c:v>79.2</c:v>
                </c:pt>
                <c:pt idx="9">
                  <c:v>78.8</c:v>
                </c:pt>
                <c:pt idx="10">
                  <c:v>79.2</c:v>
                </c:pt>
                <c:pt idx="11">
                  <c:v>79</c:v>
                </c:pt>
              </c:numCache>
            </c:numRef>
          </c:val>
          <c:smooth val="0"/>
          <c:extLst>
            <c:ext xmlns:c16="http://schemas.microsoft.com/office/drawing/2014/chart" uri="{C3380CC4-5D6E-409C-BE32-E72D297353CC}">
              <c16:uniqueId val="{00000000-9F0F-4487-A0A3-68D2A1D576BF}"/>
            </c:ext>
          </c:extLst>
        </c:ser>
        <c:ser>
          <c:idx val="1"/>
          <c:order val="1"/>
          <c:tx>
            <c:strRef>
              <c:f>'LE at birth'!$D$18</c:f>
              <c:strCache>
                <c:ptCount val="1"/>
                <c:pt idx="0">
                  <c:v>Male NI</c:v>
                </c:pt>
              </c:strCache>
            </c:strRef>
          </c:tx>
          <c:spPr>
            <a:ln w="28575" cap="rnd">
              <a:solidFill>
                <a:schemeClr val="accent2"/>
              </a:solidFill>
              <a:round/>
            </a:ln>
            <a:effectLst/>
          </c:spPr>
          <c:marker>
            <c:symbol val="square"/>
            <c:size val="7"/>
            <c:spPr>
              <a:solidFill>
                <a:schemeClr val="accent2"/>
              </a:solidFill>
              <a:ln w="9525">
                <a:solidFill>
                  <a:schemeClr val="accent2"/>
                </a:solidFill>
              </a:ln>
              <a:effectLst/>
            </c:spPr>
          </c:marker>
          <c:cat>
            <c:strRef>
              <c:f>'LE at birth'!$B$19:$B$30</c:f>
              <c:strCache>
                <c:ptCount val="12"/>
                <c:pt idx="0">
                  <c:v>2011-13</c:v>
                </c:pt>
                <c:pt idx="1">
                  <c:v>2012-14</c:v>
                </c:pt>
                <c:pt idx="2">
                  <c:v>2013-15</c:v>
                </c:pt>
                <c:pt idx="3">
                  <c:v>2014-16</c:v>
                </c:pt>
                <c:pt idx="4">
                  <c:v>2015-17</c:v>
                </c:pt>
                <c:pt idx="5">
                  <c:v>2016-18</c:v>
                </c:pt>
                <c:pt idx="6">
                  <c:v>2017-19</c:v>
                </c:pt>
                <c:pt idx="7">
                  <c:v>2018-20</c:v>
                </c:pt>
                <c:pt idx="8">
                  <c:v>2019-21</c:v>
                </c:pt>
                <c:pt idx="9">
                  <c:v>2020-22</c:v>
                </c:pt>
                <c:pt idx="10">
                  <c:v>2021-23</c:v>
                </c:pt>
                <c:pt idx="11">
                  <c:v>2022-24</c:v>
                </c:pt>
              </c:strCache>
            </c:strRef>
          </c:cat>
          <c:val>
            <c:numRef>
              <c:f>'LE at birth'!$D$19:$D$30</c:f>
              <c:numCache>
                <c:formatCode>General</c:formatCode>
                <c:ptCount val="12"/>
                <c:pt idx="0">
                  <c:v>78</c:v>
                </c:pt>
                <c:pt idx="1">
                  <c:v>78.3</c:v>
                </c:pt>
                <c:pt idx="2">
                  <c:v>78.3</c:v>
                </c:pt>
                <c:pt idx="3">
                  <c:v>78.5</c:v>
                </c:pt>
                <c:pt idx="4">
                  <c:v>78.5</c:v>
                </c:pt>
                <c:pt idx="5">
                  <c:v>78.7</c:v>
                </c:pt>
                <c:pt idx="6">
                  <c:v>78.8</c:v>
                </c:pt>
                <c:pt idx="7">
                  <c:v>78.7</c:v>
                </c:pt>
                <c:pt idx="8">
                  <c:v>78.5</c:v>
                </c:pt>
                <c:pt idx="9">
                  <c:v>78.400000000000006</c:v>
                </c:pt>
                <c:pt idx="10">
                  <c:v>78.8</c:v>
                </c:pt>
                <c:pt idx="11">
                  <c:v>78.8</c:v>
                </c:pt>
              </c:numCache>
            </c:numRef>
          </c:val>
          <c:smooth val="0"/>
          <c:extLst>
            <c:ext xmlns:c16="http://schemas.microsoft.com/office/drawing/2014/chart" uri="{C3380CC4-5D6E-409C-BE32-E72D297353CC}">
              <c16:uniqueId val="{00000001-9F0F-4487-A0A3-68D2A1D576BF}"/>
            </c:ext>
          </c:extLst>
        </c:ser>
        <c:ser>
          <c:idx val="2"/>
          <c:order val="2"/>
          <c:tx>
            <c:strRef>
              <c:f>'LE at birth'!$E$18</c:f>
              <c:strCache>
                <c:ptCount val="1"/>
                <c:pt idx="0">
                  <c:v>Female ABC</c:v>
                </c:pt>
              </c:strCache>
            </c:strRef>
          </c:tx>
          <c:spPr>
            <a:ln w="28575" cap="rnd">
              <a:solidFill>
                <a:schemeClr val="accent3"/>
              </a:solidFill>
              <a:round/>
            </a:ln>
            <a:effectLst/>
          </c:spPr>
          <c:marker>
            <c:symbol val="square"/>
            <c:size val="7"/>
            <c:spPr>
              <a:solidFill>
                <a:schemeClr val="accent3"/>
              </a:solidFill>
              <a:ln w="9525">
                <a:solidFill>
                  <a:schemeClr val="accent3"/>
                </a:solidFill>
              </a:ln>
              <a:effectLst/>
            </c:spPr>
          </c:marker>
          <c:cat>
            <c:strRef>
              <c:f>'LE at birth'!$B$19:$B$30</c:f>
              <c:strCache>
                <c:ptCount val="12"/>
                <c:pt idx="0">
                  <c:v>2011-13</c:v>
                </c:pt>
                <c:pt idx="1">
                  <c:v>2012-14</c:v>
                </c:pt>
                <c:pt idx="2">
                  <c:v>2013-15</c:v>
                </c:pt>
                <c:pt idx="3">
                  <c:v>2014-16</c:v>
                </c:pt>
                <c:pt idx="4">
                  <c:v>2015-17</c:v>
                </c:pt>
                <c:pt idx="5">
                  <c:v>2016-18</c:v>
                </c:pt>
                <c:pt idx="6">
                  <c:v>2017-19</c:v>
                </c:pt>
                <c:pt idx="7">
                  <c:v>2018-20</c:v>
                </c:pt>
                <c:pt idx="8">
                  <c:v>2019-21</c:v>
                </c:pt>
                <c:pt idx="9">
                  <c:v>2020-22</c:v>
                </c:pt>
                <c:pt idx="10">
                  <c:v>2021-23</c:v>
                </c:pt>
                <c:pt idx="11">
                  <c:v>2022-24</c:v>
                </c:pt>
              </c:strCache>
            </c:strRef>
          </c:cat>
          <c:val>
            <c:numRef>
              <c:f>'LE at birth'!$E$19:$E$30</c:f>
              <c:numCache>
                <c:formatCode>General</c:formatCode>
                <c:ptCount val="12"/>
                <c:pt idx="0">
                  <c:v>82.7</c:v>
                </c:pt>
                <c:pt idx="1">
                  <c:v>82.4</c:v>
                </c:pt>
                <c:pt idx="2">
                  <c:v>82.4</c:v>
                </c:pt>
                <c:pt idx="3">
                  <c:v>82.5</c:v>
                </c:pt>
                <c:pt idx="4">
                  <c:v>82.7</c:v>
                </c:pt>
                <c:pt idx="5">
                  <c:v>83</c:v>
                </c:pt>
                <c:pt idx="6">
                  <c:v>83.2</c:v>
                </c:pt>
                <c:pt idx="7">
                  <c:v>83.3</c:v>
                </c:pt>
                <c:pt idx="8">
                  <c:v>83.1</c:v>
                </c:pt>
                <c:pt idx="9">
                  <c:v>82.8</c:v>
                </c:pt>
                <c:pt idx="10">
                  <c:v>83</c:v>
                </c:pt>
                <c:pt idx="11">
                  <c:v>83.2</c:v>
                </c:pt>
              </c:numCache>
            </c:numRef>
          </c:val>
          <c:smooth val="0"/>
          <c:extLst>
            <c:ext xmlns:c16="http://schemas.microsoft.com/office/drawing/2014/chart" uri="{C3380CC4-5D6E-409C-BE32-E72D297353CC}">
              <c16:uniqueId val="{00000002-9F0F-4487-A0A3-68D2A1D576BF}"/>
            </c:ext>
          </c:extLst>
        </c:ser>
        <c:ser>
          <c:idx val="3"/>
          <c:order val="3"/>
          <c:tx>
            <c:strRef>
              <c:f>'LE at birth'!$F$18</c:f>
              <c:strCache>
                <c:ptCount val="1"/>
                <c:pt idx="0">
                  <c:v>Female NI</c:v>
                </c:pt>
              </c:strCache>
            </c:strRef>
          </c:tx>
          <c:spPr>
            <a:ln w="28575" cap="rnd">
              <a:solidFill>
                <a:schemeClr val="accent4"/>
              </a:solidFill>
              <a:round/>
            </a:ln>
            <a:effectLst/>
          </c:spPr>
          <c:marker>
            <c:symbol val="square"/>
            <c:size val="7"/>
            <c:spPr>
              <a:solidFill>
                <a:schemeClr val="accent4"/>
              </a:solidFill>
              <a:ln w="9525">
                <a:solidFill>
                  <a:schemeClr val="accent4"/>
                </a:solidFill>
              </a:ln>
              <a:effectLst/>
            </c:spPr>
          </c:marker>
          <c:cat>
            <c:strRef>
              <c:f>'LE at birth'!$B$19:$B$30</c:f>
              <c:strCache>
                <c:ptCount val="12"/>
                <c:pt idx="0">
                  <c:v>2011-13</c:v>
                </c:pt>
                <c:pt idx="1">
                  <c:v>2012-14</c:v>
                </c:pt>
                <c:pt idx="2">
                  <c:v>2013-15</c:v>
                </c:pt>
                <c:pt idx="3">
                  <c:v>2014-16</c:v>
                </c:pt>
                <c:pt idx="4">
                  <c:v>2015-17</c:v>
                </c:pt>
                <c:pt idx="5">
                  <c:v>2016-18</c:v>
                </c:pt>
                <c:pt idx="6">
                  <c:v>2017-19</c:v>
                </c:pt>
                <c:pt idx="7">
                  <c:v>2018-20</c:v>
                </c:pt>
                <c:pt idx="8">
                  <c:v>2019-21</c:v>
                </c:pt>
                <c:pt idx="9">
                  <c:v>2020-22</c:v>
                </c:pt>
                <c:pt idx="10">
                  <c:v>2021-23</c:v>
                </c:pt>
                <c:pt idx="11">
                  <c:v>2022-24</c:v>
                </c:pt>
              </c:strCache>
            </c:strRef>
          </c:cat>
          <c:val>
            <c:numRef>
              <c:f>'LE at birth'!$F$19:$F$30</c:f>
              <c:numCache>
                <c:formatCode>General</c:formatCode>
                <c:ptCount val="12"/>
                <c:pt idx="0">
                  <c:v>82.3</c:v>
                </c:pt>
                <c:pt idx="1">
                  <c:v>82.3</c:v>
                </c:pt>
                <c:pt idx="2">
                  <c:v>82.3</c:v>
                </c:pt>
                <c:pt idx="3">
                  <c:v>82.3</c:v>
                </c:pt>
                <c:pt idx="4">
                  <c:v>82.3</c:v>
                </c:pt>
                <c:pt idx="5">
                  <c:v>82.4</c:v>
                </c:pt>
                <c:pt idx="6">
                  <c:v>82.6</c:v>
                </c:pt>
                <c:pt idx="7">
                  <c:v>82.4</c:v>
                </c:pt>
                <c:pt idx="8">
                  <c:v>82.3</c:v>
                </c:pt>
                <c:pt idx="9">
                  <c:v>82.3</c:v>
                </c:pt>
                <c:pt idx="10">
                  <c:v>82.5</c:v>
                </c:pt>
                <c:pt idx="11">
                  <c:v>82.6</c:v>
                </c:pt>
              </c:numCache>
            </c:numRef>
          </c:val>
          <c:smooth val="0"/>
          <c:extLst>
            <c:ext xmlns:c16="http://schemas.microsoft.com/office/drawing/2014/chart" uri="{C3380CC4-5D6E-409C-BE32-E72D297353CC}">
              <c16:uniqueId val="{00000003-9F0F-4487-A0A3-68D2A1D576BF}"/>
            </c:ext>
          </c:extLst>
        </c:ser>
        <c:dLbls>
          <c:showLegendKey val="0"/>
          <c:showVal val="0"/>
          <c:showCatName val="0"/>
          <c:showSerName val="0"/>
          <c:showPercent val="0"/>
          <c:showBubbleSize val="0"/>
        </c:dLbls>
        <c:marker val="1"/>
        <c:smooth val="0"/>
        <c:axId val="1646253488"/>
        <c:axId val="1"/>
      </c:lineChart>
      <c:catAx>
        <c:axId val="164625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253488"/>
        <c:crosses val="autoZero"/>
        <c:crossBetween val="between"/>
      </c:valAx>
      <c:spPr>
        <a:noFill/>
        <a:ln w="25400">
          <a:noFill/>
        </a:ln>
      </c:spPr>
    </c:plotArea>
    <c:legend>
      <c:legendPos val="r"/>
      <c:layout>
        <c:manualLayout>
          <c:xMode val="edge"/>
          <c:yMode val="edge"/>
          <c:x val="0.14485644838328263"/>
          <c:y val="0.6969061538981447"/>
          <c:w val="0.73300845239533341"/>
          <c:h val="5.9491906322868493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959260527216722E-2"/>
          <c:y val="0.12769704975781593"/>
          <c:w val="0.87447069116360454"/>
          <c:h val="0.71238608354974975"/>
        </c:manualLayout>
      </c:layout>
      <c:lineChart>
        <c:grouping val="standard"/>
        <c:varyColors val="0"/>
        <c:ser>
          <c:idx val="0"/>
          <c:order val="0"/>
          <c:tx>
            <c:strRef>
              <c:f>'LE at 65'!$C$19</c:f>
              <c:strCache>
                <c:ptCount val="1"/>
                <c:pt idx="0">
                  <c:v>Male ABC</c:v>
                </c:pt>
              </c:strCache>
            </c:strRef>
          </c:tx>
          <c:spPr>
            <a:ln w="28575" cap="rnd">
              <a:solidFill>
                <a:schemeClr val="accent1"/>
              </a:solidFill>
              <a:round/>
            </a:ln>
            <a:effectLst/>
          </c:spPr>
          <c:marker>
            <c:symbol val="square"/>
            <c:size val="7"/>
            <c:spPr>
              <a:solidFill>
                <a:schemeClr val="accent1"/>
              </a:solidFill>
              <a:ln w="9525">
                <a:solidFill>
                  <a:schemeClr val="accent1"/>
                </a:solidFill>
              </a:ln>
              <a:effectLst/>
            </c:spPr>
          </c:marker>
          <c:cat>
            <c:strRef>
              <c:f>'LE at 65'!$B$20:$B$31</c:f>
              <c:strCache>
                <c:ptCount val="12"/>
                <c:pt idx="0">
                  <c:v>2011-13</c:v>
                </c:pt>
                <c:pt idx="1">
                  <c:v>2012-14</c:v>
                </c:pt>
                <c:pt idx="2">
                  <c:v>2013-15</c:v>
                </c:pt>
                <c:pt idx="3">
                  <c:v>2014-16</c:v>
                </c:pt>
                <c:pt idx="4">
                  <c:v>2015-17</c:v>
                </c:pt>
                <c:pt idx="5">
                  <c:v>2016-18</c:v>
                </c:pt>
                <c:pt idx="6">
                  <c:v>2017-19</c:v>
                </c:pt>
                <c:pt idx="7">
                  <c:v>2018-20</c:v>
                </c:pt>
                <c:pt idx="8">
                  <c:v>2019-21</c:v>
                </c:pt>
                <c:pt idx="9">
                  <c:v>2020-22</c:v>
                </c:pt>
                <c:pt idx="10">
                  <c:v>2021-23</c:v>
                </c:pt>
                <c:pt idx="11">
                  <c:v>2022-24</c:v>
                </c:pt>
              </c:strCache>
            </c:strRef>
          </c:cat>
          <c:val>
            <c:numRef>
              <c:f>'LE at 65'!$C$20:$C$31</c:f>
              <c:numCache>
                <c:formatCode>General</c:formatCode>
                <c:ptCount val="12"/>
                <c:pt idx="0">
                  <c:v>18.399999999999999</c:v>
                </c:pt>
                <c:pt idx="1">
                  <c:v>18.600000000000001</c:v>
                </c:pt>
                <c:pt idx="2">
                  <c:v>18.399999999999999</c:v>
                </c:pt>
                <c:pt idx="3">
                  <c:v>19</c:v>
                </c:pt>
                <c:pt idx="4">
                  <c:v>18.600000000000001</c:v>
                </c:pt>
                <c:pt idx="5">
                  <c:v>18.600000000000001</c:v>
                </c:pt>
                <c:pt idx="6">
                  <c:v>18.7</c:v>
                </c:pt>
                <c:pt idx="7">
                  <c:v>18.8</c:v>
                </c:pt>
                <c:pt idx="8">
                  <c:v>18.7</c:v>
                </c:pt>
                <c:pt idx="9">
                  <c:v>18.899999999999999</c:v>
                </c:pt>
                <c:pt idx="10">
                  <c:v>18.899999999999999</c:v>
                </c:pt>
                <c:pt idx="11">
                  <c:v>19</c:v>
                </c:pt>
              </c:numCache>
            </c:numRef>
          </c:val>
          <c:smooth val="0"/>
          <c:extLst>
            <c:ext xmlns:c16="http://schemas.microsoft.com/office/drawing/2014/chart" uri="{C3380CC4-5D6E-409C-BE32-E72D297353CC}">
              <c16:uniqueId val="{00000000-F5B8-4215-BF9E-21F672DB8F2F}"/>
            </c:ext>
          </c:extLst>
        </c:ser>
        <c:ser>
          <c:idx val="1"/>
          <c:order val="1"/>
          <c:tx>
            <c:strRef>
              <c:f>'LE at 65'!$D$19</c:f>
              <c:strCache>
                <c:ptCount val="1"/>
                <c:pt idx="0">
                  <c:v>Male NI</c:v>
                </c:pt>
              </c:strCache>
            </c:strRef>
          </c:tx>
          <c:spPr>
            <a:ln w="28575" cap="rnd">
              <a:solidFill>
                <a:schemeClr val="accent2"/>
              </a:solidFill>
              <a:round/>
            </a:ln>
            <a:effectLst/>
          </c:spPr>
          <c:marker>
            <c:symbol val="square"/>
            <c:size val="7"/>
            <c:spPr>
              <a:solidFill>
                <a:schemeClr val="accent2"/>
              </a:solidFill>
              <a:ln w="9525">
                <a:solidFill>
                  <a:schemeClr val="accent2"/>
                </a:solidFill>
              </a:ln>
              <a:effectLst/>
            </c:spPr>
          </c:marker>
          <c:cat>
            <c:strRef>
              <c:f>'LE at 65'!$B$20:$B$31</c:f>
              <c:strCache>
                <c:ptCount val="12"/>
                <c:pt idx="0">
                  <c:v>2011-13</c:v>
                </c:pt>
                <c:pt idx="1">
                  <c:v>2012-14</c:v>
                </c:pt>
                <c:pt idx="2">
                  <c:v>2013-15</c:v>
                </c:pt>
                <c:pt idx="3">
                  <c:v>2014-16</c:v>
                </c:pt>
                <c:pt idx="4">
                  <c:v>2015-17</c:v>
                </c:pt>
                <c:pt idx="5">
                  <c:v>2016-18</c:v>
                </c:pt>
                <c:pt idx="6">
                  <c:v>2017-19</c:v>
                </c:pt>
                <c:pt idx="7">
                  <c:v>2018-20</c:v>
                </c:pt>
                <c:pt idx="8">
                  <c:v>2019-21</c:v>
                </c:pt>
                <c:pt idx="9">
                  <c:v>2020-22</c:v>
                </c:pt>
                <c:pt idx="10">
                  <c:v>2021-23</c:v>
                </c:pt>
                <c:pt idx="11">
                  <c:v>2022-24</c:v>
                </c:pt>
              </c:strCache>
            </c:strRef>
          </c:cat>
          <c:val>
            <c:numRef>
              <c:f>'LE at 65'!$D$20:$D$31</c:f>
              <c:numCache>
                <c:formatCode>General</c:formatCode>
                <c:ptCount val="12"/>
                <c:pt idx="0">
                  <c:v>17.899999999999999</c:v>
                </c:pt>
                <c:pt idx="1">
                  <c:v>18.100000000000001</c:v>
                </c:pt>
                <c:pt idx="2">
                  <c:v>18.2</c:v>
                </c:pt>
                <c:pt idx="3">
                  <c:v>18.3</c:v>
                </c:pt>
                <c:pt idx="4">
                  <c:v>18.2</c:v>
                </c:pt>
                <c:pt idx="5">
                  <c:v>18.399999999999999</c:v>
                </c:pt>
                <c:pt idx="6">
                  <c:v>18.5</c:v>
                </c:pt>
                <c:pt idx="7">
                  <c:v>18.5</c:v>
                </c:pt>
                <c:pt idx="8">
                  <c:v>18.399999999999999</c:v>
                </c:pt>
                <c:pt idx="9">
                  <c:v>18.3</c:v>
                </c:pt>
                <c:pt idx="10">
                  <c:v>18.5</c:v>
                </c:pt>
                <c:pt idx="11">
                  <c:v>18.600000000000001</c:v>
                </c:pt>
              </c:numCache>
            </c:numRef>
          </c:val>
          <c:smooth val="0"/>
          <c:extLst>
            <c:ext xmlns:c16="http://schemas.microsoft.com/office/drawing/2014/chart" uri="{C3380CC4-5D6E-409C-BE32-E72D297353CC}">
              <c16:uniqueId val="{00000001-F5B8-4215-BF9E-21F672DB8F2F}"/>
            </c:ext>
          </c:extLst>
        </c:ser>
        <c:ser>
          <c:idx val="2"/>
          <c:order val="2"/>
          <c:tx>
            <c:strRef>
              <c:f>'LE at 65'!$E$19</c:f>
              <c:strCache>
                <c:ptCount val="1"/>
                <c:pt idx="0">
                  <c:v>Female ABC</c:v>
                </c:pt>
              </c:strCache>
            </c:strRef>
          </c:tx>
          <c:spPr>
            <a:ln w="28575" cap="rnd">
              <a:solidFill>
                <a:schemeClr val="accent3"/>
              </a:solidFill>
              <a:round/>
            </a:ln>
            <a:effectLst/>
          </c:spPr>
          <c:marker>
            <c:symbol val="square"/>
            <c:size val="7"/>
            <c:spPr>
              <a:solidFill>
                <a:schemeClr val="accent3"/>
              </a:solidFill>
              <a:ln w="9525">
                <a:solidFill>
                  <a:schemeClr val="accent3"/>
                </a:solidFill>
              </a:ln>
              <a:effectLst/>
            </c:spPr>
          </c:marker>
          <c:cat>
            <c:strRef>
              <c:f>'LE at 65'!$B$20:$B$31</c:f>
              <c:strCache>
                <c:ptCount val="12"/>
                <c:pt idx="0">
                  <c:v>2011-13</c:v>
                </c:pt>
                <c:pt idx="1">
                  <c:v>2012-14</c:v>
                </c:pt>
                <c:pt idx="2">
                  <c:v>2013-15</c:v>
                </c:pt>
                <c:pt idx="3">
                  <c:v>2014-16</c:v>
                </c:pt>
                <c:pt idx="4">
                  <c:v>2015-17</c:v>
                </c:pt>
                <c:pt idx="5">
                  <c:v>2016-18</c:v>
                </c:pt>
                <c:pt idx="6">
                  <c:v>2017-19</c:v>
                </c:pt>
                <c:pt idx="7">
                  <c:v>2018-20</c:v>
                </c:pt>
                <c:pt idx="8">
                  <c:v>2019-21</c:v>
                </c:pt>
                <c:pt idx="9">
                  <c:v>2020-22</c:v>
                </c:pt>
                <c:pt idx="10">
                  <c:v>2021-23</c:v>
                </c:pt>
                <c:pt idx="11">
                  <c:v>2022-24</c:v>
                </c:pt>
              </c:strCache>
            </c:strRef>
          </c:cat>
          <c:val>
            <c:numRef>
              <c:f>'LE at 65'!$E$20:$E$31</c:f>
              <c:numCache>
                <c:formatCode>General</c:formatCode>
                <c:ptCount val="12"/>
                <c:pt idx="0">
                  <c:v>20.7</c:v>
                </c:pt>
                <c:pt idx="1">
                  <c:v>20.5</c:v>
                </c:pt>
                <c:pt idx="2">
                  <c:v>20.6</c:v>
                </c:pt>
                <c:pt idx="3">
                  <c:v>20.9</c:v>
                </c:pt>
                <c:pt idx="4">
                  <c:v>20.9</c:v>
                </c:pt>
                <c:pt idx="5" formatCode="0.0">
                  <c:v>21</c:v>
                </c:pt>
                <c:pt idx="6">
                  <c:v>21.2</c:v>
                </c:pt>
                <c:pt idx="7">
                  <c:v>21.3</c:v>
                </c:pt>
                <c:pt idx="8">
                  <c:v>21.3</c:v>
                </c:pt>
                <c:pt idx="9">
                  <c:v>21</c:v>
                </c:pt>
                <c:pt idx="10">
                  <c:v>21.1</c:v>
                </c:pt>
                <c:pt idx="11">
                  <c:v>21.2</c:v>
                </c:pt>
              </c:numCache>
            </c:numRef>
          </c:val>
          <c:smooth val="0"/>
          <c:extLst>
            <c:ext xmlns:c16="http://schemas.microsoft.com/office/drawing/2014/chart" uri="{C3380CC4-5D6E-409C-BE32-E72D297353CC}">
              <c16:uniqueId val="{00000002-F5B8-4215-BF9E-21F672DB8F2F}"/>
            </c:ext>
          </c:extLst>
        </c:ser>
        <c:ser>
          <c:idx val="3"/>
          <c:order val="3"/>
          <c:tx>
            <c:strRef>
              <c:f>'LE at 65'!$F$19</c:f>
              <c:strCache>
                <c:ptCount val="1"/>
                <c:pt idx="0">
                  <c:v>Female NI</c:v>
                </c:pt>
              </c:strCache>
            </c:strRef>
          </c:tx>
          <c:spPr>
            <a:ln w="28575" cap="rnd">
              <a:solidFill>
                <a:schemeClr val="accent4"/>
              </a:solidFill>
              <a:round/>
            </a:ln>
            <a:effectLst/>
          </c:spPr>
          <c:marker>
            <c:symbol val="square"/>
            <c:size val="7"/>
            <c:spPr>
              <a:solidFill>
                <a:schemeClr val="accent4"/>
              </a:solidFill>
              <a:ln w="9525">
                <a:solidFill>
                  <a:schemeClr val="accent4"/>
                </a:solidFill>
              </a:ln>
              <a:effectLst/>
            </c:spPr>
          </c:marker>
          <c:cat>
            <c:strRef>
              <c:f>'LE at 65'!$B$20:$B$31</c:f>
              <c:strCache>
                <c:ptCount val="12"/>
                <c:pt idx="0">
                  <c:v>2011-13</c:v>
                </c:pt>
                <c:pt idx="1">
                  <c:v>2012-14</c:v>
                </c:pt>
                <c:pt idx="2">
                  <c:v>2013-15</c:v>
                </c:pt>
                <c:pt idx="3">
                  <c:v>2014-16</c:v>
                </c:pt>
                <c:pt idx="4">
                  <c:v>2015-17</c:v>
                </c:pt>
                <c:pt idx="5">
                  <c:v>2016-18</c:v>
                </c:pt>
                <c:pt idx="6">
                  <c:v>2017-19</c:v>
                </c:pt>
                <c:pt idx="7">
                  <c:v>2018-20</c:v>
                </c:pt>
                <c:pt idx="8">
                  <c:v>2019-21</c:v>
                </c:pt>
                <c:pt idx="9">
                  <c:v>2020-22</c:v>
                </c:pt>
                <c:pt idx="10">
                  <c:v>2021-23</c:v>
                </c:pt>
                <c:pt idx="11">
                  <c:v>2022-24</c:v>
                </c:pt>
              </c:strCache>
            </c:strRef>
          </c:cat>
          <c:val>
            <c:numRef>
              <c:f>'LE at 65'!$F$20:$F$31</c:f>
              <c:numCache>
                <c:formatCode>General</c:formatCode>
                <c:ptCount val="12"/>
                <c:pt idx="0">
                  <c:v>20.5</c:v>
                </c:pt>
                <c:pt idx="1">
                  <c:v>20.5</c:v>
                </c:pt>
                <c:pt idx="2">
                  <c:v>20.6</c:v>
                </c:pt>
                <c:pt idx="3">
                  <c:v>20.7</c:v>
                </c:pt>
                <c:pt idx="4">
                  <c:v>20.6</c:v>
                </c:pt>
                <c:pt idx="5">
                  <c:v>20.7</c:v>
                </c:pt>
                <c:pt idx="6">
                  <c:v>20.9</c:v>
                </c:pt>
                <c:pt idx="7">
                  <c:v>20.7</c:v>
                </c:pt>
                <c:pt idx="8">
                  <c:v>20.7</c:v>
                </c:pt>
                <c:pt idx="9">
                  <c:v>20.6</c:v>
                </c:pt>
                <c:pt idx="10">
                  <c:v>20.7</c:v>
                </c:pt>
                <c:pt idx="11">
                  <c:v>20.8</c:v>
                </c:pt>
              </c:numCache>
            </c:numRef>
          </c:val>
          <c:smooth val="0"/>
          <c:extLst>
            <c:ext xmlns:c16="http://schemas.microsoft.com/office/drawing/2014/chart" uri="{C3380CC4-5D6E-409C-BE32-E72D297353CC}">
              <c16:uniqueId val="{00000003-F5B8-4215-BF9E-21F672DB8F2F}"/>
            </c:ext>
          </c:extLst>
        </c:ser>
        <c:dLbls>
          <c:showLegendKey val="0"/>
          <c:showVal val="0"/>
          <c:showCatName val="0"/>
          <c:showSerName val="0"/>
          <c:showPercent val="0"/>
          <c:showBubbleSize val="0"/>
        </c:dLbls>
        <c:marker val="1"/>
        <c:smooth val="0"/>
        <c:axId val="987880047"/>
        <c:axId val="1"/>
      </c:lineChart>
      <c:catAx>
        <c:axId val="987880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7880047"/>
        <c:crosses val="autoZero"/>
        <c:crossBetween val="between"/>
      </c:valAx>
      <c:spPr>
        <a:noFill/>
        <a:ln w="25400">
          <a:noFill/>
        </a:ln>
      </c:spPr>
    </c:plotArea>
    <c:legend>
      <c:legendPos val="r"/>
      <c:layout>
        <c:manualLayout>
          <c:xMode val="edge"/>
          <c:yMode val="edge"/>
          <c:x val="0.14591211371160565"/>
          <c:y val="0.69008284387229857"/>
          <c:w val="0.69397224814056335"/>
          <c:h val="7.0177916325996473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17278540361987"/>
          <c:y val="0.15815599063630559"/>
          <c:w val="0.85321799563786926"/>
          <c:h val="0.66899693093918811"/>
        </c:manualLayout>
      </c:layout>
      <c:lineChart>
        <c:grouping val="standard"/>
        <c:varyColors val="0"/>
        <c:ser>
          <c:idx val="0"/>
          <c:order val="0"/>
          <c:tx>
            <c:strRef>
              <c:f>'Death Rate - All'!$C$20:$C$21</c:f>
              <c:strCache>
                <c:ptCount val="2"/>
                <c:pt idx="0">
                  <c:v>Armagh City, Banbridge and Craigavon</c:v>
                </c:pt>
              </c:strCache>
            </c:strRef>
          </c:tx>
          <c:spPr>
            <a:ln w="28575" cap="rnd">
              <a:solidFill>
                <a:schemeClr val="accent1"/>
              </a:solidFill>
              <a:round/>
            </a:ln>
            <a:effectLst/>
          </c:spPr>
          <c:marker>
            <c:symbol val="square"/>
            <c:size val="7"/>
            <c:spPr>
              <a:solidFill>
                <a:schemeClr val="accent1"/>
              </a:solidFill>
              <a:ln w="9525">
                <a:solidFill>
                  <a:schemeClr val="accent1"/>
                </a:solidFill>
              </a:ln>
              <a:effectLst/>
            </c:spPr>
          </c:marker>
          <c:cat>
            <c:strRef>
              <c:f>'Death Rate - All'!$B$22:$B$33</c:f>
              <c:strCache>
                <c:ptCount val="12"/>
                <c:pt idx="0">
                  <c:v>2009-13</c:v>
                </c:pt>
                <c:pt idx="1">
                  <c:v>2010-14</c:v>
                </c:pt>
                <c:pt idx="2">
                  <c:v>2011-15</c:v>
                </c:pt>
                <c:pt idx="3">
                  <c:v>2012-16</c:v>
                </c:pt>
                <c:pt idx="4">
                  <c:v>2013-17</c:v>
                </c:pt>
                <c:pt idx="5">
                  <c:v>2014-18</c:v>
                </c:pt>
                <c:pt idx="6">
                  <c:v>2015 -19</c:v>
                </c:pt>
                <c:pt idx="7">
                  <c:v>2016-20</c:v>
                </c:pt>
                <c:pt idx="8">
                  <c:v>2017 -21</c:v>
                </c:pt>
                <c:pt idx="9">
                  <c:v>2018-22</c:v>
                </c:pt>
                <c:pt idx="10">
                  <c:v>2019-23</c:v>
                </c:pt>
                <c:pt idx="11">
                  <c:v>2020-24</c:v>
                </c:pt>
              </c:strCache>
            </c:strRef>
          </c:cat>
          <c:val>
            <c:numRef>
              <c:f>'Death Rate - All'!$C$22:$C$33</c:f>
              <c:numCache>
                <c:formatCode>General</c:formatCode>
                <c:ptCount val="12"/>
                <c:pt idx="0">
                  <c:v>376</c:v>
                </c:pt>
                <c:pt idx="1">
                  <c:v>361</c:v>
                </c:pt>
                <c:pt idx="2">
                  <c:v>352</c:v>
                </c:pt>
                <c:pt idx="3">
                  <c:v>347</c:v>
                </c:pt>
                <c:pt idx="4">
                  <c:v>341</c:v>
                </c:pt>
                <c:pt idx="5" formatCode="0">
                  <c:v>339.47724589444505</c:v>
                </c:pt>
                <c:pt idx="6" formatCode="0">
                  <c:v>331.33254939447232</c:v>
                </c:pt>
                <c:pt idx="7" formatCode="0">
                  <c:v>330.69702992228895</c:v>
                </c:pt>
                <c:pt idx="8" formatCode="0">
                  <c:v>338.1051655787507</c:v>
                </c:pt>
                <c:pt idx="9" formatCode="0">
                  <c:v>334.08587076282959</c:v>
                </c:pt>
                <c:pt idx="10" formatCode="0">
                  <c:v>336</c:v>
                </c:pt>
                <c:pt idx="11" formatCode="0">
                  <c:v>349</c:v>
                </c:pt>
              </c:numCache>
            </c:numRef>
          </c:val>
          <c:smooth val="0"/>
          <c:extLst>
            <c:ext xmlns:c16="http://schemas.microsoft.com/office/drawing/2014/chart" uri="{C3380CC4-5D6E-409C-BE32-E72D297353CC}">
              <c16:uniqueId val="{00000000-DFEA-4C4C-8EF0-1559D8A30BB6}"/>
            </c:ext>
          </c:extLst>
        </c:ser>
        <c:ser>
          <c:idx val="1"/>
          <c:order val="1"/>
          <c:tx>
            <c:strRef>
              <c:f>'Death Rate - All'!$D$20:$D$21</c:f>
              <c:strCache>
                <c:ptCount val="2"/>
                <c:pt idx="0">
                  <c:v>Northern Ireland</c:v>
                </c:pt>
              </c:strCache>
            </c:strRef>
          </c:tx>
          <c:spPr>
            <a:ln w="28575" cap="rnd">
              <a:solidFill>
                <a:schemeClr val="accent2"/>
              </a:solidFill>
              <a:round/>
            </a:ln>
            <a:effectLst/>
          </c:spPr>
          <c:marker>
            <c:symbol val="square"/>
            <c:size val="7"/>
            <c:spPr>
              <a:solidFill>
                <a:schemeClr val="accent2"/>
              </a:solidFill>
              <a:ln w="9525">
                <a:solidFill>
                  <a:schemeClr val="accent2"/>
                </a:solidFill>
              </a:ln>
              <a:effectLst/>
            </c:spPr>
          </c:marker>
          <c:cat>
            <c:strRef>
              <c:f>'Death Rate - All'!$B$22:$B$33</c:f>
              <c:strCache>
                <c:ptCount val="12"/>
                <c:pt idx="0">
                  <c:v>2009-13</c:v>
                </c:pt>
                <c:pt idx="1">
                  <c:v>2010-14</c:v>
                </c:pt>
                <c:pt idx="2">
                  <c:v>2011-15</c:v>
                </c:pt>
                <c:pt idx="3">
                  <c:v>2012-16</c:v>
                </c:pt>
                <c:pt idx="4">
                  <c:v>2013-17</c:v>
                </c:pt>
                <c:pt idx="5">
                  <c:v>2014-18</c:v>
                </c:pt>
                <c:pt idx="6">
                  <c:v>2015 -19</c:v>
                </c:pt>
                <c:pt idx="7">
                  <c:v>2016-20</c:v>
                </c:pt>
                <c:pt idx="8">
                  <c:v>2017 -21</c:v>
                </c:pt>
                <c:pt idx="9">
                  <c:v>2018-22</c:v>
                </c:pt>
                <c:pt idx="10">
                  <c:v>2019-23</c:v>
                </c:pt>
                <c:pt idx="11">
                  <c:v>2020-24</c:v>
                </c:pt>
              </c:strCache>
            </c:strRef>
          </c:cat>
          <c:val>
            <c:numRef>
              <c:f>'Death Rate - All'!$D$22:$D$33</c:f>
              <c:numCache>
                <c:formatCode>General</c:formatCode>
                <c:ptCount val="12"/>
                <c:pt idx="0">
                  <c:v>388</c:v>
                </c:pt>
                <c:pt idx="1">
                  <c:v>379</c:v>
                </c:pt>
                <c:pt idx="2">
                  <c:v>372</c:v>
                </c:pt>
                <c:pt idx="3">
                  <c:v>369</c:v>
                </c:pt>
                <c:pt idx="4">
                  <c:v>369</c:v>
                </c:pt>
                <c:pt idx="5" formatCode="0">
                  <c:v>364.04964448834176</c:v>
                </c:pt>
                <c:pt idx="6" formatCode="0">
                  <c:v>360.71359769181902</c:v>
                </c:pt>
                <c:pt idx="7" formatCode="0">
                  <c:v>361.54670764084312</c:v>
                </c:pt>
                <c:pt idx="8" formatCode="0">
                  <c:v>364.15375902661953</c:v>
                </c:pt>
                <c:pt idx="9" formatCode="0">
                  <c:v>360.54955409599688</c:v>
                </c:pt>
                <c:pt idx="10" formatCode="0">
                  <c:v>360.54955409599688</c:v>
                </c:pt>
                <c:pt idx="11" formatCode="0">
                  <c:v>368</c:v>
                </c:pt>
              </c:numCache>
            </c:numRef>
          </c:val>
          <c:smooth val="0"/>
          <c:extLst>
            <c:ext xmlns:c16="http://schemas.microsoft.com/office/drawing/2014/chart" uri="{C3380CC4-5D6E-409C-BE32-E72D297353CC}">
              <c16:uniqueId val="{00000001-DFEA-4C4C-8EF0-1559D8A30BB6}"/>
            </c:ext>
          </c:extLst>
        </c:ser>
        <c:dLbls>
          <c:showLegendKey val="0"/>
          <c:showVal val="0"/>
          <c:showCatName val="0"/>
          <c:showSerName val="0"/>
          <c:showPercent val="0"/>
          <c:showBubbleSize val="0"/>
        </c:dLbls>
        <c:marker val="1"/>
        <c:smooth val="0"/>
        <c:axId val="790807263"/>
        <c:axId val="1"/>
      </c:lineChart>
      <c:catAx>
        <c:axId val="790807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790807263"/>
        <c:crosses val="autoZero"/>
        <c:crossBetween val="between"/>
      </c:valAx>
      <c:spPr>
        <a:noFill/>
        <a:ln w="25400">
          <a:noFill/>
        </a:ln>
      </c:spPr>
    </c:plotArea>
    <c:legend>
      <c:legendPos val="r"/>
      <c:layout>
        <c:manualLayout>
          <c:xMode val="edge"/>
          <c:yMode val="edge"/>
          <c:x val="0.14609142521643953"/>
          <c:y val="0.67546244463771599"/>
          <c:w val="0.709586922479849"/>
          <c:h val="7.0177916325996473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50000"/>
              <a:lumOff val="50000"/>
            </a:schemeClr>
          </a:solidFil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32795900512436"/>
          <c:y val="0.13463626492942454"/>
          <c:w val="0.84373553305836768"/>
          <c:h val="0.6787663864771798"/>
        </c:manualLayout>
      </c:layout>
      <c:lineChart>
        <c:grouping val="standard"/>
        <c:varyColors val="0"/>
        <c:ser>
          <c:idx val="0"/>
          <c:order val="0"/>
          <c:tx>
            <c:strRef>
              <c:f>'Avoidable Deaths'!$C$3:$C$4</c:f>
              <c:strCache>
                <c:ptCount val="2"/>
                <c:pt idx="0">
                  <c:v>Armagh City, Banbridge and Craigavon</c:v>
                </c:pt>
              </c:strCache>
            </c:strRef>
          </c:tx>
          <c:spPr>
            <a:ln w="28575" cap="rnd">
              <a:solidFill>
                <a:schemeClr val="accent1"/>
              </a:solidFill>
              <a:round/>
            </a:ln>
            <a:effectLst/>
          </c:spPr>
          <c:marker>
            <c:symbol val="square"/>
            <c:size val="7"/>
          </c:marker>
          <c:cat>
            <c:strRef>
              <c:f>'Avoidable Deaths'!$B$5:$B$15</c:f>
              <c:strCache>
                <c:ptCount val="11"/>
                <c:pt idx="0">
                  <c:v>2010-14</c:v>
                </c:pt>
                <c:pt idx="1">
                  <c:v>2011-15</c:v>
                </c:pt>
                <c:pt idx="2">
                  <c:v>2012-16</c:v>
                </c:pt>
                <c:pt idx="3">
                  <c:v>2013-17</c:v>
                </c:pt>
                <c:pt idx="4">
                  <c:v>2014-18</c:v>
                </c:pt>
                <c:pt idx="5">
                  <c:v>2015-19</c:v>
                </c:pt>
                <c:pt idx="6">
                  <c:v>2016-20</c:v>
                </c:pt>
                <c:pt idx="7">
                  <c:v>2017-21</c:v>
                </c:pt>
                <c:pt idx="8">
                  <c:v>2018-22</c:v>
                </c:pt>
                <c:pt idx="9">
                  <c:v>2019-23</c:v>
                </c:pt>
                <c:pt idx="10">
                  <c:v>2020-24</c:v>
                </c:pt>
              </c:strCache>
            </c:strRef>
          </c:cat>
          <c:val>
            <c:numRef>
              <c:f>'Avoidable Deaths'!$C$5:$C$15</c:f>
              <c:numCache>
                <c:formatCode>General</c:formatCode>
                <c:ptCount val="11"/>
                <c:pt idx="0">
                  <c:v>247</c:v>
                </c:pt>
                <c:pt idx="1">
                  <c:v>239</c:v>
                </c:pt>
                <c:pt idx="2">
                  <c:v>238</c:v>
                </c:pt>
                <c:pt idx="3">
                  <c:v>237</c:v>
                </c:pt>
                <c:pt idx="4">
                  <c:v>236</c:v>
                </c:pt>
                <c:pt idx="5">
                  <c:v>231</c:v>
                </c:pt>
                <c:pt idx="6">
                  <c:v>234</c:v>
                </c:pt>
                <c:pt idx="7">
                  <c:v>238</c:v>
                </c:pt>
                <c:pt idx="8">
                  <c:v>240</c:v>
                </c:pt>
                <c:pt idx="9">
                  <c:v>238</c:v>
                </c:pt>
                <c:pt idx="10">
                  <c:v>249</c:v>
                </c:pt>
              </c:numCache>
            </c:numRef>
          </c:val>
          <c:smooth val="0"/>
          <c:extLst>
            <c:ext xmlns:c16="http://schemas.microsoft.com/office/drawing/2014/chart" uri="{C3380CC4-5D6E-409C-BE32-E72D297353CC}">
              <c16:uniqueId val="{00000000-E850-43A2-8E95-F9DE9D36A11F}"/>
            </c:ext>
          </c:extLst>
        </c:ser>
        <c:ser>
          <c:idx val="1"/>
          <c:order val="1"/>
          <c:tx>
            <c:strRef>
              <c:f>'Avoidable Deaths'!$D$3:$D$4</c:f>
              <c:strCache>
                <c:ptCount val="2"/>
                <c:pt idx="0">
                  <c:v>Northern Ireland</c:v>
                </c:pt>
              </c:strCache>
            </c:strRef>
          </c:tx>
          <c:spPr>
            <a:ln w="28575" cap="rnd">
              <a:solidFill>
                <a:schemeClr val="accent2"/>
              </a:solidFill>
              <a:round/>
            </a:ln>
            <a:effectLst/>
          </c:spPr>
          <c:marker>
            <c:symbol val="square"/>
            <c:size val="7"/>
          </c:marker>
          <c:cat>
            <c:strRef>
              <c:f>'Avoidable Deaths'!$B$5:$B$15</c:f>
              <c:strCache>
                <c:ptCount val="11"/>
                <c:pt idx="0">
                  <c:v>2010-14</c:v>
                </c:pt>
                <c:pt idx="1">
                  <c:v>2011-15</c:v>
                </c:pt>
                <c:pt idx="2">
                  <c:v>2012-16</c:v>
                </c:pt>
                <c:pt idx="3">
                  <c:v>2013-17</c:v>
                </c:pt>
                <c:pt idx="4">
                  <c:v>2014-18</c:v>
                </c:pt>
                <c:pt idx="5">
                  <c:v>2015-19</c:v>
                </c:pt>
                <c:pt idx="6">
                  <c:v>2016-20</c:v>
                </c:pt>
                <c:pt idx="7">
                  <c:v>2017-21</c:v>
                </c:pt>
                <c:pt idx="8">
                  <c:v>2018-22</c:v>
                </c:pt>
                <c:pt idx="9">
                  <c:v>2019-23</c:v>
                </c:pt>
                <c:pt idx="10">
                  <c:v>2020-24</c:v>
                </c:pt>
              </c:strCache>
            </c:strRef>
          </c:cat>
          <c:val>
            <c:numRef>
              <c:f>'Avoidable Deaths'!$D$5:$D$15</c:f>
              <c:numCache>
                <c:formatCode>General</c:formatCode>
                <c:ptCount val="11"/>
                <c:pt idx="0">
                  <c:v>267</c:v>
                </c:pt>
                <c:pt idx="1">
                  <c:v>260</c:v>
                </c:pt>
                <c:pt idx="2">
                  <c:v>256</c:v>
                </c:pt>
                <c:pt idx="3">
                  <c:v>256</c:v>
                </c:pt>
                <c:pt idx="4">
                  <c:v>253</c:v>
                </c:pt>
                <c:pt idx="5">
                  <c:v>252</c:v>
                </c:pt>
                <c:pt idx="6">
                  <c:v>254</c:v>
                </c:pt>
                <c:pt idx="7">
                  <c:v>259</c:v>
                </c:pt>
                <c:pt idx="8">
                  <c:v>259</c:v>
                </c:pt>
                <c:pt idx="9">
                  <c:v>257</c:v>
                </c:pt>
                <c:pt idx="10">
                  <c:v>262</c:v>
                </c:pt>
              </c:numCache>
            </c:numRef>
          </c:val>
          <c:smooth val="0"/>
          <c:extLst>
            <c:ext xmlns:c16="http://schemas.microsoft.com/office/drawing/2014/chart" uri="{C3380CC4-5D6E-409C-BE32-E72D297353CC}">
              <c16:uniqueId val="{00000001-E850-43A2-8E95-F9DE9D36A11F}"/>
            </c:ext>
          </c:extLst>
        </c:ser>
        <c:dLbls>
          <c:showLegendKey val="0"/>
          <c:showVal val="0"/>
          <c:showCatName val="0"/>
          <c:showSerName val="0"/>
          <c:showPercent val="0"/>
          <c:showBubbleSize val="0"/>
        </c:dLbls>
        <c:marker val="1"/>
        <c:smooth val="0"/>
        <c:axId val="790957439"/>
        <c:axId val="1"/>
      </c:lineChart>
      <c:catAx>
        <c:axId val="790957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957439"/>
        <c:crosses val="autoZero"/>
        <c:crossBetween val="between"/>
      </c:valAx>
      <c:spPr>
        <a:noFill/>
        <a:ln w="25400">
          <a:noFill/>
        </a:ln>
      </c:spPr>
    </c:plotArea>
    <c:legend>
      <c:legendPos val="r"/>
      <c:layout>
        <c:manualLayout>
          <c:xMode val="edge"/>
          <c:yMode val="edge"/>
          <c:x val="0.13333776159713268"/>
          <c:y val="0.64446606833628495"/>
          <c:w val="0.76193006626932946"/>
          <c:h val="8.8891871494660005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t>Standardised Death</a:t>
            </a:r>
            <a:r>
              <a:rPr lang="en-GB" sz="1200" baseline="0"/>
              <a:t> Rate - Suicide (per 100,000 population)</a:t>
            </a:r>
            <a:endParaRPr lang="en-GB" sz="1200"/>
          </a:p>
        </c:rich>
      </c:tx>
      <c:layout>
        <c:manualLayout>
          <c:xMode val="edge"/>
          <c:yMode val="edge"/>
          <c:x val="0.13149394713376758"/>
          <c:y val="1.274305968551514E-2"/>
        </c:manualLayout>
      </c:layout>
      <c:overlay val="0"/>
      <c:spPr>
        <a:noFill/>
        <a:ln w="25400">
          <a:noFill/>
        </a:ln>
      </c:spPr>
    </c:title>
    <c:autoTitleDeleted val="0"/>
    <c:plotArea>
      <c:layout>
        <c:manualLayout>
          <c:layoutTarget val="inner"/>
          <c:xMode val="edge"/>
          <c:yMode val="edge"/>
          <c:x val="0.10753036501067997"/>
          <c:y val="0.14718060616114664"/>
          <c:w val="0.86494210746179245"/>
          <c:h val="0.65711639661286103"/>
        </c:manualLayout>
      </c:layout>
      <c:lineChart>
        <c:grouping val="standard"/>
        <c:varyColors val="0"/>
        <c:ser>
          <c:idx val="0"/>
          <c:order val="0"/>
          <c:tx>
            <c:strRef>
              <c:f>'Self harm'!$Q$23</c:f>
              <c:strCache>
                <c:ptCount val="1"/>
                <c:pt idx="0">
                  <c:v>Armagh City, Banbridge and Craigavon</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cat>
            <c:strRef>
              <c:f>'Self harm'!$P$24:$P$29</c:f>
              <c:strCache>
                <c:ptCount val="6"/>
                <c:pt idx="0">
                  <c:v>2015-19</c:v>
                </c:pt>
                <c:pt idx="1">
                  <c:v>2016-20</c:v>
                </c:pt>
                <c:pt idx="2">
                  <c:v>2017-21</c:v>
                </c:pt>
                <c:pt idx="3">
                  <c:v>2018-22</c:v>
                </c:pt>
                <c:pt idx="4">
                  <c:v>2019-23</c:v>
                </c:pt>
                <c:pt idx="5">
                  <c:v>2020-24</c:v>
                </c:pt>
              </c:strCache>
            </c:strRef>
          </c:cat>
          <c:val>
            <c:numRef>
              <c:f>'Self harm'!$Q$24:$Q$29</c:f>
              <c:numCache>
                <c:formatCode>General</c:formatCode>
                <c:ptCount val="6"/>
                <c:pt idx="0">
                  <c:v>9.8000000000000007</c:v>
                </c:pt>
                <c:pt idx="1">
                  <c:v>9.6999999999999993</c:v>
                </c:pt>
                <c:pt idx="2">
                  <c:v>10.8</c:v>
                </c:pt>
                <c:pt idx="3">
                  <c:v>12.3</c:v>
                </c:pt>
                <c:pt idx="4">
                  <c:v>13</c:v>
                </c:pt>
                <c:pt idx="5">
                  <c:v>15</c:v>
                </c:pt>
              </c:numCache>
            </c:numRef>
          </c:val>
          <c:smooth val="0"/>
          <c:extLst>
            <c:ext xmlns:c16="http://schemas.microsoft.com/office/drawing/2014/chart" uri="{C3380CC4-5D6E-409C-BE32-E72D297353CC}">
              <c16:uniqueId val="{00000000-E8BA-4AF1-800A-79A376D3C6FF}"/>
            </c:ext>
          </c:extLst>
        </c:ser>
        <c:ser>
          <c:idx val="1"/>
          <c:order val="1"/>
          <c:tx>
            <c:strRef>
              <c:f>'Self harm'!$R$23</c:f>
              <c:strCache>
                <c:ptCount val="1"/>
                <c:pt idx="0">
                  <c:v>Northern Ireland</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cat>
            <c:strRef>
              <c:f>'Self harm'!$P$24:$P$29</c:f>
              <c:strCache>
                <c:ptCount val="6"/>
                <c:pt idx="0">
                  <c:v>2015-19</c:v>
                </c:pt>
                <c:pt idx="1">
                  <c:v>2016-20</c:v>
                </c:pt>
                <c:pt idx="2">
                  <c:v>2017-21</c:v>
                </c:pt>
                <c:pt idx="3">
                  <c:v>2018-22</c:v>
                </c:pt>
                <c:pt idx="4">
                  <c:v>2019-23</c:v>
                </c:pt>
                <c:pt idx="5">
                  <c:v>2020-24</c:v>
                </c:pt>
              </c:strCache>
            </c:strRef>
          </c:cat>
          <c:val>
            <c:numRef>
              <c:f>'Self harm'!$R$24:$R$29</c:f>
              <c:numCache>
                <c:formatCode>General</c:formatCode>
                <c:ptCount val="6"/>
                <c:pt idx="0">
                  <c:v>12.8</c:v>
                </c:pt>
                <c:pt idx="1">
                  <c:v>12.8</c:v>
                </c:pt>
                <c:pt idx="2">
                  <c:v>13.2</c:v>
                </c:pt>
                <c:pt idx="3">
                  <c:v>13.3</c:v>
                </c:pt>
                <c:pt idx="4">
                  <c:v>13.1</c:v>
                </c:pt>
                <c:pt idx="5">
                  <c:v>14.1</c:v>
                </c:pt>
              </c:numCache>
            </c:numRef>
          </c:val>
          <c:smooth val="0"/>
          <c:extLst>
            <c:ext xmlns:c16="http://schemas.microsoft.com/office/drawing/2014/chart" uri="{C3380CC4-5D6E-409C-BE32-E72D297353CC}">
              <c16:uniqueId val="{00000001-E8BA-4AF1-800A-79A376D3C6FF}"/>
            </c:ext>
          </c:extLst>
        </c:ser>
        <c:dLbls>
          <c:showLegendKey val="0"/>
          <c:showVal val="0"/>
          <c:showCatName val="0"/>
          <c:showSerName val="0"/>
          <c:showPercent val="0"/>
          <c:showBubbleSize val="0"/>
        </c:dLbls>
        <c:marker val="1"/>
        <c:smooth val="0"/>
        <c:axId val="737957599"/>
        <c:axId val="1"/>
      </c:lineChart>
      <c:catAx>
        <c:axId val="737957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7957599"/>
        <c:crosses val="autoZero"/>
        <c:crossBetween val="between"/>
      </c:valAx>
      <c:spPr>
        <a:noFill/>
        <a:ln w="25400">
          <a:noFill/>
        </a:ln>
      </c:spPr>
    </c:plotArea>
    <c:legend>
      <c:legendPos val="r"/>
      <c:layout>
        <c:manualLayout>
          <c:xMode val="edge"/>
          <c:yMode val="edge"/>
          <c:x val="0.10150708229858275"/>
          <c:y val="0.87661234635799878"/>
          <c:w val="0.75190431332283525"/>
          <c:h val="6.6457975716671391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0.00196</cdr:x>
      <cdr:y>0.00387</cdr:y>
    </cdr:from>
    <cdr:to>
      <cdr:x>0.00196</cdr:x>
      <cdr:y>0.00387</cdr:y>
    </cdr:to>
    <cdr:sp macro="" textlink="">
      <cdr:nvSpPr>
        <cdr:cNvPr id="2" name="TextBox 1"/>
        <cdr:cNvSpPr txBox="1"/>
      </cdr:nvSpPr>
      <cdr:spPr>
        <a:xfrm xmlns:a="http://schemas.openxmlformats.org/drawingml/2006/main">
          <a:off x="0" y="0"/>
          <a:ext cx="1577340" cy="32004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a:solidFill>
                <a:schemeClr val="tx1">
                  <a:lumMod val="50000"/>
                  <a:lumOff val="50000"/>
                </a:schemeClr>
              </a:solidFill>
            </a:rPr>
            <a:t>Life Expectancy at Birth</a:t>
          </a:r>
        </a:p>
      </cdr:txBody>
    </cdr:sp>
  </cdr:relSizeAnchor>
  <cdr:relSizeAnchor xmlns:cdr="http://schemas.openxmlformats.org/drawingml/2006/chartDrawing">
    <cdr:from>
      <cdr:x>0.00196</cdr:x>
      <cdr:y>0.27781</cdr:y>
    </cdr:from>
    <cdr:to>
      <cdr:x>0.00196</cdr:x>
      <cdr:y>0.2795</cdr:y>
    </cdr:to>
    <cdr:sp macro="" textlink="">
      <cdr:nvSpPr>
        <cdr:cNvPr id="3" name="TextBox 2"/>
        <cdr:cNvSpPr txBox="1"/>
      </cdr:nvSpPr>
      <cdr:spPr>
        <a:xfrm xmlns:a="http://schemas.openxmlformats.org/drawingml/2006/main" rot="16200000">
          <a:off x="-323850" y="1093470"/>
          <a:ext cx="9144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a:solidFill>
                <a:schemeClr val="tx1">
                  <a:lumMod val="50000"/>
                  <a:lumOff val="50000"/>
                </a:schemeClr>
              </a:solidFill>
            </a:rPr>
            <a:t>Years </a:t>
          </a:r>
        </a:p>
      </cdr:txBody>
    </cdr:sp>
  </cdr:relSizeAnchor>
  <cdr:relSizeAnchor xmlns:cdr="http://schemas.openxmlformats.org/drawingml/2006/chartDrawing">
    <cdr:from>
      <cdr:x>0.0019</cdr:x>
      <cdr:y>0.00146</cdr:y>
    </cdr:from>
    <cdr:to>
      <cdr:x>0.30734</cdr:x>
      <cdr:y>0.08221</cdr:y>
    </cdr:to>
    <cdr:sp macro="" textlink="">
      <cdr:nvSpPr>
        <cdr:cNvPr id="4" name="TextBox 1"/>
        <cdr:cNvSpPr txBox="1"/>
      </cdr:nvSpPr>
      <cdr:spPr>
        <a:xfrm xmlns:a="http://schemas.openxmlformats.org/drawingml/2006/main">
          <a:off x="6330" y="0"/>
          <a:ext cx="1791110" cy="30071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solidFill>
                <a:schemeClr val="tx1">
                  <a:lumMod val="50000"/>
                  <a:lumOff val="50000"/>
                </a:schemeClr>
              </a:solidFill>
            </a:rPr>
            <a:t>Life Expectancy at Birth</a:t>
          </a:r>
        </a:p>
      </cdr:txBody>
    </cdr:sp>
  </cdr:relSizeAnchor>
  <cdr:relSizeAnchor xmlns:cdr="http://schemas.openxmlformats.org/drawingml/2006/chartDrawing">
    <cdr:from>
      <cdr:x>0.0069</cdr:x>
      <cdr:y>0.32902</cdr:y>
    </cdr:from>
    <cdr:to>
      <cdr:x>0.05757</cdr:x>
      <cdr:y>0.52041</cdr:y>
    </cdr:to>
    <cdr:sp macro="" textlink="">
      <cdr:nvSpPr>
        <cdr:cNvPr id="5" name="TextBox 2"/>
        <cdr:cNvSpPr txBox="1"/>
      </cdr:nvSpPr>
      <cdr:spPr>
        <a:xfrm xmlns:a="http://schemas.openxmlformats.org/drawingml/2006/main" rot="16200000">
          <a:off x="-155936" y="1384474"/>
          <a:ext cx="684468" cy="30285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solidFill>
                <a:schemeClr val="tx1">
                  <a:lumMod val="50000"/>
                  <a:lumOff val="50000"/>
                </a:schemeClr>
              </a:solidFill>
            </a:rPr>
            <a:t>Years </a:t>
          </a:r>
        </a:p>
      </cdr:txBody>
    </cdr:sp>
  </cdr:relSizeAnchor>
</c:userShapes>
</file>

<file path=word/drawings/drawing2.xml><?xml version="1.0" encoding="utf-8"?>
<c:userShapes xmlns:c="http://schemas.openxmlformats.org/drawingml/2006/chart">
  <cdr:relSizeAnchor xmlns:cdr="http://schemas.openxmlformats.org/drawingml/2006/chartDrawing">
    <cdr:from>
      <cdr:x>0.00245</cdr:x>
      <cdr:y>0.00363</cdr:y>
    </cdr:from>
    <cdr:to>
      <cdr:x>0.00245</cdr:x>
      <cdr:y>0.00363</cdr:y>
    </cdr:to>
    <cdr:sp macro="" textlink="">
      <cdr:nvSpPr>
        <cdr:cNvPr id="2" name="TextBox 1"/>
        <cdr:cNvSpPr txBox="1"/>
      </cdr:nvSpPr>
      <cdr:spPr>
        <a:xfrm xmlns:a="http://schemas.openxmlformats.org/drawingml/2006/main">
          <a:off x="30480" y="0"/>
          <a:ext cx="1691640" cy="3124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a:solidFill>
                <a:schemeClr val="tx1">
                  <a:lumMod val="50000"/>
                  <a:lumOff val="50000"/>
                </a:schemeClr>
              </a:solidFill>
            </a:rPr>
            <a:t>Life Expectancy</a:t>
          </a:r>
          <a:r>
            <a:rPr lang="en-GB" sz="1100" baseline="0">
              <a:solidFill>
                <a:schemeClr val="tx1">
                  <a:lumMod val="50000"/>
                  <a:lumOff val="50000"/>
                </a:schemeClr>
              </a:solidFill>
            </a:rPr>
            <a:t> at Age 65</a:t>
          </a:r>
          <a:endParaRPr lang="en-GB" sz="1100">
            <a:solidFill>
              <a:schemeClr val="tx1">
                <a:lumMod val="50000"/>
                <a:lumOff val="50000"/>
              </a:schemeClr>
            </a:solidFill>
          </a:endParaRPr>
        </a:p>
      </cdr:txBody>
    </cdr:sp>
  </cdr:relSizeAnchor>
  <cdr:relSizeAnchor xmlns:cdr="http://schemas.openxmlformats.org/drawingml/2006/chartDrawing">
    <cdr:from>
      <cdr:x>0.0022</cdr:x>
      <cdr:y>0.31245</cdr:y>
    </cdr:from>
    <cdr:to>
      <cdr:x>0.0022</cdr:x>
      <cdr:y>0.31317</cdr:y>
    </cdr:to>
    <cdr:sp macro="" textlink="">
      <cdr:nvSpPr>
        <cdr:cNvPr id="3" name="TextBox 2"/>
        <cdr:cNvSpPr txBox="1"/>
      </cdr:nvSpPr>
      <cdr:spPr>
        <a:xfrm xmlns:a="http://schemas.openxmlformats.org/drawingml/2006/main" rot="16200000">
          <a:off x="-323850" y="1123950"/>
          <a:ext cx="9144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a:solidFill>
                <a:schemeClr val="tx1">
                  <a:lumMod val="50000"/>
                  <a:lumOff val="50000"/>
                </a:schemeClr>
              </a:solidFill>
            </a:rPr>
            <a:t>Years</a:t>
          </a:r>
          <a:r>
            <a:rPr lang="en-GB" sz="1100"/>
            <a:t> </a:t>
          </a:r>
        </a:p>
      </cdr:txBody>
    </cdr:sp>
  </cdr:relSizeAnchor>
  <cdr:relSizeAnchor xmlns:cdr="http://schemas.openxmlformats.org/drawingml/2006/chartDrawing">
    <cdr:from>
      <cdr:x>0.00073</cdr:x>
      <cdr:y>0.00073</cdr:y>
    </cdr:from>
    <cdr:to>
      <cdr:x>0.33458</cdr:x>
      <cdr:y>0.09262</cdr:y>
    </cdr:to>
    <cdr:sp macro="" textlink="">
      <cdr:nvSpPr>
        <cdr:cNvPr id="5" name="TextBox 1"/>
        <cdr:cNvSpPr txBox="1"/>
      </cdr:nvSpPr>
      <cdr:spPr>
        <a:xfrm xmlns:a="http://schemas.openxmlformats.org/drawingml/2006/main">
          <a:off x="0" y="0"/>
          <a:ext cx="1848181" cy="31223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solidFill>
                <a:schemeClr val="tx1">
                  <a:lumMod val="50000"/>
                  <a:lumOff val="50000"/>
                </a:schemeClr>
              </a:solidFill>
            </a:rPr>
            <a:t>Life Expectancy</a:t>
          </a:r>
          <a:r>
            <a:rPr lang="en-GB" sz="1100" baseline="0">
              <a:solidFill>
                <a:schemeClr val="tx1">
                  <a:lumMod val="50000"/>
                  <a:lumOff val="50000"/>
                </a:schemeClr>
              </a:solidFill>
            </a:rPr>
            <a:t> at Age 65</a:t>
          </a:r>
          <a:endParaRPr lang="en-GB" sz="1100">
            <a:solidFill>
              <a:schemeClr val="tx1">
                <a:lumMod val="50000"/>
                <a:lumOff val="50000"/>
              </a:schemeClr>
            </a:solidFill>
          </a:endParaRPr>
        </a:p>
      </cdr:txBody>
    </cdr:sp>
  </cdr:relSizeAnchor>
  <cdr:relSizeAnchor xmlns:cdr="http://schemas.openxmlformats.org/drawingml/2006/chartDrawing">
    <cdr:from>
      <cdr:x>0.00073</cdr:x>
      <cdr:y>0.3415</cdr:y>
    </cdr:from>
    <cdr:to>
      <cdr:x>0.05148</cdr:x>
      <cdr:y>0.52644</cdr:y>
    </cdr:to>
    <cdr:sp macro="" textlink="">
      <cdr:nvSpPr>
        <cdr:cNvPr id="6" name="TextBox 2"/>
        <cdr:cNvSpPr txBox="1"/>
      </cdr:nvSpPr>
      <cdr:spPr>
        <a:xfrm xmlns:a="http://schemas.openxmlformats.org/drawingml/2006/main" rot="16200000">
          <a:off x="-165126" y="1318690"/>
          <a:ext cx="618958" cy="2887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solidFill>
                <a:schemeClr val="tx1">
                  <a:lumMod val="50000"/>
                  <a:lumOff val="50000"/>
                </a:schemeClr>
              </a:solidFill>
            </a:rPr>
            <a:t>Years</a:t>
          </a:r>
          <a:r>
            <a:rPr lang="en-GB" sz="1100"/>
            <a:t> </a:t>
          </a:r>
        </a:p>
      </cdr:txBody>
    </cdr:sp>
  </cdr:relSizeAnchor>
</c:userShapes>
</file>

<file path=word/drawings/drawing3.xml><?xml version="1.0" encoding="utf-8"?>
<c:userShapes xmlns:c="http://schemas.openxmlformats.org/drawingml/2006/chart">
  <cdr:relSizeAnchor xmlns:cdr="http://schemas.openxmlformats.org/drawingml/2006/chartDrawing">
    <cdr:from>
      <cdr:x>0.00123</cdr:x>
      <cdr:y>0.00169</cdr:y>
    </cdr:from>
    <cdr:to>
      <cdr:x>0.00412</cdr:x>
      <cdr:y>0.00169</cdr:y>
    </cdr:to>
    <cdr:sp macro="" textlink="">
      <cdr:nvSpPr>
        <cdr:cNvPr id="2" name="TextBox 1"/>
        <cdr:cNvSpPr txBox="1"/>
      </cdr:nvSpPr>
      <cdr:spPr>
        <a:xfrm xmlns:a="http://schemas.openxmlformats.org/drawingml/2006/main">
          <a:off x="38099" y="0"/>
          <a:ext cx="1781175"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a:solidFill>
                <a:schemeClr val="tx1">
                  <a:lumMod val="50000"/>
                  <a:lumOff val="50000"/>
                </a:schemeClr>
              </a:solidFill>
            </a:rPr>
            <a:t>Death Rate</a:t>
          </a:r>
          <a:r>
            <a:rPr lang="en-GB" sz="1100" baseline="0">
              <a:solidFill>
                <a:schemeClr val="tx1">
                  <a:lumMod val="50000"/>
                  <a:lumOff val="50000"/>
                </a:schemeClr>
              </a:solidFill>
            </a:rPr>
            <a:t> U75, All Causes</a:t>
          </a:r>
          <a:endParaRPr lang="en-GB" sz="1100">
            <a:solidFill>
              <a:schemeClr val="tx1">
                <a:lumMod val="50000"/>
                <a:lumOff val="50000"/>
              </a:schemeClr>
            </a:solidFill>
          </a:endParaRPr>
        </a:p>
      </cdr:txBody>
    </cdr:sp>
  </cdr:relSizeAnchor>
  <cdr:relSizeAnchor xmlns:cdr="http://schemas.openxmlformats.org/drawingml/2006/chartDrawing">
    <cdr:from>
      <cdr:x>0.00876</cdr:x>
      <cdr:y>0.23682</cdr:y>
    </cdr:from>
    <cdr:to>
      <cdr:x>0.05871</cdr:x>
      <cdr:y>0.8131</cdr:y>
    </cdr:to>
    <cdr:sp macro="" textlink="">
      <cdr:nvSpPr>
        <cdr:cNvPr id="3" name="TextBox 2"/>
        <cdr:cNvSpPr txBox="1"/>
      </cdr:nvSpPr>
      <cdr:spPr>
        <a:xfrm xmlns:a="http://schemas.openxmlformats.org/drawingml/2006/main" rot="16200000">
          <a:off x="-653402" y="1439771"/>
          <a:ext cx="1733244" cy="3362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a:solidFill>
                <a:schemeClr val="tx1">
                  <a:lumMod val="50000"/>
                  <a:lumOff val="50000"/>
                </a:schemeClr>
              </a:solidFill>
            </a:rPr>
            <a:t>Standardised Death Rate per 100,000 </a:t>
          </a:r>
        </a:p>
      </cdr:txBody>
    </cdr:sp>
  </cdr:relSizeAnchor>
  <cdr:relSizeAnchor xmlns:cdr="http://schemas.openxmlformats.org/drawingml/2006/chartDrawing">
    <cdr:from>
      <cdr:x>0.01593</cdr:x>
      <cdr:y>0.01802</cdr:y>
    </cdr:from>
    <cdr:to>
      <cdr:x>0.34182</cdr:x>
      <cdr:y>0.1029</cdr:y>
    </cdr:to>
    <cdr:sp macro="" textlink="">
      <cdr:nvSpPr>
        <cdr:cNvPr id="4" name="TextBox 1"/>
        <cdr:cNvSpPr txBox="1"/>
      </cdr:nvSpPr>
      <cdr:spPr>
        <a:xfrm xmlns:a="http://schemas.openxmlformats.org/drawingml/2006/main">
          <a:off x="92308" y="50800"/>
          <a:ext cx="1941132" cy="27268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solidFill>
                <a:schemeClr val="tx1">
                  <a:lumMod val="50000"/>
                  <a:lumOff val="50000"/>
                </a:schemeClr>
              </a:solidFill>
            </a:rPr>
            <a:t>Death Rate</a:t>
          </a:r>
          <a:r>
            <a:rPr lang="en-GB" sz="1100" baseline="0">
              <a:solidFill>
                <a:schemeClr val="tx1">
                  <a:lumMod val="50000"/>
                  <a:lumOff val="50000"/>
                </a:schemeClr>
              </a:solidFill>
            </a:rPr>
            <a:t> U75, All Causes</a:t>
          </a:r>
          <a:endParaRPr lang="en-GB" sz="1100">
            <a:solidFill>
              <a:schemeClr val="tx1">
                <a:lumMod val="50000"/>
                <a:lumOff val="50000"/>
              </a:schemeClr>
            </a:solidFill>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0.00195</cdr:x>
      <cdr:y>0.00482</cdr:y>
    </cdr:from>
    <cdr:to>
      <cdr:x>0.0066</cdr:x>
      <cdr:y>0.00482</cdr:y>
    </cdr:to>
    <cdr:sp macro="" textlink="">
      <cdr:nvSpPr>
        <cdr:cNvPr id="2" name="TextBox 1"/>
        <cdr:cNvSpPr txBox="1"/>
      </cdr:nvSpPr>
      <cdr:spPr>
        <a:xfrm xmlns:a="http://schemas.openxmlformats.org/drawingml/2006/main">
          <a:off x="47626" y="1"/>
          <a:ext cx="1447800" cy="2476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1100">
              <a:solidFill>
                <a:schemeClr val="tx1">
                  <a:lumMod val="50000"/>
                  <a:lumOff val="50000"/>
                </a:schemeClr>
              </a:solidFill>
            </a:rPr>
            <a:t>Avoidable Death Rate</a:t>
          </a:r>
        </a:p>
      </cdr:txBody>
    </cdr:sp>
  </cdr:relSizeAnchor>
  <cdr:relSizeAnchor xmlns:cdr="http://schemas.openxmlformats.org/drawingml/2006/chartDrawing">
    <cdr:from>
      <cdr:x>0.00303</cdr:x>
      <cdr:y>0.00675</cdr:y>
    </cdr:from>
    <cdr:to>
      <cdr:x>0.31989</cdr:x>
      <cdr:y>0.09286</cdr:y>
    </cdr:to>
    <cdr:sp macro="" textlink="">
      <cdr:nvSpPr>
        <cdr:cNvPr id="3" name="TextBox 1"/>
        <cdr:cNvSpPr txBox="1"/>
      </cdr:nvSpPr>
      <cdr:spPr>
        <a:xfrm xmlns:a="http://schemas.openxmlformats.org/drawingml/2006/main">
          <a:off x="12707" y="17183"/>
          <a:ext cx="1644491" cy="28058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solidFill>
                <a:schemeClr val="tx1">
                  <a:lumMod val="50000"/>
                  <a:lumOff val="50000"/>
                </a:schemeClr>
              </a:solidFill>
            </a:rPr>
            <a:t>Avoidable Death Rate</a:t>
          </a:r>
        </a:p>
      </cdr:txBody>
    </cdr:sp>
  </cdr:relSizeAnchor>
  <cdr:relSizeAnchor xmlns:cdr="http://schemas.openxmlformats.org/drawingml/2006/chartDrawing">
    <cdr:from>
      <cdr:x>0.00318</cdr:x>
      <cdr:y>0.08946</cdr:y>
    </cdr:from>
    <cdr:to>
      <cdr:x>0.05608</cdr:x>
      <cdr:y>0.84726</cdr:y>
    </cdr:to>
    <cdr:sp macro="" textlink="">
      <cdr:nvSpPr>
        <cdr:cNvPr id="4" name="TextBox 3"/>
        <cdr:cNvSpPr txBox="1"/>
      </cdr:nvSpPr>
      <cdr:spPr>
        <a:xfrm xmlns:a="http://schemas.openxmlformats.org/drawingml/2006/main" rot="16200000">
          <a:off x="-988654" y="1272976"/>
          <a:ext cx="2273667"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GB" sz="1100">
              <a:solidFill>
                <a:schemeClr val="tx1">
                  <a:lumMod val="50000"/>
                  <a:lumOff val="50000"/>
                </a:schemeClr>
              </a:solidFill>
            </a:rPr>
            <a:t>Avoidable Death </a:t>
          </a:r>
          <a:r>
            <a:rPr lang="en-GB" sz="1100" baseline="0">
              <a:solidFill>
                <a:schemeClr val="tx1">
                  <a:lumMod val="50000"/>
                  <a:lumOff val="50000"/>
                </a:schemeClr>
              </a:solidFill>
            </a:rPr>
            <a:t>Rate per 100,000</a:t>
          </a:r>
          <a:endParaRPr lang="en-GB" sz="1100">
            <a:solidFill>
              <a:schemeClr val="tx1">
                <a:lumMod val="50000"/>
                <a:lumOff val="50000"/>
              </a:schemeClr>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0.0188</cdr:x>
      <cdr:y>0.18032</cdr:y>
    </cdr:from>
    <cdr:to>
      <cdr:x>0.07101</cdr:x>
      <cdr:y>0.69383</cdr:y>
    </cdr:to>
    <cdr:sp macro="" textlink="">
      <cdr:nvSpPr>
        <cdr:cNvPr id="2" name="TextBox 2"/>
        <cdr:cNvSpPr txBox="1"/>
      </cdr:nvSpPr>
      <cdr:spPr>
        <a:xfrm xmlns:a="http://schemas.openxmlformats.org/drawingml/2006/main" rot="16200000">
          <a:off x="-545274" y="1183284"/>
          <a:ext cx="1545616" cy="26456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GB" sz="1100">
              <a:solidFill>
                <a:schemeClr val="tx1">
                  <a:lumMod val="50000"/>
                  <a:lumOff val="50000"/>
                </a:schemeClr>
              </a:solidFill>
            </a:rPr>
            <a:t>Death Rate per 100,000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2EB1A-500A-4B0C-8A6C-D641C258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1213</Words>
  <Characters>6468</Characters>
  <Application>Microsoft Office Word</Application>
  <DocSecurity>0</DocSecurity>
  <Lines>380</Lines>
  <Paragraphs>295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Gordon</dc:creator>
  <cp:keywords/>
  <dc:description/>
  <cp:lastModifiedBy>Sarah McMillan</cp:lastModifiedBy>
  <cp:revision>3</cp:revision>
  <cp:lastPrinted>2025-09-22T08:14:00Z</cp:lastPrinted>
  <dcterms:created xsi:type="dcterms:W3CDTF">2026-05-22T10:15:00Z</dcterms:created>
  <dcterms:modified xsi:type="dcterms:W3CDTF">2026-05-26T11:30:00Z</dcterms:modified>
</cp:coreProperties>
</file>