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6E952" w14:textId="140F6193" w:rsidR="00B93D26" w:rsidRDefault="00CD7187" w:rsidP="00B93D26">
      <w:pPr>
        <w:rPr>
          <w:b/>
        </w:rPr>
      </w:pPr>
      <w:r>
        <w:rPr>
          <w:b/>
        </w:rPr>
        <w:t xml:space="preserve">Employee </w:t>
      </w:r>
      <w:r w:rsidR="00B93D26" w:rsidRPr="00C725FB">
        <w:rPr>
          <w:b/>
        </w:rPr>
        <w:t>Earnings</w:t>
      </w:r>
      <w:r>
        <w:rPr>
          <w:b/>
        </w:rPr>
        <w:t xml:space="preserve"> in Armagh City, Banbridge and Craigavon Borough </w:t>
      </w:r>
    </w:p>
    <w:p w14:paraId="3561DBA9" w14:textId="77777777" w:rsidR="00D66284" w:rsidRDefault="00ED5FD8" w:rsidP="00B93D26">
      <w:pPr>
        <w:rPr>
          <w:rFonts w:eastAsia="Times New Roman" w:cstheme="minorHAnsi"/>
          <w:lang w:eastAsia="en-GB"/>
        </w:rPr>
      </w:pPr>
      <w:r w:rsidRPr="00ED5FD8">
        <w:rPr>
          <w:rFonts w:cstheme="minorHAnsi"/>
        </w:rPr>
        <w:t xml:space="preserve">The Annual Survey for Hours and Earnings (ASHE) </w:t>
      </w:r>
      <w:r w:rsidR="009B36F8">
        <w:rPr>
          <w:rFonts w:cstheme="minorHAnsi"/>
        </w:rPr>
        <w:t xml:space="preserve">is carried out in April of each year and </w:t>
      </w:r>
      <w:r w:rsidRPr="00ED5FD8">
        <w:rPr>
          <w:rFonts w:cstheme="minorHAnsi"/>
        </w:rPr>
        <w:t xml:space="preserve">provides information on employee earnings in </w:t>
      </w:r>
      <w:r w:rsidR="009B36F8">
        <w:rPr>
          <w:rFonts w:cstheme="minorHAnsi"/>
        </w:rPr>
        <w:t>the UK</w:t>
      </w:r>
      <w:r w:rsidRPr="009B36F8">
        <w:rPr>
          <w:rFonts w:cstheme="minorHAnsi"/>
        </w:rPr>
        <w:t xml:space="preserve">. </w:t>
      </w:r>
      <w:r w:rsidR="00A512BF" w:rsidRPr="009B36F8">
        <w:rPr>
          <w:rFonts w:cstheme="minorHAnsi"/>
        </w:rPr>
        <w:t xml:space="preserve"> </w:t>
      </w:r>
      <w:r w:rsidR="009B36F8" w:rsidRPr="001C3CF0">
        <w:rPr>
          <w:rFonts w:eastAsia="Times New Roman" w:cstheme="minorHAnsi"/>
          <w:lang w:eastAsia="en-GB"/>
        </w:rPr>
        <w:t xml:space="preserve">The tables contain estimates of earnings for employees by </w:t>
      </w:r>
      <w:r w:rsidR="00D66284">
        <w:rPr>
          <w:rFonts w:eastAsia="Times New Roman" w:cstheme="minorHAnsi"/>
          <w:lang w:eastAsia="en-GB"/>
        </w:rPr>
        <w:t>gender</w:t>
      </w:r>
      <w:r w:rsidR="009B36F8" w:rsidRPr="001C3CF0">
        <w:rPr>
          <w:rFonts w:eastAsia="Times New Roman" w:cstheme="minorHAnsi"/>
          <w:lang w:eastAsia="en-GB"/>
        </w:rPr>
        <w:t xml:space="preserve"> and full-time or part-time status. Further breakdowns include by region</w:t>
      </w:r>
      <w:r w:rsidR="00D66284">
        <w:rPr>
          <w:rFonts w:eastAsia="Times New Roman" w:cstheme="minorHAnsi"/>
          <w:lang w:eastAsia="en-GB"/>
        </w:rPr>
        <w:t xml:space="preserve"> / local government district (LGD)</w:t>
      </w:r>
      <w:r w:rsidR="009B36F8" w:rsidRPr="001C3CF0">
        <w:rPr>
          <w:rFonts w:eastAsia="Times New Roman" w:cstheme="minorHAnsi"/>
          <w:lang w:eastAsia="en-GB"/>
        </w:rPr>
        <w:t>, occupation, industry, age group and public or private sector.</w:t>
      </w:r>
      <w:r w:rsidR="009B36F8" w:rsidRPr="009B36F8">
        <w:rPr>
          <w:rFonts w:eastAsia="Times New Roman" w:cstheme="minorHAnsi"/>
          <w:lang w:eastAsia="en-GB"/>
        </w:rPr>
        <w:t xml:space="preserve">  </w:t>
      </w:r>
    </w:p>
    <w:p w14:paraId="0634B951" w14:textId="77777777" w:rsidR="00780C49" w:rsidRDefault="00A512BF" w:rsidP="00E80D9B">
      <w:pPr>
        <w:rPr>
          <w:rFonts w:cstheme="minorHAnsi"/>
        </w:rPr>
      </w:pPr>
      <w:r>
        <w:rPr>
          <w:rFonts w:cstheme="minorHAnsi"/>
          <w:shd w:val="clear" w:color="auto" w:fill="FFFFFF"/>
        </w:rPr>
        <w:t>The median</w:t>
      </w:r>
      <w:r w:rsidR="00D66284">
        <w:rPr>
          <w:rFonts w:cstheme="minorHAnsi"/>
          <w:shd w:val="clear" w:color="auto" w:fill="FFFFFF"/>
        </w:rPr>
        <w:t xml:space="preserve">, which is </w:t>
      </w:r>
      <w:r w:rsidR="00D66284" w:rsidRPr="00ED5FD8">
        <w:rPr>
          <w:rFonts w:cstheme="minorHAnsi"/>
          <w:shd w:val="clear" w:color="auto" w:fill="FFFFFF"/>
        </w:rPr>
        <w:t>the value</w:t>
      </w:r>
      <w:r w:rsidR="00D66284">
        <w:rPr>
          <w:rFonts w:cstheme="minorHAnsi"/>
          <w:shd w:val="clear" w:color="auto" w:fill="FFFFFF"/>
        </w:rPr>
        <w:t xml:space="preserve"> below which 50% of jobs fall,</w:t>
      </w:r>
      <w:r w:rsidR="00D66284" w:rsidRPr="00ED5FD8">
        <w:rPr>
          <w:rFonts w:cstheme="minorHAnsi"/>
          <w:shd w:val="clear" w:color="auto" w:fill="FFFFFF"/>
        </w:rPr>
        <w:t xml:space="preserve"> </w:t>
      </w:r>
      <w:r w:rsidR="00ED5FD8" w:rsidRPr="00ED5FD8">
        <w:rPr>
          <w:rFonts w:cstheme="minorHAnsi"/>
          <w:shd w:val="clear" w:color="auto" w:fill="FFFFFF"/>
        </w:rPr>
        <w:t>is NISRA's preferred measure of average earnings as it is less affected by a relatively small number of very high earners and the skewed distribution of earnings</w:t>
      </w:r>
      <w:r>
        <w:rPr>
          <w:rFonts w:cstheme="minorHAnsi"/>
          <w:shd w:val="clear" w:color="auto" w:fill="FFFFFF"/>
        </w:rPr>
        <w:t xml:space="preserve"> and</w:t>
      </w:r>
      <w:r w:rsidR="00ED5FD8" w:rsidRPr="00ED5FD8">
        <w:rPr>
          <w:rFonts w:cstheme="minorHAnsi"/>
          <w:shd w:val="clear" w:color="auto" w:fill="FFFFFF"/>
        </w:rPr>
        <w:t xml:space="preserve"> therefore gives a better indication of typical pay than the mean</w:t>
      </w:r>
      <w:r>
        <w:rPr>
          <w:rStyle w:val="FootnoteReference"/>
          <w:rFonts w:cstheme="minorHAnsi"/>
          <w:shd w:val="clear" w:color="auto" w:fill="FFFFFF"/>
        </w:rPr>
        <w:footnoteReference w:id="1"/>
      </w:r>
      <w:r w:rsidR="00ED5FD8" w:rsidRPr="00ED5FD8">
        <w:rPr>
          <w:rFonts w:cstheme="minorHAnsi"/>
          <w:shd w:val="clear" w:color="auto" w:fill="FFFFFF"/>
        </w:rPr>
        <w:t>.</w:t>
      </w:r>
      <w:r w:rsidR="00D66284" w:rsidRPr="00D66284">
        <w:rPr>
          <w:rFonts w:cstheme="minorHAnsi"/>
        </w:rPr>
        <w:t xml:space="preserve"> </w:t>
      </w:r>
    </w:p>
    <w:p w14:paraId="4F1163EF" w14:textId="4CC3297B" w:rsidR="00E206A4" w:rsidRDefault="00E206A4" w:rsidP="00E80D9B">
      <w:pPr>
        <w:rPr>
          <w:rFonts w:cstheme="minorHAnsi"/>
          <w:b/>
          <w:bCs/>
        </w:rPr>
      </w:pPr>
      <w:r w:rsidRPr="00E206A4">
        <w:rPr>
          <w:rFonts w:cstheme="minorHAnsi"/>
          <w:b/>
          <w:bCs/>
        </w:rPr>
        <w:t xml:space="preserve">Median Gross </w:t>
      </w:r>
      <w:r w:rsidR="00C52D28">
        <w:rPr>
          <w:rFonts w:cstheme="minorHAnsi"/>
          <w:b/>
          <w:bCs/>
        </w:rPr>
        <w:t>Weekly</w:t>
      </w:r>
      <w:r w:rsidRPr="00E206A4">
        <w:rPr>
          <w:rFonts w:cstheme="minorHAnsi"/>
          <w:b/>
          <w:bCs/>
        </w:rPr>
        <w:t xml:space="preserve"> Pay</w:t>
      </w:r>
      <w:r w:rsidR="00C52D28">
        <w:rPr>
          <w:rStyle w:val="FootnoteReference"/>
          <w:rFonts w:cstheme="minorHAnsi"/>
          <w:b/>
          <w:bCs/>
        </w:rPr>
        <w:footnoteReference w:id="2"/>
      </w:r>
    </w:p>
    <w:p w14:paraId="66812F2B" w14:textId="08151F14" w:rsidR="00E206A4" w:rsidRDefault="00C52D28" w:rsidP="00C52D28">
      <w:pPr>
        <w:pStyle w:val="ListParagraph"/>
        <w:numPr>
          <w:ilvl w:val="0"/>
          <w:numId w:val="1"/>
        </w:numPr>
        <w:rPr>
          <w:rFonts w:cstheme="minorHAnsi"/>
          <w:i/>
          <w:iCs/>
        </w:rPr>
      </w:pPr>
      <w:r w:rsidRPr="00C52D28">
        <w:rPr>
          <w:rFonts w:cstheme="minorHAnsi"/>
          <w:i/>
          <w:iCs/>
        </w:rPr>
        <w:t xml:space="preserve">Weekly earnings for individuals </w:t>
      </w:r>
      <w:r w:rsidRPr="00C52D28">
        <w:rPr>
          <w:rFonts w:cstheme="minorHAnsi"/>
          <w:b/>
          <w:bCs/>
          <w:i/>
          <w:iCs/>
        </w:rPr>
        <w:t>working</w:t>
      </w:r>
      <w:r w:rsidRPr="00C52D28">
        <w:rPr>
          <w:rFonts w:cstheme="minorHAnsi"/>
          <w:i/>
          <w:iCs/>
        </w:rPr>
        <w:t xml:space="preserve"> </w:t>
      </w:r>
      <w:r w:rsidR="00C00FFC">
        <w:rPr>
          <w:rFonts w:cstheme="minorHAnsi"/>
          <w:i/>
          <w:iCs/>
        </w:rPr>
        <w:t xml:space="preserve">full-time </w:t>
      </w:r>
      <w:r w:rsidRPr="00C52D28">
        <w:rPr>
          <w:rFonts w:cstheme="minorHAnsi"/>
          <w:i/>
          <w:iCs/>
        </w:rPr>
        <w:t>in Armagh City, Banbridge and Craigavon borough increased by £</w:t>
      </w:r>
      <w:r w:rsidR="00F12E5A">
        <w:rPr>
          <w:rFonts w:cstheme="minorHAnsi"/>
          <w:i/>
          <w:iCs/>
        </w:rPr>
        <w:t>28.60</w:t>
      </w:r>
      <w:r w:rsidRPr="00C52D28">
        <w:rPr>
          <w:rFonts w:cstheme="minorHAnsi"/>
          <w:i/>
          <w:iCs/>
        </w:rPr>
        <w:t xml:space="preserve"> (</w:t>
      </w:r>
      <w:r w:rsidR="0090480B">
        <w:rPr>
          <w:rFonts w:cstheme="minorHAnsi"/>
          <w:i/>
          <w:iCs/>
        </w:rPr>
        <w:t>4.4</w:t>
      </w:r>
      <w:r w:rsidRPr="00C52D28">
        <w:rPr>
          <w:rFonts w:cstheme="minorHAnsi"/>
          <w:i/>
          <w:iCs/>
        </w:rPr>
        <w:t>%) over the year to £6</w:t>
      </w:r>
      <w:r w:rsidR="004F1EB5">
        <w:rPr>
          <w:rFonts w:cstheme="minorHAnsi"/>
          <w:i/>
          <w:iCs/>
        </w:rPr>
        <w:t>75</w:t>
      </w:r>
      <w:r w:rsidR="00F4610A">
        <w:rPr>
          <w:rFonts w:cstheme="minorHAnsi"/>
          <w:i/>
          <w:iCs/>
        </w:rPr>
        <w:t>.</w:t>
      </w:r>
      <w:r w:rsidR="00BF0ADE">
        <w:rPr>
          <w:rFonts w:cstheme="minorHAnsi"/>
          <w:i/>
          <w:iCs/>
        </w:rPr>
        <w:t>3</w:t>
      </w:r>
      <w:r w:rsidR="00F4610A">
        <w:rPr>
          <w:rFonts w:cstheme="minorHAnsi"/>
          <w:i/>
          <w:iCs/>
        </w:rPr>
        <w:t>0</w:t>
      </w:r>
      <w:r w:rsidRPr="00C52D28">
        <w:rPr>
          <w:rFonts w:cstheme="minorHAnsi"/>
          <w:i/>
          <w:iCs/>
        </w:rPr>
        <w:t xml:space="preserve">.  This is the </w:t>
      </w:r>
      <w:r w:rsidR="005E2D49">
        <w:rPr>
          <w:rFonts w:cstheme="minorHAnsi"/>
          <w:i/>
          <w:iCs/>
        </w:rPr>
        <w:t>f</w:t>
      </w:r>
      <w:r w:rsidR="00C80545">
        <w:rPr>
          <w:rFonts w:cstheme="minorHAnsi"/>
          <w:i/>
          <w:iCs/>
        </w:rPr>
        <w:t>ifth</w:t>
      </w:r>
      <w:r w:rsidRPr="00C52D28">
        <w:rPr>
          <w:rFonts w:cstheme="minorHAnsi"/>
          <w:i/>
          <w:iCs/>
        </w:rPr>
        <w:t xml:space="preserve"> consecutive annual increase.  </w:t>
      </w:r>
    </w:p>
    <w:p w14:paraId="4C173EF4" w14:textId="18F48F11" w:rsidR="00C52D28" w:rsidRDefault="00C52D28" w:rsidP="00C52D28">
      <w:pPr>
        <w:pStyle w:val="ListParagraph"/>
        <w:numPr>
          <w:ilvl w:val="0"/>
          <w:numId w:val="1"/>
        </w:numPr>
        <w:rPr>
          <w:rFonts w:cstheme="minorHAnsi"/>
          <w:i/>
          <w:iCs/>
        </w:rPr>
      </w:pPr>
      <w:r w:rsidRPr="00C52D28">
        <w:rPr>
          <w:rFonts w:cstheme="minorHAnsi"/>
          <w:i/>
          <w:iCs/>
        </w:rPr>
        <w:t xml:space="preserve">Weekly earnings for individuals </w:t>
      </w:r>
      <w:r>
        <w:rPr>
          <w:rFonts w:cstheme="minorHAnsi"/>
          <w:b/>
          <w:bCs/>
          <w:i/>
          <w:iCs/>
        </w:rPr>
        <w:t>living</w:t>
      </w:r>
      <w:r w:rsidRPr="00C52D28">
        <w:rPr>
          <w:rFonts w:cstheme="minorHAnsi"/>
          <w:i/>
          <w:iCs/>
        </w:rPr>
        <w:t xml:space="preserve"> in Armagh City, Banbridge and Craigavon borough</w:t>
      </w:r>
      <w:r w:rsidR="00C00FFC">
        <w:rPr>
          <w:rFonts w:cstheme="minorHAnsi"/>
          <w:i/>
          <w:iCs/>
        </w:rPr>
        <w:t xml:space="preserve"> and working full-time</w:t>
      </w:r>
      <w:r w:rsidRPr="00C52D28">
        <w:rPr>
          <w:rFonts w:cstheme="minorHAnsi"/>
          <w:i/>
          <w:iCs/>
        </w:rPr>
        <w:t xml:space="preserve"> increased by £</w:t>
      </w:r>
      <w:r w:rsidR="005E2D49">
        <w:rPr>
          <w:rFonts w:cstheme="minorHAnsi"/>
          <w:i/>
          <w:iCs/>
        </w:rPr>
        <w:t>1</w:t>
      </w:r>
      <w:r>
        <w:rPr>
          <w:rFonts w:cstheme="minorHAnsi"/>
          <w:i/>
          <w:iCs/>
        </w:rPr>
        <w:t>9.</w:t>
      </w:r>
      <w:r w:rsidR="000F7CC6">
        <w:rPr>
          <w:rFonts w:cstheme="minorHAnsi"/>
          <w:i/>
          <w:iCs/>
        </w:rPr>
        <w:t>50</w:t>
      </w:r>
      <w:r w:rsidRPr="00C52D28">
        <w:rPr>
          <w:rFonts w:cstheme="minorHAnsi"/>
          <w:i/>
          <w:iCs/>
        </w:rPr>
        <w:t xml:space="preserve"> (</w:t>
      </w:r>
      <w:r w:rsidR="005E2D49">
        <w:rPr>
          <w:rFonts w:cstheme="minorHAnsi"/>
          <w:i/>
          <w:iCs/>
        </w:rPr>
        <w:t>3</w:t>
      </w:r>
      <w:r w:rsidRPr="00C52D28">
        <w:rPr>
          <w:rFonts w:cstheme="minorHAnsi"/>
          <w:i/>
          <w:iCs/>
        </w:rPr>
        <w:t>%) over the year to £</w:t>
      </w:r>
      <w:r w:rsidR="005E2D49">
        <w:rPr>
          <w:rFonts w:cstheme="minorHAnsi"/>
          <w:i/>
          <w:iCs/>
        </w:rPr>
        <w:t>6</w:t>
      </w:r>
      <w:r w:rsidR="00E00F09">
        <w:rPr>
          <w:rFonts w:cstheme="minorHAnsi"/>
          <w:i/>
          <w:iCs/>
        </w:rPr>
        <w:t>71.00</w:t>
      </w:r>
      <w:r w:rsidR="006C1913">
        <w:rPr>
          <w:rFonts w:cstheme="minorHAnsi"/>
          <w:i/>
          <w:iCs/>
        </w:rPr>
        <w:t>.</w:t>
      </w:r>
      <w:r w:rsidRPr="00C52D28">
        <w:rPr>
          <w:rFonts w:cstheme="minorHAnsi"/>
          <w:i/>
          <w:iCs/>
        </w:rPr>
        <w:t xml:space="preserve"> </w:t>
      </w:r>
      <w:r w:rsidR="005E2D49">
        <w:rPr>
          <w:rFonts w:cstheme="minorHAnsi"/>
          <w:i/>
          <w:iCs/>
        </w:rPr>
        <w:t xml:space="preserve">  Again, t</w:t>
      </w:r>
      <w:r w:rsidRPr="00C52D28">
        <w:rPr>
          <w:rFonts w:cstheme="minorHAnsi"/>
          <w:i/>
          <w:iCs/>
        </w:rPr>
        <w:t xml:space="preserve">his is the </w:t>
      </w:r>
      <w:r w:rsidR="00E00F09">
        <w:rPr>
          <w:rFonts w:cstheme="minorHAnsi"/>
          <w:i/>
          <w:iCs/>
        </w:rPr>
        <w:t>fifth</w:t>
      </w:r>
      <w:r w:rsidRPr="00C52D28">
        <w:rPr>
          <w:rFonts w:cstheme="minorHAnsi"/>
          <w:i/>
          <w:iCs/>
        </w:rPr>
        <w:t xml:space="preserve"> consecutive annual increase.  </w:t>
      </w:r>
    </w:p>
    <w:p w14:paraId="193954DB" w14:textId="5E92E201" w:rsidR="00C102D3" w:rsidRPr="00545A12" w:rsidRDefault="00C52D28" w:rsidP="00C102D3">
      <w:pPr>
        <w:pStyle w:val="ListParagraph"/>
        <w:numPr>
          <w:ilvl w:val="0"/>
          <w:numId w:val="1"/>
        </w:numPr>
        <w:rPr>
          <w:rFonts w:cstheme="minorHAnsi"/>
          <w:i/>
          <w:iCs/>
        </w:rPr>
      </w:pPr>
      <w:r w:rsidRPr="00545A12">
        <w:rPr>
          <w:rFonts w:cstheme="minorHAnsi"/>
          <w:i/>
          <w:iCs/>
        </w:rPr>
        <w:t xml:space="preserve">2023 </w:t>
      </w:r>
      <w:r w:rsidR="00D76D6D">
        <w:rPr>
          <w:rFonts w:cstheme="minorHAnsi"/>
          <w:i/>
          <w:iCs/>
        </w:rPr>
        <w:t>wa</w:t>
      </w:r>
      <w:r w:rsidRPr="00545A12">
        <w:rPr>
          <w:rFonts w:cstheme="minorHAnsi"/>
          <w:i/>
          <w:iCs/>
        </w:rPr>
        <w:t>s the first</w:t>
      </w:r>
      <w:r w:rsidR="00D76D6D">
        <w:rPr>
          <w:rFonts w:cstheme="minorHAnsi"/>
          <w:i/>
          <w:iCs/>
        </w:rPr>
        <w:t xml:space="preserve"> date</w:t>
      </w:r>
      <w:r w:rsidR="00C102D3" w:rsidRPr="00545A12">
        <w:rPr>
          <w:rFonts w:cstheme="minorHAnsi"/>
          <w:i/>
          <w:iCs/>
        </w:rPr>
        <w:t xml:space="preserve"> that the average </w:t>
      </w:r>
      <w:r w:rsidR="00545A12" w:rsidRPr="00545A12">
        <w:rPr>
          <w:rFonts w:cstheme="minorHAnsi"/>
          <w:b/>
          <w:bCs/>
          <w:i/>
          <w:iCs/>
        </w:rPr>
        <w:t>full-time</w:t>
      </w:r>
      <w:r w:rsidR="00545A12" w:rsidRPr="00545A12">
        <w:rPr>
          <w:rFonts w:cstheme="minorHAnsi"/>
          <w:i/>
          <w:iCs/>
        </w:rPr>
        <w:t xml:space="preserve"> </w:t>
      </w:r>
      <w:r w:rsidR="00C102D3" w:rsidRPr="00545A12">
        <w:rPr>
          <w:rFonts w:cstheme="minorHAnsi"/>
          <w:i/>
          <w:iCs/>
        </w:rPr>
        <w:t>weekly earnings of residents</w:t>
      </w:r>
      <w:r w:rsidR="00D8336A" w:rsidRPr="00545A12">
        <w:rPr>
          <w:rFonts w:cstheme="minorHAnsi"/>
          <w:i/>
          <w:iCs/>
        </w:rPr>
        <w:t xml:space="preserve"> in Armagh City, Banbridge and Craigavon borough</w:t>
      </w:r>
      <w:r w:rsidR="00C102D3" w:rsidRPr="00545A12">
        <w:rPr>
          <w:rFonts w:cstheme="minorHAnsi"/>
          <w:i/>
          <w:iCs/>
        </w:rPr>
        <w:t xml:space="preserve"> were less than the average weekly earnings of those working in the borough.  </w:t>
      </w:r>
      <w:r w:rsidR="00F635CF">
        <w:rPr>
          <w:rFonts w:cstheme="minorHAnsi"/>
          <w:i/>
          <w:iCs/>
        </w:rPr>
        <w:t xml:space="preserve">2025 is now the second date that the average </w:t>
      </w:r>
      <w:r w:rsidR="00F635CF">
        <w:rPr>
          <w:rFonts w:cstheme="minorHAnsi"/>
          <w:b/>
          <w:bCs/>
          <w:i/>
          <w:iCs/>
        </w:rPr>
        <w:t>full-time</w:t>
      </w:r>
      <w:r w:rsidR="00F635CF">
        <w:t xml:space="preserve"> weekly earning of residents in Armagh City, Banbridge and Craigavon borough were less than the average weekly earnings of those working in the borough</w:t>
      </w:r>
      <w:r w:rsidR="00F635CF">
        <w:rPr>
          <w:rFonts w:cstheme="minorHAnsi"/>
          <w:i/>
          <w:iCs/>
        </w:rPr>
        <w:t xml:space="preserve">. </w:t>
      </w:r>
      <w:r w:rsidR="00D76D6D">
        <w:rPr>
          <w:rFonts w:cstheme="minorHAnsi"/>
          <w:i/>
          <w:iCs/>
        </w:rPr>
        <w:t xml:space="preserve"> </w:t>
      </w:r>
      <w:r w:rsidR="00F635CF">
        <w:rPr>
          <w:rFonts w:cstheme="minorHAnsi"/>
          <w:i/>
          <w:iCs/>
        </w:rPr>
        <w:t>T</w:t>
      </w:r>
      <w:r w:rsidR="00D76D6D">
        <w:rPr>
          <w:rFonts w:cstheme="minorHAnsi"/>
          <w:i/>
          <w:iCs/>
        </w:rPr>
        <w:t xml:space="preserve">he full-time weekly earnings of those </w:t>
      </w:r>
      <w:r w:rsidR="00F635CF">
        <w:rPr>
          <w:rFonts w:cstheme="minorHAnsi"/>
          <w:i/>
          <w:iCs/>
        </w:rPr>
        <w:t>living</w:t>
      </w:r>
      <w:r w:rsidR="00D76D6D">
        <w:rPr>
          <w:rFonts w:cstheme="minorHAnsi"/>
          <w:i/>
          <w:iCs/>
        </w:rPr>
        <w:t xml:space="preserve"> in the borough</w:t>
      </w:r>
      <w:r w:rsidR="00F635CF">
        <w:rPr>
          <w:rFonts w:cstheme="minorHAnsi"/>
          <w:i/>
          <w:iCs/>
        </w:rPr>
        <w:t xml:space="preserve"> </w:t>
      </w:r>
      <w:r w:rsidR="00D76D6D">
        <w:rPr>
          <w:rFonts w:cstheme="minorHAnsi"/>
          <w:i/>
          <w:iCs/>
        </w:rPr>
        <w:t>was approximately £4.</w:t>
      </w:r>
      <w:r w:rsidR="00995CFC">
        <w:rPr>
          <w:rFonts w:cstheme="minorHAnsi"/>
          <w:i/>
          <w:iCs/>
        </w:rPr>
        <w:t>3</w:t>
      </w:r>
      <w:r w:rsidR="00D76D6D">
        <w:rPr>
          <w:rFonts w:cstheme="minorHAnsi"/>
          <w:i/>
          <w:iCs/>
        </w:rPr>
        <w:t xml:space="preserve">0 less than those </w:t>
      </w:r>
      <w:r w:rsidR="00F635CF">
        <w:rPr>
          <w:rFonts w:cstheme="minorHAnsi"/>
          <w:i/>
          <w:iCs/>
        </w:rPr>
        <w:t>working</w:t>
      </w:r>
      <w:r w:rsidR="00D76D6D">
        <w:rPr>
          <w:rFonts w:cstheme="minorHAnsi"/>
          <w:i/>
          <w:iCs/>
        </w:rPr>
        <w:t xml:space="preserve"> in the borough.  </w:t>
      </w:r>
    </w:p>
    <w:tbl>
      <w:tblPr>
        <w:tblpPr w:leftFromText="180" w:rightFromText="180" w:vertAnchor="text" w:tblpY="1"/>
        <w:tblOverlap w:val="never"/>
        <w:tblW w:w="7580" w:type="dxa"/>
        <w:tblLook w:val="04A0" w:firstRow="1" w:lastRow="0" w:firstColumn="1" w:lastColumn="0" w:noHBand="0" w:noVBand="1"/>
        <w:tblCaption w:val="Table 1:  Median gross annual pay in Armagh City, Banbridge and Craigavon Borough and Northern Ireland in 2022 by gender and employment type. Source: Annual Survey of Hours and Earnings, NISRA. Note: The colour coding within the tables indicates the quality of each estimate based on the coefficient of variation (CV) of that estimate. The reliability of these estimates is illustrated in the Key.  "/>
      </w:tblPr>
      <w:tblGrid>
        <w:gridCol w:w="1900"/>
        <w:gridCol w:w="1420"/>
        <w:gridCol w:w="1420"/>
        <w:gridCol w:w="1420"/>
        <w:gridCol w:w="1420"/>
      </w:tblGrid>
      <w:tr w:rsidR="00C52D28" w:rsidRPr="00814B33" w14:paraId="7BA0F711" w14:textId="1A96DFEA" w:rsidTr="00C52D28">
        <w:trPr>
          <w:trHeight w:val="615"/>
        </w:trPr>
        <w:tc>
          <w:tcPr>
            <w:tcW w:w="19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FB60084" w14:textId="77777777" w:rsidR="00C52D28" w:rsidRPr="00814B33" w:rsidRDefault="00C52D28" w:rsidP="00814B33">
            <w:pPr>
              <w:spacing w:after="0" w:line="240" w:lineRule="auto"/>
              <w:rPr>
                <w:rFonts w:ascii="Calibri" w:eastAsia="Times New Roman" w:hAnsi="Calibri" w:cs="Calibri"/>
                <w:b/>
                <w:bCs/>
                <w:lang w:eastAsia="en-GB"/>
              </w:rPr>
            </w:pPr>
            <w:r w:rsidRPr="00814B33">
              <w:rPr>
                <w:rFonts w:ascii="Calibri" w:eastAsia="Times New Roman" w:hAnsi="Calibri" w:cs="Calibri"/>
                <w:b/>
                <w:bCs/>
                <w:lang w:eastAsia="en-GB"/>
              </w:rPr>
              <w:t> </w:t>
            </w:r>
          </w:p>
        </w:tc>
        <w:tc>
          <w:tcPr>
            <w:tcW w:w="1420" w:type="dxa"/>
            <w:tcBorders>
              <w:top w:val="single" w:sz="8" w:space="0" w:color="auto"/>
              <w:left w:val="nil"/>
              <w:bottom w:val="single" w:sz="8" w:space="0" w:color="auto"/>
              <w:right w:val="single" w:sz="8" w:space="0" w:color="auto"/>
            </w:tcBorders>
            <w:vAlign w:val="center"/>
            <w:hideMark/>
          </w:tcPr>
          <w:p w14:paraId="743E823F" w14:textId="77777777" w:rsidR="00C52D28" w:rsidRPr="00814B33" w:rsidRDefault="00C52D28" w:rsidP="00814B33">
            <w:pPr>
              <w:spacing w:after="0" w:line="240" w:lineRule="auto"/>
              <w:jc w:val="center"/>
              <w:rPr>
                <w:rFonts w:ascii="Calibri" w:eastAsia="Times New Roman" w:hAnsi="Calibri" w:cs="Calibri"/>
                <w:b/>
                <w:bCs/>
                <w:lang w:eastAsia="en-GB"/>
              </w:rPr>
            </w:pPr>
            <w:r w:rsidRPr="00814B33">
              <w:rPr>
                <w:rFonts w:ascii="Calibri" w:eastAsia="Times New Roman" w:hAnsi="Calibri" w:cs="Calibri"/>
                <w:b/>
                <w:bCs/>
                <w:lang w:eastAsia="en-GB"/>
              </w:rPr>
              <w:t>Resident of ABC (£)</w:t>
            </w:r>
          </w:p>
        </w:tc>
        <w:tc>
          <w:tcPr>
            <w:tcW w:w="1420" w:type="dxa"/>
            <w:tcBorders>
              <w:top w:val="single" w:sz="8" w:space="0" w:color="auto"/>
              <w:left w:val="nil"/>
              <w:bottom w:val="single" w:sz="8" w:space="0" w:color="auto"/>
              <w:right w:val="single" w:sz="8" w:space="0" w:color="auto"/>
            </w:tcBorders>
            <w:vAlign w:val="center"/>
            <w:hideMark/>
          </w:tcPr>
          <w:p w14:paraId="1D1790DE" w14:textId="77777777" w:rsidR="00C52D28" w:rsidRPr="00814B33" w:rsidRDefault="00C52D28" w:rsidP="00814B33">
            <w:pPr>
              <w:spacing w:after="0" w:line="240" w:lineRule="auto"/>
              <w:jc w:val="center"/>
              <w:rPr>
                <w:rFonts w:ascii="Calibri" w:eastAsia="Times New Roman" w:hAnsi="Calibri" w:cs="Calibri"/>
                <w:b/>
                <w:bCs/>
                <w:lang w:eastAsia="en-GB"/>
              </w:rPr>
            </w:pPr>
            <w:r w:rsidRPr="00814B33">
              <w:rPr>
                <w:rFonts w:ascii="Calibri" w:eastAsia="Times New Roman" w:hAnsi="Calibri" w:cs="Calibri"/>
                <w:b/>
                <w:bCs/>
                <w:lang w:eastAsia="en-GB"/>
              </w:rPr>
              <w:t xml:space="preserve">Working </w:t>
            </w:r>
            <w:proofErr w:type="gramStart"/>
            <w:r w:rsidRPr="00814B33">
              <w:rPr>
                <w:rFonts w:ascii="Calibri" w:eastAsia="Times New Roman" w:hAnsi="Calibri" w:cs="Calibri"/>
                <w:b/>
                <w:bCs/>
                <w:lang w:eastAsia="en-GB"/>
              </w:rPr>
              <w:t>in  ABC</w:t>
            </w:r>
            <w:proofErr w:type="gramEnd"/>
            <w:r w:rsidRPr="00814B33">
              <w:rPr>
                <w:rFonts w:ascii="Calibri" w:eastAsia="Times New Roman" w:hAnsi="Calibri" w:cs="Calibri"/>
                <w:b/>
                <w:bCs/>
                <w:lang w:eastAsia="en-GB"/>
              </w:rPr>
              <w:t xml:space="preserve"> (£)</w:t>
            </w:r>
          </w:p>
        </w:tc>
        <w:tc>
          <w:tcPr>
            <w:tcW w:w="1420" w:type="dxa"/>
            <w:tcBorders>
              <w:top w:val="single" w:sz="8" w:space="0" w:color="auto"/>
              <w:left w:val="nil"/>
              <w:bottom w:val="single" w:sz="8" w:space="0" w:color="auto"/>
              <w:right w:val="single" w:sz="8" w:space="0" w:color="auto"/>
            </w:tcBorders>
            <w:vAlign w:val="center"/>
            <w:hideMark/>
          </w:tcPr>
          <w:p w14:paraId="2C1D505E" w14:textId="77777777" w:rsidR="00C52D28" w:rsidRPr="00814B33" w:rsidRDefault="00C52D28" w:rsidP="00814B33">
            <w:pPr>
              <w:spacing w:after="0" w:line="240" w:lineRule="auto"/>
              <w:jc w:val="center"/>
              <w:rPr>
                <w:rFonts w:ascii="Calibri" w:eastAsia="Times New Roman" w:hAnsi="Calibri" w:cs="Calibri"/>
                <w:b/>
                <w:bCs/>
                <w:lang w:eastAsia="en-GB"/>
              </w:rPr>
            </w:pPr>
            <w:r w:rsidRPr="00814B33">
              <w:rPr>
                <w:rFonts w:ascii="Calibri" w:eastAsia="Times New Roman" w:hAnsi="Calibri" w:cs="Calibri"/>
                <w:b/>
                <w:bCs/>
                <w:lang w:eastAsia="en-GB"/>
              </w:rPr>
              <w:t>Northern Ireland (£)</w:t>
            </w:r>
          </w:p>
        </w:tc>
        <w:tc>
          <w:tcPr>
            <w:tcW w:w="1420" w:type="dxa"/>
            <w:tcBorders>
              <w:top w:val="single" w:sz="8" w:space="0" w:color="auto"/>
              <w:left w:val="nil"/>
              <w:bottom w:val="single" w:sz="8" w:space="0" w:color="auto"/>
              <w:right w:val="single" w:sz="8" w:space="0" w:color="auto"/>
            </w:tcBorders>
          </w:tcPr>
          <w:p w14:paraId="2918C4A3" w14:textId="0F8A577C" w:rsidR="00C52D28" w:rsidRPr="00814B33" w:rsidRDefault="00C52D28" w:rsidP="00814B33">
            <w:pPr>
              <w:spacing w:after="0" w:line="240" w:lineRule="auto"/>
              <w:jc w:val="center"/>
              <w:rPr>
                <w:rFonts w:ascii="Calibri" w:eastAsia="Times New Roman" w:hAnsi="Calibri" w:cs="Calibri"/>
                <w:b/>
                <w:bCs/>
                <w:lang w:eastAsia="en-GB"/>
              </w:rPr>
            </w:pPr>
            <w:r>
              <w:rPr>
                <w:rFonts w:ascii="Calibri" w:eastAsia="Times New Roman" w:hAnsi="Calibri" w:cs="Calibri"/>
                <w:b/>
                <w:bCs/>
                <w:lang w:eastAsia="en-GB"/>
              </w:rPr>
              <w:t>United Kingdom (£)</w:t>
            </w:r>
          </w:p>
        </w:tc>
      </w:tr>
      <w:tr w:rsidR="005E2D49" w:rsidRPr="00814B33" w14:paraId="2425B44F" w14:textId="363C76A2" w:rsidTr="00006B9F">
        <w:trPr>
          <w:trHeight w:val="315"/>
        </w:trPr>
        <w:tc>
          <w:tcPr>
            <w:tcW w:w="1900" w:type="dxa"/>
            <w:tcBorders>
              <w:top w:val="nil"/>
              <w:left w:val="single" w:sz="8" w:space="0" w:color="auto"/>
              <w:bottom w:val="single" w:sz="8" w:space="0" w:color="auto"/>
              <w:right w:val="single" w:sz="8" w:space="0" w:color="auto"/>
            </w:tcBorders>
            <w:shd w:val="clear" w:color="000000" w:fill="FFFFFF"/>
            <w:vAlign w:val="center"/>
            <w:hideMark/>
          </w:tcPr>
          <w:p w14:paraId="69334DF8" w14:textId="77777777" w:rsidR="005E2D49" w:rsidRPr="00814B33" w:rsidRDefault="005E2D49" w:rsidP="005E2D49">
            <w:pPr>
              <w:spacing w:after="0" w:line="240" w:lineRule="auto"/>
              <w:rPr>
                <w:rFonts w:ascii="Arial" w:eastAsia="Times New Roman" w:hAnsi="Arial" w:cs="Arial"/>
                <w:b/>
                <w:bCs/>
                <w:sz w:val="18"/>
                <w:szCs w:val="18"/>
                <w:lang w:eastAsia="en-GB"/>
              </w:rPr>
            </w:pPr>
            <w:r w:rsidRPr="00814B33">
              <w:rPr>
                <w:rFonts w:ascii="Arial" w:eastAsia="Times New Roman" w:hAnsi="Arial" w:cs="Arial"/>
                <w:b/>
                <w:bCs/>
                <w:sz w:val="18"/>
                <w:szCs w:val="18"/>
                <w:lang w:eastAsia="en-GB"/>
              </w:rPr>
              <w:t>All</w:t>
            </w:r>
          </w:p>
        </w:tc>
        <w:tc>
          <w:tcPr>
            <w:tcW w:w="1420" w:type="dxa"/>
            <w:tcBorders>
              <w:top w:val="nil"/>
              <w:left w:val="nil"/>
              <w:bottom w:val="single" w:sz="8" w:space="0" w:color="auto"/>
              <w:right w:val="single" w:sz="8" w:space="0" w:color="auto"/>
            </w:tcBorders>
            <w:noWrap/>
            <w:vAlign w:val="center"/>
          </w:tcPr>
          <w:p w14:paraId="70431A9A" w14:textId="37BFD730" w:rsidR="005E2D49" w:rsidRPr="00C102D3" w:rsidRDefault="00E47D93" w:rsidP="005E2D49">
            <w:pPr>
              <w:spacing w:after="0" w:line="240" w:lineRule="auto"/>
              <w:jc w:val="center"/>
              <w:rPr>
                <w:rFonts w:ascii="Calibri" w:eastAsia="Times New Roman" w:hAnsi="Calibri" w:cs="Calibri"/>
                <w:lang w:eastAsia="en-GB"/>
              </w:rPr>
            </w:pPr>
            <w:r>
              <w:rPr>
                <w:rFonts w:ascii="Calibri" w:hAnsi="Calibri" w:cs="Calibri"/>
                <w:color w:val="000000"/>
              </w:rPr>
              <w:t>5</w:t>
            </w:r>
            <w:r w:rsidR="00B44C19">
              <w:rPr>
                <w:rFonts w:ascii="Calibri" w:hAnsi="Calibri" w:cs="Calibri"/>
                <w:color w:val="000000"/>
              </w:rPr>
              <w:t>76</w:t>
            </w:r>
            <w:r w:rsidR="00F82B43">
              <w:rPr>
                <w:rFonts w:ascii="Calibri" w:hAnsi="Calibri" w:cs="Calibri"/>
                <w:color w:val="000000"/>
              </w:rPr>
              <w:t>.60</w:t>
            </w:r>
          </w:p>
        </w:tc>
        <w:tc>
          <w:tcPr>
            <w:tcW w:w="1420" w:type="dxa"/>
            <w:tcBorders>
              <w:top w:val="nil"/>
              <w:left w:val="nil"/>
              <w:bottom w:val="single" w:sz="8" w:space="0" w:color="auto"/>
              <w:right w:val="single" w:sz="8" w:space="0" w:color="auto"/>
            </w:tcBorders>
            <w:noWrap/>
            <w:vAlign w:val="center"/>
          </w:tcPr>
          <w:p w14:paraId="59607B48" w14:textId="3F8E78DE" w:rsidR="005E2D49" w:rsidRPr="00C102D3" w:rsidRDefault="00A20069" w:rsidP="005E2D49">
            <w:pPr>
              <w:spacing w:after="0" w:line="240" w:lineRule="auto"/>
              <w:jc w:val="center"/>
              <w:rPr>
                <w:rFonts w:ascii="Calibri" w:eastAsia="Times New Roman" w:hAnsi="Calibri" w:cs="Calibri"/>
                <w:lang w:eastAsia="en-GB"/>
              </w:rPr>
            </w:pPr>
            <w:r>
              <w:rPr>
                <w:rFonts w:ascii="Calibri" w:hAnsi="Calibri" w:cs="Calibri"/>
                <w:color w:val="000000"/>
              </w:rPr>
              <w:t>559.10</w:t>
            </w:r>
          </w:p>
        </w:tc>
        <w:tc>
          <w:tcPr>
            <w:tcW w:w="1420" w:type="dxa"/>
            <w:tcBorders>
              <w:top w:val="nil"/>
              <w:left w:val="nil"/>
              <w:bottom w:val="single" w:sz="8" w:space="0" w:color="auto"/>
              <w:right w:val="single" w:sz="8" w:space="0" w:color="auto"/>
            </w:tcBorders>
            <w:vAlign w:val="center"/>
          </w:tcPr>
          <w:p w14:paraId="65666460" w14:textId="763D3DDA" w:rsidR="005E2D49" w:rsidRPr="00C102D3" w:rsidRDefault="008D437D" w:rsidP="005E2D49">
            <w:pPr>
              <w:spacing w:after="0" w:line="240" w:lineRule="auto"/>
              <w:jc w:val="center"/>
              <w:rPr>
                <w:rFonts w:ascii="Calibri" w:eastAsia="Times New Roman" w:hAnsi="Calibri" w:cs="Calibri"/>
                <w:lang w:eastAsia="en-GB"/>
              </w:rPr>
            </w:pPr>
            <w:r>
              <w:rPr>
                <w:rFonts w:ascii="Calibri" w:hAnsi="Calibri" w:cs="Calibri"/>
                <w:color w:val="000000"/>
              </w:rPr>
              <w:t>591.90</w:t>
            </w:r>
          </w:p>
        </w:tc>
        <w:tc>
          <w:tcPr>
            <w:tcW w:w="1420" w:type="dxa"/>
            <w:tcBorders>
              <w:top w:val="nil"/>
              <w:left w:val="nil"/>
              <w:bottom w:val="single" w:sz="8" w:space="0" w:color="auto"/>
              <w:right w:val="single" w:sz="8" w:space="0" w:color="auto"/>
            </w:tcBorders>
            <w:vAlign w:val="center"/>
          </w:tcPr>
          <w:p w14:paraId="48A00163" w14:textId="269C591D" w:rsidR="005E2D49" w:rsidRPr="00C102D3" w:rsidRDefault="00FC5E67" w:rsidP="005E2D49">
            <w:pPr>
              <w:spacing w:after="0" w:line="240" w:lineRule="auto"/>
              <w:jc w:val="center"/>
              <w:rPr>
                <w:rFonts w:ascii="Calibri" w:eastAsia="Times New Roman" w:hAnsi="Calibri" w:cs="Calibri"/>
                <w:lang w:eastAsia="en-GB"/>
              </w:rPr>
            </w:pPr>
            <w:r>
              <w:rPr>
                <w:rFonts w:ascii="Calibri" w:eastAsia="Times New Roman" w:hAnsi="Calibri" w:cs="Calibri"/>
                <w:lang w:eastAsia="en-GB"/>
              </w:rPr>
              <w:t>642.50</w:t>
            </w:r>
          </w:p>
        </w:tc>
      </w:tr>
      <w:tr w:rsidR="005E2D49" w:rsidRPr="00814B33" w14:paraId="138976FC" w14:textId="3D621951" w:rsidTr="00006B9F">
        <w:trPr>
          <w:trHeight w:val="315"/>
        </w:trPr>
        <w:tc>
          <w:tcPr>
            <w:tcW w:w="1900" w:type="dxa"/>
            <w:tcBorders>
              <w:top w:val="nil"/>
              <w:left w:val="single" w:sz="8" w:space="0" w:color="auto"/>
              <w:bottom w:val="single" w:sz="8" w:space="0" w:color="auto"/>
              <w:right w:val="single" w:sz="8" w:space="0" w:color="auto"/>
            </w:tcBorders>
            <w:shd w:val="clear" w:color="000000" w:fill="FFFFFF"/>
            <w:vAlign w:val="center"/>
            <w:hideMark/>
          </w:tcPr>
          <w:p w14:paraId="5582F0B9" w14:textId="77777777" w:rsidR="005E2D49" w:rsidRPr="00814B33" w:rsidRDefault="005E2D49" w:rsidP="005E2D49">
            <w:pPr>
              <w:spacing w:after="0" w:line="240" w:lineRule="auto"/>
              <w:rPr>
                <w:rFonts w:ascii="Arial" w:eastAsia="Times New Roman" w:hAnsi="Arial" w:cs="Arial"/>
                <w:b/>
                <w:bCs/>
                <w:sz w:val="18"/>
                <w:szCs w:val="18"/>
                <w:lang w:eastAsia="en-GB"/>
              </w:rPr>
            </w:pPr>
            <w:r w:rsidRPr="00814B33">
              <w:rPr>
                <w:rFonts w:ascii="Arial" w:eastAsia="Times New Roman" w:hAnsi="Arial" w:cs="Arial"/>
                <w:b/>
                <w:bCs/>
                <w:sz w:val="18"/>
                <w:szCs w:val="18"/>
                <w:lang w:eastAsia="en-GB"/>
              </w:rPr>
              <w:t> </w:t>
            </w:r>
          </w:p>
        </w:tc>
        <w:tc>
          <w:tcPr>
            <w:tcW w:w="1420" w:type="dxa"/>
            <w:tcBorders>
              <w:top w:val="nil"/>
              <w:left w:val="nil"/>
              <w:bottom w:val="single" w:sz="8" w:space="0" w:color="auto"/>
              <w:right w:val="single" w:sz="8" w:space="0" w:color="auto"/>
            </w:tcBorders>
            <w:noWrap/>
            <w:vAlign w:val="center"/>
          </w:tcPr>
          <w:p w14:paraId="1B59C1A0" w14:textId="42EF7C7B" w:rsidR="005E2D49" w:rsidRPr="00C102D3" w:rsidRDefault="005E2D49" w:rsidP="005E2D49">
            <w:pPr>
              <w:spacing w:after="0" w:line="240" w:lineRule="auto"/>
              <w:jc w:val="center"/>
              <w:rPr>
                <w:rFonts w:ascii="Calibri" w:eastAsia="Times New Roman" w:hAnsi="Calibri" w:cs="Calibri"/>
                <w:lang w:eastAsia="en-GB"/>
              </w:rPr>
            </w:pPr>
            <w:r>
              <w:rPr>
                <w:rFonts w:ascii="Calibri" w:hAnsi="Calibri" w:cs="Calibri"/>
                <w:color w:val="000000"/>
              </w:rPr>
              <w:t> </w:t>
            </w:r>
          </w:p>
        </w:tc>
        <w:tc>
          <w:tcPr>
            <w:tcW w:w="1420" w:type="dxa"/>
            <w:tcBorders>
              <w:top w:val="nil"/>
              <w:left w:val="nil"/>
              <w:bottom w:val="single" w:sz="8" w:space="0" w:color="auto"/>
              <w:right w:val="single" w:sz="8" w:space="0" w:color="auto"/>
            </w:tcBorders>
            <w:noWrap/>
            <w:vAlign w:val="center"/>
          </w:tcPr>
          <w:p w14:paraId="5D65D77D" w14:textId="7887459C" w:rsidR="005E2D49" w:rsidRPr="00C102D3" w:rsidRDefault="005E2D49" w:rsidP="005E2D49">
            <w:pPr>
              <w:spacing w:after="0" w:line="240" w:lineRule="auto"/>
              <w:jc w:val="center"/>
              <w:rPr>
                <w:rFonts w:ascii="Calibri" w:eastAsia="Times New Roman" w:hAnsi="Calibri" w:cs="Calibri"/>
                <w:lang w:eastAsia="en-GB"/>
              </w:rPr>
            </w:pPr>
            <w:r>
              <w:rPr>
                <w:rFonts w:ascii="Calibri" w:hAnsi="Calibri" w:cs="Calibri"/>
                <w:color w:val="000000"/>
              </w:rPr>
              <w:t> </w:t>
            </w:r>
          </w:p>
        </w:tc>
        <w:tc>
          <w:tcPr>
            <w:tcW w:w="1420" w:type="dxa"/>
            <w:tcBorders>
              <w:top w:val="nil"/>
              <w:left w:val="nil"/>
              <w:bottom w:val="single" w:sz="8" w:space="0" w:color="auto"/>
              <w:right w:val="single" w:sz="8" w:space="0" w:color="auto"/>
            </w:tcBorders>
            <w:vAlign w:val="center"/>
          </w:tcPr>
          <w:p w14:paraId="2708B160" w14:textId="78866416" w:rsidR="005E2D49" w:rsidRPr="00C102D3" w:rsidRDefault="005E2D49" w:rsidP="005E2D49">
            <w:pPr>
              <w:spacing w:after="0" w:line="240" w:lineRule="auto"/>
              <w:jc w:val="center"/>
              <w:rPr>
                <w:rFonts w:ascii="Calibri" w:eastAsia="Times New Roman" w:hAnsi="Calibri" w:cs="Calibri"/>
                <w:lang w:eastAsia="en-GB"/>
              </w:rPr>
            </w:pPr>
            <w:r>
              <w:rPr>
                <w:rFonts w:ascii="Calibri" w:hAnsi="Calibri" w:cs="Calibri"/>
                <w:color w:val="000000"/>
              </w:rPr>
              <w:t> </w:t>
            </w:r>
          </w:p>
        </w:tc>
        <w:tc>
          <w:tcPr>
            <w:tcW w:w="1420" w:type="dxa"/>
            <w:tcBorders>
              <w:top w:val="nil"/>
              <w:left w:val="nil"/>
              <w:bottom w:val="single" w:sz="8" w:space="0" w:color="auto"/>
              <w:right w:val="single" w:sz="8" w:space="0" w:color="auto"/>
            </w:tcBorders>
            <w:vAlign w:val="center"/>
          </w:tcPr>
          <w:p w14:paraId="777216E8" w14:textId="56BA87EB" w:rsidR="005E2D49" w:rsidRPr="00C102D3" w:rsidRDefault="005E2D49" w:rsidP="005E2D49">
            <w:pPr>
              <w:spacing w:after="0" w:line="240" w:lineRule="auto"/>
              <w:jc w:val="center"/>
              <w:rPr>
                <w:rFonts w:ascii="Calibri" w:eastAsia="Times New Roman" w:hAnsi="Calibri" w:cs="Calibri"/>
                <w:lang w:eastAsia="en-GB"/>
              </w:rPr>
            </w:pPr>
            <w:r>
              <w:rPr>
                <w:rFonts w:ascii="Calibri" w:hAnsi="Calibri" w:cs="Calibri"/>
                <w:color w:val="000000"/>
              </w:rPr>
              <w:t> </w:t>
            </w:r>
          </w:p>
        </w:tc>
      </w:tr>
      <w:tr w:rsidR="005E2D49" w:rsidRPr="00814B33" w14:paraId="525780D0" w14:textId="6EE5C45B" w:rsidTr="005E2D49">
        <w:trPr>
          <w:trHeight w:val="315"/>
        </w:trPr>
        <w:tc>
          <w:tcPr>
            <w:tcW w:w="1900" w:type="dxa"/>
            <w:tcBorders>
              <w:top w:val="nil"/>
              <w:left w:val="single" w:sz="8" w:space="0" w:color="auto"/>
              <w:bottom w:val="single" w:sz="8" w:space="0" w:color="auto"/>
              <w:right w:val="single" w:sz="8" w:space="0" w:color="auto"/>
            </w:tcBorders>
            <w:shd w:val="clear" w:color="000000" w:fill="FFFFFF"/>
            <w:vAlign w:val="center"/>
            <w:hideMark/>
          </w:tcPr>
          <w:p w14:paraId="1BA6637C" w14:textId="77777777" w:rsidR="005E2D49" w:rsidRPr="00814B33" w:rsidRDefault="005E2D49" w:rsidP="005E2D49">
            <w:pPr>
              <w:spacing w:after="0" w:line="240" w:lineRule="auto"/>
              <w:rPr>
                <w:rFonts w:ascii="Arial" w:eastAsia="Times New Roman" w:hAnsi="Arial" w:cs="Arial"/>
                <w:b/>
                <w:bCs/>
                <w:sz w:val="18"/>
                <w:szCs w:val="18"/>
                <w:lang w:eastAsia="en-GB"/>
              </w:rPr>
            </w:pPr>
            <w:r w:rsidRPr="00814B33">
              <w:rPr>
                <w:rFonts w:ascii="Arial" w:eastAsia="Times New Roman" w:hAnsi="Arial" w:cs="Arial"/>
                <w:b/>
                <w:bCs/>
                <w:sz w:val="18"/>
                <w:szCs w:val="18"/>
                <w:lang w:eastAsia="en-GB"/>
              </w:rPr>
              <w:t>Male</w:t>
            </w:r>
          </w:p>
        </w:tc>
        <w:tc>
          <w:tcPr>
            <w:tcW w:w="1420" w:type="dxa"/>
            <w:tcBorders>
              <w:top w:val="nil"/>
              <w:left w:val="nil"/>
              <w:bottom w:val="single" w:sz="8" w:space="0" w:color="auto"/>
              <w:right w:val="single" w:sz="8" w:space="0" w:color="auto"/>
            </w:tcBorders>
            <w:noWrap/>
            <w:vAlign w:val="center"/>
          </w:tcPr>
          <w:p w14:paraId="59435FE4" w14:textId="584C621D" w:rsidR="005E2D49" w:rsidRPr="00C102D3" w:rsidRDefault="00E02EE5" w:rsidP="005E2D49">
            <w:pPr>
              <w:spacing w:after="0" w:line="240" w:lineRule="auto"/>
              <w:jc w:val="center"/>
              <w:rPr>
                <w:rFonts w:ascii="Calibri" w:eastAsia="Times New Roman" w:hAnsi="Calibri" w:cs="Calibri"/>
                <w:lang w:eastAsia="en-GB"/>
              </w:rPr>
            </w:pPr>
            <w:r>
              <w:rPr>
                <w:rFonts w:ascii="Calibri" w:hAnsi="Calibri" w:cs="Calibri"/>
                <w:color w:val="000000"/>
              </w:rPr>
              <w:t>645.50</w:t>
            </w:r>
          </w:p>
        </w:tc>
        <w:tc>
          <w:tcPr>
            <w:tcW w:w="1420" w:type="dxa"/>
            <w:tcBorders>
              <w:top w:val="nil"/>
              <w:left w:val="nil"/>
              <w:bottom w:val="single" w:sz="8" w:space="0" w:color="auto"/>
              <w:right w:val="single" w:sz="8" w:space="0" w:color="auto"/>
            </w:tcBorders>
            <w:shd w:val="clear" w:color="auto" w:fill="DEEAF6" w:themeFill="accent1" w:themeFillTint="33"/>
            <w:noWrap/>
            <w:vAlign w:val="center"/>
          </w:tcPr>
          <w:p w14:paraId="08C2917D" w14:textId="7FA4B701" w:rsidR="005E2D49" w:rsidRPr="00C102D3" w:rsidRDefault="00DB185E" w:rsidP="005E2D49">
            <w:pPr>
              <w:spacing w:after="0" w:line="240" w:lineRule="auto"/>
              <w:jc w:val="center"/>
              <w:rPr>
                <w:rFonts w:ascii="Calibri" w:eastAsia="Times New Roman" w:hAnsi="Calibri" w:cs="Calibri"/>
                <w:lang w:eastAsia="en-GB"/>
              </w:rPr>
            </w:pPr>
            <w:r>
              <w:rPr>
                <w:rFonts w:ascii="Calibri" w:hAnsi="Calibri" w:cs="Calibri"/>
                <w:color w:val="000000"/>
              </w:rPr>
              <w:t>635</w:t>
            </w:r>
            <w:r w:rsidR="009B1046">
              <w:rPr>
                <w:rFonts w:ascii="Calibri" w:hAnsi="Calibri" w:cs="Calibri"/>
                <w:color w:val="000000"/>
              </w:rPr>
              <w:t>.20</w:t>
            </w:r>
          </w:p>
        </w:tc>
        <w:tc>
          <w:tcPr>
            <w:tcW w:w="1420" w:type="dxa"/>
            <w:tcBorders>
              <w:top w:val="nil"/>
              <w:left w:val="nil"/>
              <w:bottom w:val="single" w:sz="8" w:space="0" w:color="auto"/>
              <w:right w:val="single" w:sz="8" w:space="0" w:color="auto"/>
            </w:tcBorders>
            <w:vAlign w:val="center"/>
          </w:tcPr>
          <w:p w14:paraId="2B540BDA" w14:textId="226501A3" w:rsidR="005E2D49" w:rsidRPr="00C102D3" w:rsidRDefault="00540201" w:rsidP="005E2D49">
            <w:pPr>
              <w:spacing w:after="0" w:line="240" w:lineRule="auto"/>
              <w:jc w:val="center"/>
              <w:rPr>
                <w:rFonts w:ascii="Calibri" w:eastAsia="Times New Roman" w:hAnsi="Calibri" w:cs="Calibri"/>
                <w:lang w:eastAsia="en-GB"/>
              </w:rPr>
            </w:pPr>
            <w:r>
              <w:rPr>
                <w:rFonts w:ascii="Calibri" w:hAnsi="Calibri" w:cs="Calibri"/>
                <w:color w:val="000000"/>
              </w:rPr>
              <w:t>674.00</w:t>
            </w:r>
          </w:p>
        </w:tc>
        <w:tc>
          <w:tcPr>
            <w:tcW w:w="1420" w:type="dxa"/>
            <w:tcBorders>
              <w:top w:val="nil"/>
              <w:left w:val="nil"/>
              <w:bottom w:val="single" w:sz="8" w:space="0" w:color="auto"/>
              <w:right w:val="single" w:sz="8" w:space="0" w:color="auto"/>
            </w:tcBorders>
            <w:vAlign w:val="center"/>
          </w:tcPr>
          <w:p w14:paraId="7FAABD7B" w14:textId="67DA42A2" w:rsidR="005E2D49" w:rsidRPr="00C102D3" w:rsidRDefault="00D7798D" w:rsidP="005E2D49">
            <w:pPr>
              <w:spacing w:after="0" w:line="240" w:lineRule="auto"/>
              <w:jc w:val="center"/>
              <w:rPr>
                <w:rFonts w:ascii="Calibri" w:eastAsia="Times New Roman" w:hAnsi="Calibri" w:cs="Calibri"/>
                <w:lang w:eastAsia="en-GB"/>
              </w:rPr>
            </w:pPr>
            <w:r>
              <w:rPr>
                <w:rFonts w:ascii="Calibri" w:eastAsia="Times New Roman" w:hAnsi="Calibri" w:cs="Calibri"/>
                <w:lang w:eastAsia="en-GB"/>
              </w:rPr>
              <w:t>740.60</w:t>
            </w:r>
          </w:p>
        </w:tc>
      </w:tr>
      <w:tr w:rsidR="005E2D49" w:rsidRPr="00814B33" w14:paraId="3EBB08A9" w14:textId="54342393" w:rsidTr="00DD310C">
        <w:trPr>
          <w:trHeight w:val="315"/>
        </w:trPr>
        <w:tc>
          <w:tcPr>
            <w:tcW w:w="1900" w:type="dxa"/>
            <w:tcBorders>
              <w:top w:val="nil"/>
              <w:left w:val="single" w:sz="8" w:space="0" w:color="auto"/>
              <w:bottom w:val="single" w:sz="8" w:space="0" w:color="auto"/>
              <w:right w:val="single" w:sz="8" w:space="0" w:color="auto"/>
            </w:tcBorders>
            <w:shd w:val="clear" w:color="000000" w:fill="FFFFFF"/>
            <w:vAlign w:val="center"/>
            <w:hideMark/>
          </w:tcPr>
          <w:p w14:paraId="01F58482" w14:textId="77777777" w:rsidR="005E2D49" w:rsidRPr="00814B33" w:rsidRDefault="005E2D49" w:rsidP="005E2D49">
            <w:pPr>
              <w:spacing w:after="0" w:line="240" w:lineRule="auto"/>
              <w:rPr>
                <w:rFonts w:ascii="Arial" w:eastAsia="Times New Roman" w:hAnsi="Arial" w:cs="Arial"/>
                <w:b/>
                <w:bCs/>
                <w:sz w:val="18"/>
                <w:szCs w:val="18"/>
                <w:lang w:eastAsia="en-GB"/>
              </w:rPr>
            </w:pPr>
            <w:r w:rsidRPr="00814B33">
              <w:rPr>
                <w:rFonts w:ascii="Arial" w:eastAsia="Times New Roman" w:hAnsi="Arial" w:cs="Arial"/>
                <w:b/>
                <w:bCs/>
                <w:sz w:val="18"/>
                <w:szCs w:val="18"/>
                <w:lang w:eastAsia="en-GB"/>
              </w:rPr>
              <w:t>Female</w:t>
            </w:r>
          </w:p>
        </w:tc>
        <w:tc>
          <w:tcPr>
            <w:tcW w:w="1420" w:type="dxa"/>
            <w:tcBorders>
              <w:top w:val="nil"/>
              <w:left w:val="nil"/>
              <w:bottom w:val="single" w:sz="8" w:space="0" w:color="auto"/>
              <w:right w:val="single" w:sz="8" w:space="0" w:color="auto"/>
            </w:tcBorders>
            <w:noWrap/>
            <w:vAlign w:val="center"/>
          </w:tcPr>
          <w:p w14:paraId="42E913A4" w14:textId="4F076B0D" w:rsidR="005E2D49" w:rsidRPr="00C102D3" w:rsidRDefault="00B973A6" w:rsidP="005E2D49">
            <w:pPr>
              <w:spacing w:after="0" w:line="240" w:lineRule="auto"/>
              <w:jc w:val="center"/>
              <w:rPr>
                <w:rFonts w:ascii="Calibri" w:eastAsia="Times New Roman" w:hAnsi="Calibri" w:cs="Calibri"/>
                <w:lang w:eastAsia="en-GB"/>
              </w:rPr>
            </w:pPr>
            <w:r>
              <w:rPr>
                <w:rFonts w:ascii="Calibri" w:eastAsia="Times New Roman" w:hAnsi="Calibri" w:cs="Calibri"/>
                <w:lang w:eastAsia="en-GB"/>
              </w:rPr>
              <w:t>515.60</w:t>
            </w:r>
          </w:p>
        </w:tc>
        <w:tc>
          <w:tcPr>
            <w:tcW w:w="1420" w:type="dxa"/>
            <w:tcBorders>
              <w:top w:val="nil"/>
              <w:left w:val="nil"/>
              <w:bottom w:val="single" w:sz="8" w:space="0" w:color="auto"/>
              <w:right w:val="single" w:sz="8" w:space="0" w:color="auto"/>
            </w:tcBorders>
            <w:noWrap/>
            <w:vAlign w:val="center"/>
          </w:tcPr>
          <w:p w14:paraId="02A35F10" w14:textId="72796245" w:rsidR="005E2D49" w:rsidRPr="00C102D3" w:rsidRDefault="00B41E6D" w:rsidP="005E2D49">
            <w:pPr>
              <w:spacing w:after="0" w:line="240" w:lineRule="auto"/>
              <w:jc w:val="center"/>
              <w:rPr>
                <w:rFonts w:ascii="Calibri" w:eastAsia="Times New Roman" w:hAnsi="Calibri" w:cs="Calibri"/>
                <w:lang w:eastAsia="en-GB"/>
              </w:rPr>
            </w:pPr>
            <w:r>
              <w:rPr>
                <w:rFonts w:ascii="Calibri" w:hAnsi="Calibri" w:cs="Calibri"/>
                <w:color w:val="000000"/>
              </w:rPr>
              <w:t>514.60</w:t>
            </w:r>
          </w:p>
        </w:tc>
        <w:tc>
          <w:tcPr>
            <w:tcW w:w="1420" w:type="dxa"/>
            <w:tcBorders>
              <w:top w:val="nil"/>
              <w:left w:val="nil"/>
              <w:bottom w:val="single" w:sz="8" w:space="0" w:color="auto"/>
              <w:right w:val="single" w:sz="8" w:space="0" w:color="auto"/>
            </w:tcBorders>
            <w:vAlign w:val="center"/>
          </w:tcPr>
          <w:p w14:paraId="5082A32E" w14:textId="76171A9A" w:rsidR="005E2D49" w:rsidRPr="00C102D3" w:rsidRDefault="00147DBA" w:rsidP="005E2D49">
            <w:pPr>
              <w:spacing w:after="0" w:line="240" w:lineRule="auto"/>
              <w:jc w:val="center"/>
              <w:rPr>
                <w:rFonts w:ascii="Calibri" w:eastAsia="Times New Roman" w:hAnsi="Calibri" w:cs="Calibri"/>
                <w:lang w:eastAsia="en-GB"/>
              </w:rPr>
            </w:pPr>
            <w:r>
              <w:rPr>
                <w:rFonts w:ascii="Calibri" w:hAnsi="Calibri" w:cs="Calibri"/>
                <w:color w:val="000000"/>
              </w:rPr>
              <w:t>527.1</w:t>
            </w:r>
          </w:p>
        </w:tc>
        <w:tc>
          <w:tcPr>
            <w:tcW w:w="1420" w:type="dxa"/>
            <w:tcBorders>
              <w:top w:val="nil"/>
              <w:left w:val="nil"/>
              <w:bottom w:val="single" w:sz="8" w:space="0" w:color="auto"/>
              <w:right w:val="single" w:sz="8" w:space="0" w:color="auto"/>
            </w:tcBorders>
            <w:vAlign w:val="center"/>
          </w:tcPr>
          <w:p w14:paraId="6F459D09" w14:textId="793111AB" w:rsidR="005E2D49" w:rsidRPr="00C102D3" w:rsidRDefault="00FC5E67" w:rsidP="005E2D49">
            <w:pPr>
              <w:spacing w:after="0" w:line="240" w:lineRule="auto"/>
              <w:jc w:val="center"/>
              <w:rPr>
                <w:rFonts w:ascii="Calibri" w:eastAsia="Times New Roman" w:hAnsi="Calibri" w:cs="Calibri"/>
                <w:lang w:eastAsia="en-GB"/>
              </w:rPr>
            </w:pPr>
            <w:r>
              <w:rPr>
                <w:rFonts w:ascii="Calibri" w:eastAsia="Times New Roman" w:hAnsi="Calibri" w:cs="Calibri"/>
                <w:lang w:eastAsia="en-GB"/>
              </w:rPr>
              <w:t>556.00</w:t>
            </w:r>
          </w:p>
        </w:tc>
      </w:tr>
      <w:tr w:rsidR="005E2D49" w:rsidRPr="00814B33" w14:paraId="005F7FB6" w14:textId="5CA64BEB" w:rsidTr="00006B9F">
        <w:trPr>
          <w:trHeight w:val="315"/>
        </w:trPr>
        <w:tc>
          <w:tcPr>
            <w:tcW w:w="1900" w:type="dxa"/>
            <w:tcBorders>
              <w:top w:val="nil"/>
              <w:left w:val="single" w:sz="8" w:space="0" w:color="auto"/>
              <w:bottom w:val="single" w:sz="8" w:space="0" w:color="auto"/>
              <w:right w:val="single" w:sz="8" w:space="0" w:color="auto"/>
            </w:tcBorders>
            <w:shd w:val="clear" w:color="000000" w:fill="FFFFFF"/>
            <w:vAlign w:val="center"/>
            <w:hideMark/>
          </w:tcPr>
          <w:p w14:paraId="284809EC" w14:textId="77777777" w:rsidR="005E2D49" w:rsidRPr="00814B33" w:rsidRDefault="005E2D49" w:rsidP="005E2D49">
            <w:pPr>
              <w:spacing w:after="0" w:line="240" w:lineRule="auto"/>
              <w:rPr>
                <w:rFonts w:ascii="Arial" w:eastAsia="Times New Roman" w:hAnsi="Arial" w:cs="Arial"/>
                <w:b/>
                <w:bCs/>
                <w:sz w:val="18"/>
                <w:szCs w:val="18"/>
                <w:lang w:eastAsia="en-GB"/>
              </w:rPr>
            </w:pPr>
            <w:r w:rsidRPr="00814B33">
              <w:rPr>
                <w:rFonts w:ascii="Arial" w:eastAsia="Times New Roman" w:hAnsi="Arial" w:cs="Arial"/>
                <w:b/>
                <w:bCs/>
                <w:sz w:val="18"/>
                <w:szCs w:val="18"/>
                <w:lang w:eastAsia="en-GB"/>
              </w:rPr>
              <w:t> </w:t>
            </w:r>
          </w:p>
        </w:tc>
        <w:tc>
          <w:tcPr>
            <w:tcW w:w="1420" w:type="dxa"/>
            <w:tcBorders>
              <w:top w:val="nil"/>
              <w:left w:val="nil"/>
              <w:bottom w:val="single" w:sz="8" w:space="0" w:color="auto"/>
              <w:right w:val="single" w:sz="8" w:space="0" w:color="auto"/>
            </w:tcBorders>
            <w:noWrap/>
            <w:vAlign w:val="center"/>
          </w:tcPr>
          <w:p w14:paraId="6EB163FF" w14:textId="397CA90F" w:rsidR="005E2D49" w:rsidRPr="00C102D3" w:rsidRDefault="005E2D49" w:rsidP="005E2D49">
            <w:pPr>
              <w:spacing w:after="0" w:line="240" w:lineRule="auto"/>
              <w:jc w:val="center"/>
              <w:rPr>
                <w:rFonts w:ascii="Calibri" w:eastAsia="Times New Roman" w:hAnsi="Calibri" w:cs="Calibri"/>
                <w:lang w:eastAsia="en-GB"/>
              </w:rPr>
            </w:pPr>
            <w:r>
              <w:rPr>
                <w:rFonts w:ascii="Calibri" w:hAnsi="Calibri" w:cs="Calibri"/>
                <w:color w:val="000000"/>
              </w:rPr>
              <w:t> </w:t>
            </w:r>
          </w:p>
        </w:tc>
        <w:tc>
          <w:tcPr>
            <w:tcW w:w="1420" w:type="dxa"/>
            <w:tcBorders>
              <w:top w:val="nil"/>
              <w:left w:val="nil"/>
              <w:bottom w:val="single" w:sz="8" w:space="0" w:color="auto"/>
              <w:right w:val="single" w:sz="8" w:space="0" w:color="auto"/>
            </w:tcBorders>
            <w:noWrap/>
            <w:vAlign w:val="center"/>
          </w:tcPr>
          <w:p w14:paraId="26560F7F" w14:textId="7E6E7332" w:rsidR="005E2D49" w:rsidRPr="00C102D3" w:rsidRDefault="005E2D49" w:rsidP="005E2D49">
            <w:pPr>
              <w:spacing w:after="0" w:line="240" w:lineRule="auto"/>
              <w:jc w:val="center"/>
              <w:rPr>
                <w:rFonts w:ascii="Calibri" w:eastAsia="Times New Roman" w:hAnsi="Calibri" w:cs="Calibri"/>
                <w:lang w:eastAsia="en-GB"/>
              </w:rPr>
            </w:pPr>
            <w:r>
              <w:rPr>
                <w:rFonts w:ascii="Calibri" w:hAnsi="Calibri" w:cs="Calibri"/>
                <w:color w:val="000000"/>
              </w:rPr>
              <w:t> </w:t>
            </w:r>
          </w:p>
        </w:tc>
        <w:tc>
          <w:tcPr>
            <w:tcW w:w="1420" w:type="dxa"/>
            <w:tcBorders>
              <w:top w:val="nil"/>
              <w:left w:val="nil"/>
              <w:bottom w:val="single" w:sz="8" w:space="0" w:color="auto"/>
              <w:right w:val="single" w:sz="8" w:space="0" w:color="auto"/>
            </w:tcBorders>
            <w:vAlign w:val="center"/>
          </w:tcPr>
          <w:p w14:paraId="4E9D374E" w14:textId="6E4641B1" w:rsidR="005E2D49" w:rsidRPr="00C102D3" w:rsidRDefault="005E2D49" w:rsidP="005E2D49">
            <w:pPr>
              <w:spacing w:after="0" w:line="240" w:lineRule="auto"/>
              <w:jc w:val="center"/>
              <w:rPr>
                <w:rFonts w:ascii="Calibri" w:eastAsia="Times New Roman" w:hAnsi="Calibri" w:cs="Calibri"/>
                <w:lang w:eastAsia="en-GB"/>
              </w:rPr>
            </w:pPr>
            <w:r>
              <w:rPr>
                <w:rFonts w:ascii="Calibri" w:hAnsi="Calibri" w:cs="Calibri"/>
                <w:color w:val="000000"/>
              </w:rPr>
              <w:t> </w:t>
            </w:r>
          </w:p>
        </w:tc>
        <w:tc>
          <w:tcPr>
            <w:tcW w:w="1420" w:type="dxa"/>
            <w:tcBorders>
              <w:top w:val="nil"/>
              <w:left w:val="nil"/>
              <w:bottom w:val="single" w:sz="8" w:space="0" w:color="auto"/>
              <w:right w:val="single" w:sz="8" w:space="0" w:color="auto"/>
            </w:tcBorders>
            <w:vAlign w:val="center"/>
          </w:tcPr>
          <w:p w14:paraId="72BB54B4" w14:textId="18531F4F" w:rsidR="005E2D49" w:rsidRPr="00C102D3" w:rsidRDefault="005E2D49" w:rsidP="005E2D49">
            <w:pPr>
              <w:spacing w:after="0" w:line="240" w:lineRule="auto"/>
              <w:jc w:val="center"/>
              <w:rPr>
                <w:rFonts w:ascii="Calibri" w:eastAsia="Times New Roman" w:hAnsi="Calibri" w:cs="Calibri"/>
                <w:lang w:eastAsia="en-GB"/>
              </w:rPr>
            </w:pPr>
            <w:r>
              <w:rPr>
                <w:rFonts w:ascii="Calibri" w:hAnsi="Calibri" w:cs="Calibri"/>
                <w:color w:val="000000"/>
              </w:rPr>
              <w:t> </w:t>
            </w:r>
          </w:p>
        </w:tc>
      </w:tr>
      <w:tr w:rsidR="005E2D49" w:rsidRPr="00814B33" w14:paraId="5CD6825F" w14:textId="17AD7188" w:rsidTr="00006B9F">
        <w:trPr>
          <w:trHeight w:val="315"/>
        </w:trPr>
        <w:tc>
          <w:tcPr>
            <w:tcW w:w="1900" w:type="dxa"/>
            <w:tcBorders>
              <w:top w:val="nil"/>
              <w:left w:val="single" w:sz="8" w:space="0" w:color="auto"/>
              <w:bottom w:val="single" w:sz="8" w:space="0" w:color="auto"/>
              <w:right w:val="single" w:sz="8" w:space="0" w:color="auto"/>
            </w:tcBorders>
            <w:shd w:val="clear" w:color="000000" w:fill="FFFFFF"/>
            <w:vAlign w:val="center"/>
            <w:hideMark/>
          </w:tcPr>
          <w:p w14:paraId="6AB30A75" w14:textId="77777777" w:rsidR="005E2D49" w:rsidRPr="00814B33" w:rsidRDefault="005E2D49" w:rsidP="005E2D49">
            <w:pPr>
              <w:spacing w:after="0" w:line="240" w:lineRule="auto"/>
              <w:rPr>
                <w:rFonts w:ascii="Arial" w:eastAsia="Times New Roman" w:hAnsi="Arial" w:cs="Arial"/>
                <w:b/>
                <w:bCs/>
                <w:sz w:val="18"/>
                <w:szCs w:val="18"/>
                <w:lang w:eastAsia="en-GB"/>
              </w:rPr>
            </w:pPr>
            <w:r w:rsidRPr="00814B33">
              <w:rPr>
                <w:rFonts w:ascii="Arial" w:eastAsia="Times New Roman" w:hAnsi="Arial" w:cs="Arial"/>
                <w:b/>
                <w:bCs/>
                <w:sz w:val="18"/>
                <w:szCs w:val="18"/>
                <w:lang w:eastAsia="en-GB"/>
              </w:rPr>
              <w:t>Full-time</w:t>
            </w:r>
          </w:p>
        </w:tc>
        <w:tc>
          <w:tcPr>
            <w:tcW w:w="1420" w:type="dxa"/>
            <w:tcBorders>
              <w:top w:val="nil"/>
              <w:left w:val="nil"/>
              <w:bottom w:val="single" w:sz="8" w:space="0" w:color="auto"/>
              <w:right w:val="single" w:sz="8" w:space="0" w:color="auto"/>
            </w:tcBorders>
            <w:noWrap/>
            <w:vAlign w:val="center"/>
          </w:tcPr>
          <w:p w14:paraId="71A52430" w14:textId="41C416F7" w:rsidR="005E2D49" w:rsidRPr="00C102D3" w:rsidRDefault="00AB3461" w:rsidP="005E2D49">
            <w:pPr>
              <w:spacing w:after="0" w:line="240" w:lineRule="auto"/>
              <w:jc w:val="center"/>
              <w:rPr>
                <w:rFonts w:ascii="Calibri" w:eastAsia="Times New Roman" w:hAnsi="Calibri" w:cs="Calibri"/>
                <w:lang w:eastAsia="en-GB"/>
              </w:rPr>
            </w:pPr>
            <w:r>
              <w:rPr>
                <w:rFonts w:ascii="Calibri" w:hAnsi="Calibri" w:cs="Calibri"/>
                <w:color w:val="000000"/>
              </w:rPr>
              <w:t>671.00</w:t>
            </w:r>
          </w:p>
        </w:tc>
        <w:tc>
          <w:tcPr>
            <w:tcW w:w="1420" w:type="dxa"/>
            <w:tcBorders>
              <w:top w:val="nil"/>
              <w:left w:val="nil"/>
              <w:bottom w:val="single" w:sz="8" w:space="0" w:color="auto"/>
              <w:right w:val="single" w:sz="8" w:space="0" w:color="auto"/>
            </w:tcBorders>
            <w:noWrap/>
            <w:vAlign w:val="center"/>
          </w:tcPr>
          <w:p w14:paraId="676A2D10" w14:textId="15C5B530" w:rsidR="005E2D49" w:rsidRPr="00C102D3" w:rsidRDefault="008474B9" w:rsidP="005E2D49">
            <w:pPr>
              <w:spacing w:after="0" w:line="240" w:lineRule="auto"/>
              <w:jc w:val="center"/>
              <w:rPr>
                <w:rFonts w:ascii="Calibri" w:eastAsia="Times New Roman" w:hAnsi="Calibri" w:cs="Calibri"/>
                <w:lang w:eastAsia="en-GB"/>
              </w:rPr>
            </w:pPr>
            <w:r>
              <w:rPr>
                <w:rFonts w:ascii="Calibri" w:hAnsi="Calibri" w:cs="Calibri"/>
                <w:color w:val="000000"/>
              </w:rPr>
              <w:t>675.30</w:t>
            </w:r>
          </w:p>
        </w:tc>
        <w:tc>
          <w:tcPr>
            <w:tcW w:w="1420" w:type="dxa"/>
            <w:tcBorders>
              <w:top w:val="nil"/>
              <w:left w:val="nil"/>
              <w:bottom w:val="single" w:sz="8" w:space="0" w:color="auto"/>
              <w:right w:val="single" w:sz="8" w:space="0" w:color="auto"/>
            </w:tcBorders>
            <w:vAlign w:val="center"/>
          </w:tcPr>
          <w:p w14:paraId="6F4FA0BE" w14:textId="0D605C0F" w:rsidR="005E2D49" w:rsidRPr="00C102D3" w:rsidRDefault="002F0D57" w:rsidP="005E2D49">
            <w:pPr>
              <w:spacing w:after="0" w:line="240" w:lineRule="auto"/>
              <w:jc w:val="center"/>
              <w:rPr>
                <w:rFonts w:ascii="Calibri" w:eastAsia="Times New Roman" w:hAnsi="Calibri" w:cs="Calibri"/>
                <w:lang w:eastAsia="en-GB"/>
              </w:rPr>
            </w:pPr>
            <w:r>
              <w:rPr>
                <w:rFonts w:ascii="Calibri" w:hAnsi="Calibri" w:cs="Calibri"/>
                <w:color w:val="000000"/>
              </w:rPr>
              <w:t>713.10</w:t>
            </w:r>
          </w:p>
        </w:tc>
        <w:tc>
          <w:tcPr>
            <w:tcW w:w="1420" w:type="dxa"/>
            <w:tcBorders>
              <w:top w:val="nil"/>
              <w:left w:val="nil"/>
              <w:bottom w:val="single" w:sz="8" w:space="0" w:color="auto"/>
              <w:right w:val="single" w:sz="8" w:space="0" w:color="auto"/>
            </w:tcBorders>
            <w:vAlign w:val="center"/>
          </w:tcPr>
          <w:p w14:paraId="73E936DC" w14:textId="270513F9" w:rsidR="005E2D49" w:rsidRPr="00C102D3" w:rsidRDefault="00D7798D" w:rsidP="005E2D49">
            <w:pPr>
              <w:spacing w:after="0" w:line="240" w:lineRule="auto"/>
              <w:jc w:val="center"/>
              <w:rPr>
                <w:rFonts w:ascii="Calibri" w:eastAsia="Times New Roman" w:hAnsi="Calibri" w:cs="Calibri"/>
                <w:lang w:eastAsia="en-GB"/>
              </w:rPr>
            </w:pPr>
            <w:r>
              <w:rPr>
                <w:rFonts w:ascii="Calibri" w:eastAsia="Times New Roman" w:hAnsi="Calibri" w:cs="Calibri"/>
                <w:lang w:eastAsia="en-GB"/>
              </w:rPr>
              <w:t>766.60</w:t>
            </w:r>
          </w:p>
        </w:tc>
      </w:tr>
      <w:tr w:rsidR="005E2D49" w:rsidRPr="00814B33" w14:paraId="13665FFA" w14:textId="54EA8890" w:rsidTr="005E2D49">
        <w:trPr>
          <w:trHeight w:val="315"/>
        </w:trPr>
        <w:tc>
          <w:tcPr>
            <w:tcW w:w="1900" w:type="dxa"/>
            <w:tcBorders>
              <w:top w:val="nil"/>
              <w:left w:val="single" w:sz="8" w:space="0" w:color="auto"/>
              <w:bottom w:val="single" w:sz="8" w:space="0" w:color="auto"/>
              <w:right w:val="single" w:sz="8" w:space="0" w:color="auto"/>
            </w:tcBorders>
            <w:shd w:val="clear" w:color="000000" w:fill="FFFFFF"/>
            <w:vAlign w:val="center"/>
            <w:hideMark/>
          </w:tcPr>
          <w:p w14:paraId="2C545F57" w14:textId="77777777" w:rsidR="005E2D49" w:rsidRPr="00814B33" w:rsidRDefault="005E2D49" w:rsidP="005E2D49">
            <w:pPr>
              <w:spacing w:after="0" w:line="240" w:lineRule="auto"/>
              <w:rPr>
                <w:rFonts w:ascii="Arial" w:eastAsia="Times New Roman" w:hAnsi="Arial" w:cs="Arial"/>
                <w:b/>
                <w:bCs/>
                <w:sz w:val="18"/>
                <w:szCs w:val="18"/>
                <w:lang w:eastAsia="en-GB"/>
              </w:rPr>
            </w:pPr>
            <w:r w:rsidRPr="00814B33">
              <w:rPr>
                <w:rFonts w:ascii="Arial" w:eastAsia="Times New Roman" w:hAnsi="Arial" w:cs="Arial"/>
                <w:b/>
                <w:bCs/>
                <w:sz w:val="18"/>
                <w:szCs w:val="18"/>
                <w:lang w:eastAsia="en-GB"/>
              </w:rPr>
              <w:t>Part-time</w:t>
            </w:r>
          </w:p>
        </w:tc>
        <w:tc>
          <w:tcPr>
            <w:tcW w:w="1420" w:type="dxa"/>
            <w:tcBorders>
              <w:top w:val="nil"/>
              <w:left w:val="nil"/>
              <w:bottom w:val="single" w:sz="8" w:space="0" w:color="auto"/>
              <w:right w:val="single" w:sz="8" w:space="0" w:color="auto"/>
            </w:tcBorders>
            <w:shd w:val="clear" w:color="auto" w:fill="DEEAF6" w:themeFill="accent1" w:themeFillTint="33"/>
            <w:noWrap/>
            <w:vAlign w:val="center"/>
          </w:tcPr>
          <w:p w14:paraId="3BDA4481" w14:textId="1A61CD79" w:rsidR="005E2D49" w:rsidRPr="00C102D3" w:rsidRDefault="00634C40" w:rsidP="005E2D49">
            <w:pPr>
              <w:spacing w:after="0" w:line="240" w:lineRule="auto"/>
              <w:jc w:val="center"/>
              <w:rPr>
                <w:rFonts w:ascii="Calibri" w:eastAsia="Times New Roman" w:hAnsi="Calibri" w:cs="Calibri"/>
                <w:lang w:eastAsia="en-GB"/>
              </w:rPr>
            </w:pPr>
            <w:r>
              <w:rPr>
                <w:rFonts w:ascii="Calibri" w:eastAsia="Times New Roman" w:hAnsi="Calibri" w:cs="Calibri"/>
                <w:lang w:eastAsia="en-GB"/>
              </w:rPr>
              <w:t>271.80</w:t>
            </w:r>
          </w:p>
        </w:tc>
        <w:tc>
          <w:tcPr>
            <w:tcW w:w="1420" w:type="dxa"/>
            <w:tcBorders>
              <w:top w:val="nil"/>
              <w:left w:val="nil"/>
              <w:bottom w:val="single" w:sz="8" w:space="0" w:color="auto"/>
              <w:right w:val="single" w:sz="8" w:space="0" w:color="auto"/>
            </w:tcBorders>
            <w:shd w:val="clear" w:color="auto" w:fill="DEEAF6" w:themeFill="accent1" w:themeFillTint="33"/>
            <w:noWrap/>
            <w:vAlign w:val="center"/>
          </w:tcPr>
          <w:p w14:paraId="3F82CFAC" w14:textId="6C2E68EE" w:rsidR="005E2D49" w:rsidRPr="00C102D3" w:rsidRDefault="00C34915" w:rsidP="005E2D49">
            <w:pPr>
              <w:spacing w:after="0" w:line="240" w:lineRule="auto"/>
              <w:jc w:val="center"/>
              <w:rPr>
                <w:rFonts w:ascii="Calibri" w:eastAsia="Times New Roman" w:hAnsi="Calibri" w:cs="Calibri"/>
                <w:lang w:eastAsia="en-GB"/>
              </w:rPr>
            </w:pPr>
            <w:r>
              <w:rPr>
                <w:rFonts w:ascii="Calibri" w:hAnsi="Calibri" w:cs="Calibri"/>
                <w:color w:val="000000"/>
              </w:rPr>
              <w:t>295.00</w:t>
            </w:r>
          </w:p>
        </w:tc>
        <w:tc>
          <w:tcPr>
            <w:tcW w:w="1420" w:type="dxa"/>
            <w:tcBorders>
              <w:top w:val="nil"/>
              <w:left w:val="nil"/>
              <w:bottom w:val="single" w:sz="8" w:space="0" w:color="auto"/>
              <w:right w:val="single" w:sz="8" w:space="0" w:color="auto"/>
            </w:tcBorders>
            <w:vAlign w:val="center"/>
          </w:tcPr>
          <w:p w14:paraId="1865C5EA" w14:textId="374D7118" w:rsidR="005E2D49" w:rsidRPr="00C102D3" w:rsidRDefault="00C34915" w:rsidP="005E2D49">
            <w:pPr>
              <w:spacing w:after="0" w:line="240" w:lineRule="auto"/>
              <w:jc w:val="center"/>
              <w:rPr>
                <w:rFonts w:ascii="Calibri" w:eastAsia="Times New Roman" w:hAnsi="Calibri" w:cs="Calibri"/>
                <w:lang w:eastAsia="en-GB"/>
              </w:rPr>
            </w:pPr>
            <w:r>
              <w:rPr>
                <w:rFonts w:ascii="Calibri" w:hAnsi="Calibri" w:cs="Calibri"/>
                <w:color w:val="000000"/>
              </w:rPr>
              <w:t>272.20</w:t>
            </w:r>
          </w:p>
        </w:tc>
        <w:tc>
          <w:tcPr>
            <w:tcW w:w="1420" w:type="dxa"/>
            <w:tcBorders>
              <w:top w:val="nil"/>
              <w:left w:val="nil"/>
              <w:bottom w:val="single" w:sz="8" w:space="0" w:color="auto"/>
              <w:right w:val="single" w:sz="8" w:space="0" w:color="auto"/>
            </w:tcBorders>
            <w:vAlign w:val="center"/>
          </w:tcPr>
          <w:p w14:paraId="4485D2DB" w14:textId="1558D421" w:rsidR="005E2D49" w:rsidRPr="00C102D3" w:rsidRDefault="00D7798D" w:rsidP="005E2D49">
            <w:pPr>
              <w:spacing w:after="0" w:line="240" w:lineRule="auto"/>
              <w:jc w:val="center"/>
              <w:rPr>
                <w:rFonts w:ascii="Calibri" w:eastAsia="Times New Roman" w:hAnsi="Calibri" w:cs="Calibri"/>
                <w:lang w:eastAsia="en-GB"/>
              </w:rPr>
            </w:pPr>
            <w:r>
              <w:rPr>
                <w:rFonts w:ascii="Calibri" w:eastAsia="Times New Roman" w:hAnsi="Calibri" w:cs="Calibri"/>
                <w:lang w:eastAsia="en-GB"/>
              </w:rPr>
              <w:t>280.00</w:t>
            </w:r>
          </w:p>
        </w:tc>
      </w:tr>
      <w:tr w:rsidR="005E2D49" w:rsidRPr="00814B33" w14:paraId="2814BFB4" w14:textId="5CF6ED87" w:rsidTr="00006B9F">
        <w:trPr>
          <w:trHeight w:val="315"/>
        </w:trPr>
        <w:tc>
          <w:tcPr>
            <w:tcW w:w="1900" w:type="dxa"/>
            <w:tcBorders>
              <w:top w:val="nil"/>
              <w:left w:val="single" w:sz="8" w:space="0" w:color="auto"/>
              <w:bottom w:val="single" w:sz="8" w:space="0" w:color="auto"/>
              <w:right w:val="single" w:sz="8" w:space="0" w:color="auto"/>
            </w:tcBorders>
            <w:shd w:val="clear" w:color="000000" w:fill="FFFFFF"/>
            <w:vAlign w:val="center"/>
            <w:hideMark/>
          </w:tcPr>
          <w:p w14:paraId="597CB59D" w14:textId="77777777" w:rsidR="005E2D49" w:rsidRPr="00814B33" w:rsidRDefault="005E2D49" w:rsidP="005E2D49">
            <w:pPr>
              <w:spacing w:after="0" w:line="240" w:lineRule="auto"/>
              <w:rPr>
                <w:rFonts w:ascii="Arial" w:eastAsia="Times New Roman" w:hAnsi="Arial" w:cs="Arial"/>
                <w:b/>
                <w:bCs/>
                <w:sz w:val="18"/>
                <w:szCs w:val="18"/>
                <w:lang w:eastAsia="en-GB"/>
              </w:rPr>
            </w:pPr>
            <w:r w:rsidRPr="00814B33">
              <w:rPr>
                <w:rFonts w:ascii="Arial" w:eastAsia="Times New Roman" w:hAnsi="Arial" w:cs="Arial"/>
                <w:b/>
                <w:bCs/>
                <w:sz w:val="18"/>
                <w:szCs w:val="18"/>
                <w:lang w:eastAsia="en-GB"/>
              </w:rPr>
              <w:t> </w:t>
            </w:r>
          </w:p>
        </w:tc>
        <w:tc>
          <w:tcPr>
            <w:tcW w:w="1420" w:type="dxa"/>
            <w:tcBorders>
              <w:top w:val="nil"/>
              <w:left w:val="nil"/>
              <w:bottom w:val="single" w:sz="8" w:space="0" w:color="auto"/>
              <w:right w:val="single" w:sz="8" w:space="0" w:color="auto"/>
            </w:tcBorders>
            <w:noWrap/>
            <w:vAlign w:val="center"/>
          </w:tcPr>
          <w:p w14:paraId="20501FEE" w14:textId="0C5E6DD8" w:rsidR="005E2D49" w:rsidRPr="00C102D3" w:rsidRDefault="005E2D49" w:rsidP="005E2D49">
            <w:pPr>
              <w:spacing w:after="0" w:line="240" w:lineRule="auto"/>
              <w:jc w:val="center"/>
              <w:rPr>
                <w:rFonts w:ascii="Calibri" w:eastAsia="Times New Roman" w:hAnsi="Calibri" w:cs="Calibri"/>
                <w:lang w:eastAsia="en-GB"/>
              </w:rPr>
            </w:pPr>
            <w:r>
              <w:rPr>
                <w:rFonts w:ascii="Calibri" w:hAnsi="Calibri" w:cs="Calibri"/>
                <w:color w:val="000000"/>
              </w:rPr>
              <w:t> </w:t>
            </w:r>
          </w:p>
        </w:tc>
        <w:tc>
          <w:tcPr>
            <w:tcW w:w="1420" w:type="dxa"/>
            <w:tcBorders>
              <w:top w:val="nil"/>
              <w:left w:val="nil"/>
              <w:bottom w:val="single" w:sz="8" w:space="0" w:color="auto"/>
              <w:right w:val="single" w:sz="8" w:space="0" w:color="auto"/>
            </w:tcBorders>
            <w:noWrap/>
            <w:vAlign w:val="center"/>
          </w:tcPr>
          <w:p w14:paraId="3CE5A369" w14:textId="1DA8A1E1" w:rsidR="005E2D49" w:rsidRPr="00C102D3" w:rsidRDefault="005E2D49" w:rsidP="005E2D49">
            <w:pPr>
              <w:spacing w:after="0" w:line="240" w:lineRule="auto"/>
              <w:jc w:val="center"/>
              <w:rPr>
                <w:rFonts w:ascii="Calibri" w:eastAsia="Times New Roman" w:hAnsi="Calibri" w:cs="Calibri"/>
                <w:lang w:eastAsia="en-GB"/>
              </w:rPr>
            </w:pPr>
            <w:r>
              <w:rPr>
                <w:rFonts w:ascii="Calibri" w:hAnsi="Calibri" w:cs="Calibri"/>
                <w:color w:val="000000"/>
              </w:rPr>
              <w:t> </w:t>
            </w:r>
          </w:p>
        </w:tc>
        <w:tc>
          <w:tcPr>
            <w:tcW w:w="1420" w:type="dxa"/>
            <w:tcBorders>
              <w:top w:val="nil"/>
              <w:left w:val="nil"/>
              <w:bottom w:val="single" w:sz="8" w:space="0" w:color="auto"/>
              <w:right w:val="single" w:sz="8" w:space="0" w:color="auto"/>
            </w:tcBorders>
            <w:vAlign w:val="center"/>
          </w:tcPr>
          <w:p w14:paraId="50BAC497" w14:textId="6957073B" w:rsidR="005E2D49" w:rsidRPr="00C102D3" w:rsidRDefault="005E2D49" w:rsidP="005E2D49">
            <w:pPr>
              <w:spacing w:after="0" w:line="240" w:lineRule="auto"/>
              <w:jc w:val="center"/>
              <w:rPr>
                <w:rFonts w:ascii="Calibri" w:eastAsia="Times New Roman" w:hAnsi="Calibri" w:cs="Calibri"/>
                <w:lang w:eastAsia="en-GB"/>
              </w:rPr>
            </w:pPr>
            <w:r>
              <w:rPr>
                <w:rFonts w:ascii="Calibri" w:hAnsi="Calibri" w:cs="Calibri"/>
                <w:color w:val="000000"/>
              </w:rPr>
              <w:t> </w:t>
            </w:r>
          </w:p>
        </w:tc>
        <w:tc>
          <w:tcPr>
            <w:tcW w:w="1420" w:type="dxa"/>
            <w:tcBorders>
              <w:top w:val="nil"/>
              <w:left w:val="nil"/>
              <w:bottom w:val="single" w:sz="8" w:space="0" w:color="auto"/>
              <w:right w:val="single" w:sz="8" w:space="0" w:color="auto"/>
            </w:tcBorders>
            <w:vAlign w:val="center"/>
          </w:tcPr>
          <w:p w14:paraId="0803494F" w14:textId="4ABD621C" w:rsidR="005E2D49" w:rsidRPr="00C102D3" w:rsidRDefault="005E2D49" w:rsidP="005E2D49">
            <w:pPr>
              <w:spacing w:after="0" w:line="240" w:lineRule="auto"/>
              <w:jc w:val="center"/>
              <w:rPr>
                <w:rFonts w:ascii="Calibri" w:eastAsia="Times New Roman" w:hAnsi="Calibri" w:cs="Calibri"/>
                <w:lang w:eastAsia="en-GB"/>
              </w:rPr>
            </w:pPr>
            <w:r>
              <w:rPr>
                <w:rFonts w:ascii="Calibri" w:hAnsi="Calibri" w:cs="Calibri"/>
                <w:color w:val="000000"/>
              </w:rPr>
              <w:t> </w:t>
            </w:r>
          </w:p>
        </w:tc>
      </w:tr>
      <w:tr w:rsidR="005E2D49" w:rsidRPr="00814B33" w14:paraId="4A75BB8E" w14:textId="01201972" w:rsidTr="0017383A">
        <w:trPr>
          <w:trHeight w:val="315"/>
        </w:trPr>
        <w:tc>
          <w:tcPr>
            <w:tcW w:w="1900" w:type="dxa"/>
            <w:tcBorders>
              <w:top w:val="nil"/>
              <w:left w:val="single" w:sz="8" w:space="0" w:color="auto"/>
              <w:bottom w:val="single" w:sz="8" w:space="0" w:color="auto"/>
              <w:right w:val="single" w:sz="8" w:space="0" w:color="auto"/>
            </w:tcBorders>
            <w:shd w:val="clear" w:color="000000" w:fill="FFFFFF"/>
            <w:vAlign w:val="center"/>
            <w:hideMark/>
          </w:tcPr>
          <w:p w14:paraId="3F0B36FB" w14:textId="77777777" w:rsidR="005E2D49" w:rsidRPr="00814B33" w:rsidRDefault="005E2D49" w:rsidP="005E2D49">
            <w:pPr>
              <w:spacing w:after="0" w:line="240" w:lineRule="auto"/>
              <w:rPr>
                <w:rFonts w:ascii="Arial" w:eastAsia="Times New Roman" w:hAnsi="Arial" w:cs="Arial"/>
                <w:b/>
                <w:bCs/>
                <w:sz w:val="18"/>
                <w:szCs w:val="18"/>
                <w:lang w:eastAsia="en-GB"/>
              </w:rPr>
            </w:pPr>
            <w:r w:rsidRPr="00814B33">
              <w:rPr>
                <w:rFonts w:ascii="Arial" w:eastAsia="Times New Roman" w:hAnsi="Arial" w:cs="Arial"/>
                <w:b/>
                <w:bCs/>
                <w:sz w:val="18"/>
                <w:szCs w:val="18"/>
                <w:lang w:eastAsia="en-GB"/>
              </w:rPr>
              <w:t>Male Full-time</w:t>
            </w:r>
          </w:p>
        </w:tc>
        <w:tc>
          <w:tcPr>
            <w:tcW w:w="1420" w:type="dxa"/>
            <w:tcBorders>
              <w:top w:val="nil"/>
              <w:left w:val="nil"/>
              <w:bottom w:val="single" w:sz="8" w:space="0" w:color="auto"/>
              <w:right w:val="single" w:sz="8" w:space="0" w:color="auto"/>
            </w:tcBorders>
            <w:noWrap/>
            <w:vAlign w:val="center"/>
          </w:tcPr>
          <w:p w14:paraId="2C4905D0" w14:textId="225B64CA" w:rsidR="005E2D49" w:rsidRPr="00C102D3" w:rsidRDefault="00F56243" w:rsidP="005E2D49">
            <w:pPr>
              <w:spacing w:after="0" w:line="240" w:lineRule="auto"/>
              <w:jc w:val="center"/>
              <w:rPr>
                <w:rFonts w:ascii="Calibri" w:eastAsia="Times New Roman" w:hAnsi="Calibri" w:cs="Calibri"/>
                <w:lang w:eastAsia="en-GB"/>
              </w:rPr>
            </w:pPr>
            <w:r>
              <w:rPr>
                <w:rFonts w:ascii="Calibri" w:hAnsi="Calibri" w:cs="Calibri"/>
                <w:color w:val="000000"/>
              </w:rPr>
              <w:t>696.80</w:t>
            </w:r>
          </w:p>
        </w:tc>
        <w:tc>
          <w:tcPr>
            <w:tcW w:w="1420" w:type="dxa"/>
            <w:tcBorders>
              <w:top w:val="nil"/>
              <w:left w:val="nil"/>
              <w:bottom w:val="single" w:sz="8" w:space="0" w:color="auto"/>
              <w:right w:val="single" w:sz="8" w:space="0" w:color="auto"/>
            </w:tcBorders>
            <w:noWrap/>
            <w:vAlign w:val="center"/>
          </w:tcPr>
          <w:p w14:paraId="0870D31C" w14:textId="5980295F" w:rsidR="005E2D49" w:rsidRPr="00C102D3" w:rsidRDefault="00F40909" w:rsidP="005E2D49">
            <w:pPr>
              <w:spacing w:after="0" w:line="240" w:lineRule="auto"/>
              <w:jc w:val="center"/>
              <w:rPr>
                <w:rFonts w:ascii="Calibri" w:eastAsia="Times New Roman" w:hAnsi="Calibri" w:cs="Calibri"/>
                <w:lang w:eastAsia="en-GB"/>
              </w:rPr>
            </w:pPr>
            <w:r>
              <w:rPr>
                <w:rFonts w:ascii="Calibri" w:hAnsi="Calibri" w:cs="Calibri"/>
                <w:color w:val="000000"/>
              </w:rPr>
              <w:t>701.50</w:t>
            </w:r>
          </w:p>
        </w:tc>
        <w:tc>
          <w:tcPr>
            <w:tcW w:w="1420" w:type="dxa"/>
            <w:tcBorders>
              <w:top w:val="nil"/>
              <w:left w:val="nil"/>
              <w:bottom w:val="single" w:sz="8" w:space="0" w:color="auto"/>
              <w:right w:val="single" w:sz="8" w:space="0" w:color="auto"/>
            </w:tcBorders>
            <w:vAlign w:val="center"/>
          </w:tcPr>
          <w:p w14:paraId="6B5F84C7" w14:textId="4D99C7BB" w:rsidR="005E2D49" w:rsidRPr="00C102D3" w:rsidRDefault="009A09CB" w:rsidP="005E2D49">
            <w:pPr>
              <w:spacing w:after="0" w:line="240" w:lineRule="auto"/>
              <w:jc w:val="center"/>
              <w:rPr>
                <w:rFonts w:ascii="Calibri" w:eastAsia="Times New Roman" w:hAnsi="Calibri" w:cs="Calibri"/>
                <w:lang w:eastAsia="en-GB"/>
              </w:rPr>
            </w:pPr>
            <w:r>
              <w:rPr>
                <w:rFonts w:ascii="Calibri" w:hAnsi="Calibri" w:cs="Calibri"/>
                <w:color w:val="000000"/>
              </w:rPr>
              <w:t>742.</w:t>
            </w:r>
            <w:r w:rsidR="009C1BE6">
              <w:rPr>
                <w:rFonts w:ascii="Calibri" w:hAnsi="Calibri" w:cs="Calibri"/>
                <w:color w:val="000000"/>
              </w:rPr>
              <w:t>50</w:t>
            </w:r>
          </w:p>
        </w:tc>
        <w:tc>
          <w:tcPr>
            <w:tcW w:w="1420" w:type="dxa"/>
            <w:tcBorders>
              <w:top w:val="nil"/>
              <w:left w:val="nil"/>
              <w:bottom w:val="single" w:sz="8" w:space="0" w:color="auto"/>
              <w:right w:val="single" w:sz="8" w:space="0" w:color="auto"/>
            </w:tcBorders>
            <w:vAlign w:val="center"/>
          </w:tcPr>
          <w:p w14:paraId="477CD14D" w14:textId="12AE8660" w:rsidR="005E2D49" w:rsidRPr="00C102D3" w:rsidRDefault="00D7798D" w:rsidP="005E2D49">
            <w:pPr>
              <w:spacing w:after="0" w:line="240" w:lineRule="auto"/>
              <w:jc w:val="center"/>
              <w:rPr>
                <w:rFonts w:ascii="Calibri" w:eastAsia="Times New Roman" w:hAnsi="Calibri" w:cs="Calibri"/>
                <w:lang w:eastAsia="en-GB"/>
              </w:rPr>
            </w:pPr>
            <w:r>
              <w:rPr>
                <w:rFonts w:ascii="Calibri" w:eastAsia="Times New Roman" w:hAnsi="Calibri" w:cs="Calibri"/>
                <w:lang w:eastAsia="en-GB"/>
              </w:rPr>
              <w:t>814.60</w:t>
            </w:r>
          </w:p>
        </w:tc>
      </w:tr>
      <w:tr w:rsidR="005E2D49" w:rsidRPr="00814B33" w14:paraId="2FCD8B7B" w14:textId="1A765B3B" w:rsidTr="005E2D49">
        <w:trPr>
          <w:trHeight w:val="315"/>
        </w:trPr>
        <w:tc>
          <w:tcPr>
            <w:tcW w:w="1900" w:type="dxa"/>
            <w:tcBorders>
              <w:top w:val="nil"/>
              <w:left w:val="single" w:sz="8" w:space="0" w:color="auto"/>
              <w:bottom w:val="single" w:sz="8" w:space="0" w:color="auto"/>
              <w:right w:val="single" w:sz="8" w:space="0" w:color="auto"/>
            </w:tcBorders>
            <w:shd w:val="clear" w:color="000000" w:fill="FFFFFF"/>
            <w:vAlign w:val="center"/>
            <w:hideMark/>
          </w:tcPr>
          <w:p w14:paraId="21A91AC4" w14:textId="77777777" w:rsidR="005E2D49" w:rsidRPr="00814B33" w:rsidRDefault="005E2D49" w:rsidP="005E2D49">
            <w:pPr>
              <w:spacing w:after="0" w:line="240" w:lineRule="auto"/>
              <w:rPr>
                <w:rFonts w:ascii="Arial" w:eastAsia="Times New Roman" w:hAnsi="Arial" w:cs="Arial"/>
                <w:b/>
                <w:bCs/>
                <w:sz w:val="18"/>
                <w:szCs w:val="18"/>
                <w:lang w:eastAsia="en-GB"/>
              </w:rPr>
            </w:pPr>
            <w:r w:rsidRPr="00814B33">
              <w:rPr>
                <w:rFonts w:ascii="Arial" w:eastAsia="Times New Roman" w:hAnsi="Arial" w:cs="Arial"/>
                <w:b/>
                <w:bCs/>
                <w:sz w:val="18"/>
                <w:szCs w:val="18"/>
                <w:lang w:eastAsia="en-GB"/>
              </w:rPr>
              <w:t>Female Full-time</w:t>
            </w:r>
          </w:p>
        </w:tc>
        <w:tc>
          <w:tcPr>
            <w:tcW w:w="1420" w:type="dxa"/>
            <w:tcBorders>
              <w:top w:val="nil"/>
              <w:left w:val="nil"/>
              <w:bottom w:val="single" w:sz="8" w:space="0" w:color="auto"/>
              <w:right w:val="single" w:sz="8" w:space="0" w:color="auto"/>
            </w:tcBorders>
            <w:noWrap/>
            <w:vAlign w:val="center"/>
          </w:tcPr>
          <w:p w14:paraId="6F74A56C" w14:textId="285DA753" w:rsidR="005E2D49" w:rsidRPr="00C102D3" w:rsidRDefault="009C0BA6" w:rsidP="005E2D49">
            <w:pPr>
              <w:spacing w:after="0" w:line="240" w:lineRule="auto"/>
              <w:jc w:val="center"/>
              <w:rPr>
                <w:rFonts w:ascii="Calibri" w:eastAsia="Times New Roman" w:hAnsi="Calibri" w:cs="Calibri"/>
                <w:lang w:eastAsia="en-GB"/>
              </w:rPr>
            </w:pPr>
            <w:r>
              <w:rPr>
                <w:rFonts w:ascii="Calibri" w:hAnsi="Calibri" w:cs="Calibri"/>
                <w:color w:val="000000"/>
              </w:rPr>
              <w:t>657.10</w:t>
            </w:r>
          </w:p>
        </w:tc>
        <w:tc>
          <w:tcPr>
            <w:tcW w:w="1420" w:type="dxa"/>
            <w:tcBorders>
              <w:top w:val="nil"/>
              <w:left w:val="nil"/>
              <w:bottom w:val="single" w:sz="8" w:space="0" w:color="auto"/>
              <w:right w:val="single" w:sz="8" w:space="0" w:color="auto"/>
            </w:tcBorders>
            <w:shd w:val="clear" w:color="auto" w:fill="DEEAF6" w:themeFill="accent1" w:themeFillTint="33"/>
            <w:noWrap/>
            <w:vAlign w:val="center"/>
          </w:tcPr>
          <w:p w14:paraId="68FB005D" w14:textId="0844DDF2" w:rsidR="005E2D49" w:rsidRPr="00C102D3" w:rsidRDefault="00877E27" w:rsidP="005E2D49">
            <w:pPr>
              <w:spacing w:after="0" w:line="240" w:lineRule="auto"/>
              <w:jc w:val="center"/>
              <w:rPr>
                <w:rFonts w:ascii="Calibri" w:eastAsia="Times New Roman" w:hAnsi="Calibri" w:cs="Calibri"/>
                <w:lang w:eastAsia="en-GB"/>
              </w:rPr>
            </w:pPr>
            <w:r>
              <w:rPr>
                <w:rFonts w:ascii="Calibri" w:hAnsi="Calibri" w:cs="Calibri"/>
                <w:color w:val="000000"/>
              </w:rPr>
              <w:t>657.70</w:t>
            </w:r>
          </w:p>
        </w:tc>
        <w:tc>
          <w:tcPr>
            <w:tcW w:w="1420" w:type="dxa"/>
            <w:tcBorders>
              <w:top w:val="nil"/>
              <w:left w:val="nil"/>
              <w:bottom w:val="single" w:sz="8" w:space="0" w:color="auto"/>
              <w:right w:val="single" w:sz="8" w:space="0" w:color="auto"/>
            </w:tcBorders>
            <w:vAlign w:val="center"/>
          </w:tcPr>
          <w:p w14:paraId="0049F1CA" w14:textId="1D8B7758" w:rsidR="005E2D49" w:rsidRPr="00C102D3" w:rsidRDefault="00B2007F" w:rsidP="005E2D49">
            <w:pPr>
              <w:spacing w:after="0" w:line="240" w:lineRule="auto"/>
              <w:jc w:val="center"/>
              <w:rPr>
                <w:rFonts w:ascii="Calibri" w:eastAsia="Times New Roman" w:hAnsi="Calibri" w:cs="Calibri"/>
                <w:lang w:eastAsia="en-GB"/>
              </w:rPr>
            </w:pPr>
            <w:r>
              <w:rPr>
                <w:rFonts w:ascii="Calibri" w:hAnsi="Calibri" w:cs="Calibri"/>
                <w:color w:val="000000"/>
              </w:rPr>
              <w:t>678.40</w:t>
            </w:r>
          </w:p>
        </w:tc>
        <w:tc>
          <w:tcPr>
            <w:tcW w:w="1420" w:type="dxa"/>
            <w:tcBorders>
              <w:top w:val="nil"/>
              <w:left w:val="nil"/>
              <w:bottom w:val="single" w:sz="8" w:space="0" w:color="auto"/>
              <w:right w:val="single" w:sz="8" w:space="0" w:color="auto"/>
            </w:tcBorders>
            <w:vAlign w:val="center"/>
          </w:tcPr>
          <w:p w14:paraId="4996A6B9" w14:textId="308EB392" w:rsidR="005E2D49" w:rsidRPr="00C102D3" w:rsidRDefault="00FC5E67" w:rsidP="005E2D49">
            <w:pPr>
              <w:spacing w:after="0" w:line="240" w:lineRule="auto"/>
              <w:jc w:val="center"/>
              <w:rPr>
                <w:rFonts w:ascii="Calibri" w:eastAsia="Times New Roman" w:hAnsi="Calibri" w:cs="Calibri"/>
                <w:lang w:eastAsia="en-GB"/>
              </w:rPr>
            </w:pPr>
            <w:r>
              <w:rPr>
                <w:rFonts w:ascii="Calibri" w:eastAsia="Times New Roman" w:hAnsi="Calibri" w:cs="Calibri"/>
                <w:lang w:eastAsia="en-GB"/>
              </w:rPr>
              <w:t>709.80</w:t>
            </w:r>
          </w:p>
        </w:tc>
      </w:tr>
      <w:tr w:rsidR="005E2D49" w:rsidRPr="00814B33" w14:paraId="13A832BE" w14:textId="3386DB34" w:rsidTr="00006B9F">
        <w:trPr>
          <w:trHeight w:val="315"/>
        </w:trPr>
        <w:tc>
          <w:tcPr>
            <w:tcW w:w="1900" w:type="dxa"/>
            <w:tcBorders>
              <w:top w:val="nil"/>
              <w:left w:val="single" w:sz="8" w:space="0" w:color="auto"/>
              <w:bottom w:val="single" w:sz="8" w:space="0" w:color="auto"/>
              <w:right w:val="single" w:sz="8" w:space="0" w:color="auto"/>
            </w:tcBorders>
            <w:shd w:val="clear" w:color="000000" w:fill="FFFFFF"/>
            <w:vAlign w:val="center"/>
            <w:hideMark/>
          </w:tcPr>
          <w:p w14:paraId="7B6CB0E4" w14:textId="77777777" w:rsidR="005E2D49" w:rsidRPr="00814B33" w:rsidRDefault="005E2D49" w:rsidP="005E2D49">
            <w:pPr>
              <w:spacing w:after="0" w:line="240" w:lineRule="auto"/>
              <w:rPr>
                <w:rFonts w:ascii="Arial" w:eastAsia="Times New Roman" w:hAnsi="Arial" w:cs="Arial"/>
                <w:b/>
                <w:bCs/>
                <w:sz w:val="18"/>
                <w:szCs w:val="18"/>
                <w:lang w:eastAsia="en-GB"/>
              </w:rPr>
            </w:pPr>
            <w:r w:rsidRPr="00814B33">
              <w:rPr>
                <w:rFonts w:ascii="Arial" w:eastAsia="Times New Roman" w:hAnsi="Arial" w:cs="Arial"/>
                <w:b/>
                <w:bCs/>
                <w:sz w:val="18"/>
                <w:szCs w:val="18"/>
                <w:lang w:eastAsia="en-GB"/>
              </w:rPr>
              <w:t> </w:t>
            </w:r>
          </w:p>
        </w:tc>
        <w:tc>
          <w:tcPr>
            <w:tcW w:w="1420" w:type="dxa"/>
            <w:tcBorders>
              <w:top w:val="nil"/>
              <w:left w:val="nil"/>
              <w:bottom w:val="single" w:sz="8" w:space="0" w:color="auto"/>
              <w:right w:val="single" w:sz="8" w:space="0" w:color="auto"/>
            </w:tcBorders>
            <w:noWrap/>
            <w:vAlign w:val="center"/>
          </w:tcPr>
          <w:p w14:paraId="13CB26CC" w14:textId="2666AEF1" w:rsidR="005E2D49" w:rsidRPr="00C102D3" w:rsidRDefault="005E2D49" w:rsidP="005E2D49">
            <w:pPr>
              <w:spacing w:after="0" w:line="240" w:lineRule="auto"/>
              <w:jc w:val="center"/>
              <w:rPr>
                <w:rFonts w:ascii="Calibri" w:eastAsia="Times New Roman" w:hAnsi="Calibri" w:cs="Calibri"/>
                <w:lang w:eastAsia="en-GB"/>
              </w:rPr>
            </w:pPr>
            <w:r>
              <w:rPr>
                <w:rFonts w:ascii="Calibri" w:hAnsi="Calibri" w:cs="Calibri"/>
                <w:color w:val="000000"/>
              </w:rPr>
              <w:t> </w:t>
            </w:r>
          </w:p>
        </w:tc>
        <w:tc>
          <w:tcPr>
            <w:tcW w:w="1420" w:type="dxa"/>
            <w:tcBorders>
              <w:top w:val="nil"/>
              <w:left w:val="nil"/>
              <w:bottom w:val="single" w:sz="8" w:space="0" w:color="auto"/>
              <w:right w:val="single" w:sz="8" w:space="0" w:color="auto"/>
            </w:tcBorders>
            <w:noWrap/>
            <w:vAlign w:val="center"/>
          </w:tcPr>
          <w:p w14:paraId="739C1F45" w14:textId="4C5209A6" w:rsidR="005E2D49" w:rsidRPr="00C102D3" w:rsidRDefault="005E2D49" w:rsidP="005E2D49">
            <w:pPr>
              <w:spacing w:after="0" w:line="240" w:lineRule="auto"/>
              <w:jc w:val="center"/>
              <w:rPr>
                <w:rFonts w:ascii="Calibri" w:eastAsia="Times New Roman" w:hAnsi="Calibri" w:cs="Calibri"/>
                <w:lang w:eastAsia="en-GB"/>
              </w:rPr>
            </w:pPr>
            <w:r>
              <w:rPr>
                <w:rFonts w:ascii="Calibri" w:hAnsi="Calibri" w:cs="Calibri"/>
                <w:color w:val="000000"/>
              </w:rPr>
              <w:t> </w:t>
            </w:r>
          </w:p>
        </w:tc>
        <w:tc>
          <w:tcPr>
            <w:tcW w:w="1420" w:type="dxa"/>
            <w:tcBorders>
              <w:top w:val="nil"/>
              <w:left w:val="nil"/>
              <w:bottom w:val="single" w:sz="8" w:space="0" w:color="auto"/>
              <w:right w:val="single" w:sz="8" w:space="0" w:color="auto"/>
            </w:tcBorders>
            <w:vAlign w:val="center"/>
          </w:tcPr>
          <w:p w14:paraId="47689EFD" w14:textId="024904B1" w:rsidR="005E2D49" w:rsidRPr="00C102D3" w:rsidRDefault="005E2D49" w:rsidP="005E2D49">
            <w:pPr>
              <w:spacing w:after="0" w:line="240" w:lineRule="auto"/>
              <w:jc w:val="center"/>
              <w:rPr>
                <w:rFonts w:ascii="Calibri" w:eastAsia="Times New Roman" w:hAnsi="Calibri" w:cs="Calibri"/>
                <w:lang w:eastAsia="en-GB"/>
              </w:rPr>
            </w:pPr>
            <w:r>
              <w:rPr>
                <w:rFonts w:ascii="Calibri" w:hAnsi="Calibri" w:cs="Calibri"/>
                <w:color w:val="000000"/>
              </w:rPr>
              <w:t> </w:t>
            </w:r>
          </w:p>
        </w:tc>
        <w:tc>
          <w:tcPr>
            <w:tcW w:w="1420" w:type="dxa"/>
            <w:tcBorders>
              <w:top w:val="nil"/>
              <w:left w:val="nil"/>
              <w:bottom w:val="single" w:sz="8" w:space="0" w:color="auto"/>
              <w:right w:val="single" w:sz="8" w:space="0" w:color="auto"/>
            </w:tcBorders>
            <w:vAlign w:val="center"/>
          </w:tcPr>
          <w:p w14:paraId="5794251E" w14:textId="4645B68B" w:rsidR="005E2D49" w:rsidRPr="00C102D3" w:rsidRDefault="005E2D49" w:rsidP="005E2D49">
            <w:pPr>
              <w:spacing w:after="0" w:line="240" w:lineRule="auto"/>
              <w:jc w:val="center"/>
              <w:rPr>
                <w:rFonts w:ascii="Calibri" w:eastAsia="Times New Roman" w:hAnsi="Calibri" w:cs="Calibri"/>
                <w:lang w:eastAsia="en-GB"/>
              </w:rPr>
            </w:pPr>
            <w:r>
              <w:rPr>
                <w:rFonts w:ascii="Calibri" w:hAnsi="Calibri" w:cs="Calibri"/>
                <w:color w:val="000000"/>
              </w:rPr>
              <w:t> </w:t>
            </w:r>
          </w:p>
        </w:tc>
      </w:tr>
      <w:tr w:rsidR="005E2D49" w:rsidRPr="00814B33" w14:paraId="1F230F88" w14:textId="6960D7D2" w:rsidTr="005E2D49">
        <w:trPr>
          <w:trHeight w:val="315"/>
        </w:trPr>
        <w:tc>
          <w:tcPr>
            <w:tcW w:w="1900" w:type="dxa"/>
            <w:tcBorders>
              <w:top w:val="nil"/>
              <w:left w:val="single" w:sz="8" w:space="0" w:color="auto"/>
              <w:bottom w:val="single" w:sz="8" w:space="0" w:color="auto"/>
              <w:right w:val="single" w:sz="8" w:space="0" w:color="auto"/>
            </w:tcBorders>
            <w:shd w:val="clear" w:color="000000" w:fill="FFFFFF"/>
            <w:vAlign w:val="center"/>
            <w:hideMark/>
          </w:tcPr>
          <w:p w14:paraId="36AF6CE7" w14:textId="77777777" w:rsidR="005E2D49" w:rsidRPr="00814B33" w:rsidRDefault="005E2D49" w:rsidP="005E2D49">
            <w:pPr>
              <w:spacing w:after="0" w:line="240" w:lineRule="auto"/>
              <w:rPr>
                <w:rFonts w:ascii="Arial" w:eastAsia="Times New Roman" w:hAnsi="Arial" w:cs="Arial"/>
                <w:b/>
                <w:bCs/>
                <w:sz w:val="18"/>
                <w:szCs w:val="18"/>
                <w:lang w:eastAsia="en-GB"/>
              </w:rPr>
            </w:pPr>
            <w:r w:rsidRPr="00814B33">
              <w:rPr>
                <w:rFonts w:ascii="Arial" w:eastAsia="Times New Roman" w:hAnsi="Arial" w:cs="Arial"/>
                <w:b/>
                <w:bCs/>
                <w:sz w:val="18"/>
                <w:szCs w:val="18"/>
                <w:lang w:eastAsia="en-GB"/>
              </w:rPr>
              <w:t>Male Part-time</w:t>
            </w:r>
          </w:p>
        </w:tc>
        <w:tc>
          <w:tcPr>
            <w:tcW w:w="1420" w:type="dxa"/>
            <w:tcBorders>
              <w:top w:val="nil"/>
              <w:left w:val="nil"/>
              <w:bottom w:val="single" w:sz="8" w:space="0" w:color="auto"/>
              <w:right w:val="single" w:sz="8" w:space="0" w:color="auto"/>
            </w:tcBorders>
            <w:shd w:val="clear" w:color="auto" w:fill="9CC2E5" w:themeFill="accent1" w:themeFillTint="99"/>
            <w:noWrap/>
            <w:vAlign w:val="center"/>
          </w:tcPr>
          <w:p w14:paraId="02F1B782" w14:textId="3C449FD9" w:rsidR="005E2D49" w:rsidRPr="00C102D3" w:rsidRDefault="00943671" w:rsidP="005E2D49">
            <w:pPr>
              <w:spacing w:after="0" w:line="240" w:lineRule="auto"/>
              <w:jc w:val="center"/>
              <w:rPr>
                <w:rFonts w:eastAsia="Times New Roman" w:cstheme="minorHAnsi"/>
                <w:lang w:eastAsia="en-GB"/>
              </w:rPr>
            </w:pPr>
            <w:r>
              <w:rPr>
                <w:rFonts w:ascii="Calibri" w:hAnsi="Calibri" w:cs="Calibri"/>
                <w:color w:val="000000"/>
              </w:rPr>
              <w:t>216.10</w:t>
            </w:r>
          </w:p>
        </w:tc>
        <w:tc>
          <w:tcPr>
            <w:tcW w:w="1420" w:type="dxa"/>
            <w:tcBorders>
              <w:top w:val="nil"/>
              <w:left w:val="nil"/>
              <w:bottom w:val="single" w:sz="8" w:space="0" w:color="auto"/>
              <w:right w:val="single" w:sz="8" w:space="0" w:color="auto"/>
            </w:tcBorders>
            <w:shd w:val="clear" w:color="auto" w:fill="9CC2E5" w:themeFill="accent1" w:themeFillTint="99"/>
            <w:noWrap/>
            <w:vAlign w:val="center"/>
          </w:tcPr>
          <w:p w14:paraId="0E19A4AF" w14:textId="30EEBC54" w:rsidR="005E2D49" w:rsidRPr="00C102D3" w:rsidRDefault="00C76FB1" w:rsidP="005E2D49">
            <w:pPr>
              <w:spacing w:after="0" w:line="240" w:lineRule="auto"/>
              <w:jc w:val="center"/>
              <w:rPr>
                <w:rFonts w:ascii="Calibri" w:eastAsia="Times New Roman" w:hAnsi="Calibri" w:cs="Calibri"/>
                <w:lang w:eastAsia="en-GB"/>
              </w:rPr>
            </w:pPr>
            <w:r>
              <w:rPr>
                <w:rFonts w:ascii="Calibri" w:hAnsi="Calibri" w:cs="Calibri"/>
                <w:color w:val="000000"/>
              </w:rPr>
              <w:t>230.70</w:t>
            </w:r>
          </w:p>
        </w:tc>
        <w:tc>
          <w:tcPr>
            <w:tcW w:w="1420" w:type="dxa"/>
            <w:tcBorders>
              <w:top w:val="nil"/>
              <w:left w:val="nil"/>
              <w:bottom w:val="single" w:sz="8" w:space="0" w:color="auto"/>
              <w:right w:val="single" w:sz="8" w:space="0" w:color="auto"/>
            </w:tcBorders>
            <w:shd w:val="clear" w:color="auto" w:fill="DEEAF6" w:themeFill="accent1" w:themeFillTint="33"/>
            <w:vAlign w:val="center"/>
          </w:tcPr>
          <w:p w14:paraId="08CF98BC" w14:textId="6BC06E05" w:rsidR="005E2D49" w:rsidRPr="00C102D3" w:rsidRDefault="00C76FB1" w:rsidP="005E2D49">
            <w:pPr>
              <w:spacing w:after="0" w:line="240" w:lineRule="auto"/>
              <w:jc w:val="center"/>
              <w:rPr>
                <w:rFonts w:ascii="Calibri" w:eastAsia="Times New Roman" w:hAnsi="Calibri" w:cs="Calibri"/>
                <w:lang w:eastAsia="en-GB"/>
              </w:rPr>
            </w:pPr>
            <w:r>
              <w:rPr>
                <w:rFonts w:ascii="Calibri" w:hAnsi="Calibri" w:cs="Calibri"/>
                <w:color w:val="000000"/>
              </w:rPr>
              <w:t>240.00</w:t>
            </w:r>
          </w:p>
        </w:tc>
        <w:tc>
          <w:tcPr>
            <w:tcW w:w="1420" w:type="dxa"/>
            <w:tcBorders>
              <w:top w:val="nil"/>
              <w:left w:val="nil"/>
              <w:bottom w:val="single" w:sz="8" w:space="0" w:color="auto"/>
              <w:right w:val="single" w:sz="8" w:space="0" w:color="auto"/>
            </w:tcBorders>
            <w:vAlign w:val="center"/>
          </w:tcPr>
          <w:p w14:paraId="43449105" w14:textId="07CDBC32" w:rsidR="005E2D49" w:rsidRPr="00C102D3" w:rsidRDefault="00D7798D" w:rsidP="005E2D49">
            <w:pPr>
              <w:spacing w:after="0" w:line="240" w:lineRule="auto"/>
              <w:jc w:val="center"/>
              <w:rPr>
                <w:rFonts w:ascii="Calibri" w:eastAsia="Times New Roman" w:hAnsi="Calibri" w:cs="Calibri"/>
                <w:lang w:eastAsia="en-GB"/>
              </w:rPr>
            </w:pPr>
            <w:r>
              <w:rPr>
                <w:rFonts w:ascii="Calibri" w:eastAsia="Times New Roman" w:hAnsi="Calibri" w:cs="Calibri"/>
                <w:lang w:eastAsia="en-GB"/>
              </w:rPr>
              <w:t>255.80</w:t>
            </w:r>
          </w:p>
        </w:tc>
      </w:tr>
      <w:tr w:rsidR="005E2D49" w:rsidRPr="00814B33" w14:paraId="48F19F9A" w14:textId="387C3EB7" w:rsidTr="005E2D49">
        <w:trPr>
          <w:trHeight w:val="315"/>
        </w:trPr>
        <w:tc>
          <w:tcPr>
            <w:tcW w:w="1900" w:type="dxa"/>
            <w:tcBorders>
              <w:top w:val="nil"/>
              <w:left w:val="single" w:sz="8" w:space="0" w:color="auto"/>
              <w:bottom w:val="single" w:sz="8" w:space="0" w:color="auto"/>
              <w:right w:val="single" w:sz="8" w:space="0" w:color="auto"/>
            </w:tcBorders>
            <w:shd w:val="clear" w:color="000000" w:fill="FFFFFF"/>
            <w:vAlign w:val="center"/>
            <w:hideMark/>
          </w:tcPr>
          <w:p w14:paraId="1F17A6D4" w14:textId="77777777" w:rsidR="005E2D49" w:rsidRPr="00814B33" w:rsidRDefault="005E2D49" w:rsidP="005E2D49">
            <w:pPr>
              <w:spacing w:after="0" w:line="240" w:lineRule="auto"/>
              <w:rPr>
                <w:rFonts w:ascii="Arial" w:eastAsia="Times New Roman" w:hAnsi="Arial" w:cs="Arial"/>
                <w:b/>
                <w:bCs/>
                <w:sz w:val="18"/>
                <w:szCs w:val="18"/>
                <w:lang w:eastAsia="en-GB"/>
              </w:rPr>
            </w:pPr>
            <w:r w:rsidRPr="00814B33">
              <w:rPr>
                <w:rFonts w:ascii="Arial" w:eastAsia="Times New Roman" w:hAnsi="Arial" w:cs="Arial"/>
                <w:b/>
                <w:bCs/>
                <w:sz w:val="18"/>
                <w:szCs w:val="18"/>
                <w:lang w:eastAsia="en-GB"/>
              </w:rPr>
              <w:t>Female Part-time</w:t>
            </w:r>
          </w:p>
        </w:tc>
        <w:tc>
          <w:tcPr>
            <w:tcW w:w="1420" w:type="dxa"/>
            <w:tcBorders>
              <w:top w:val="nil"/>
              <w:left w:val="nil"/>
              <w:bottom w:val="single" w:sz="8" w:space="0" w:color="auto"/>
              <w:right w:val="single" w:sz="8" w:space="0" w:color="auto"/>
            </w:tcBorders>
            <w:shd w:val="clear" w:color="auto" w:fill="DEEAF6" w:themeFill="accent1" w:themeFillTint="33"/>
            <w:noWrap/>
            <w:vAlign w:val="center"/>
          </w:tcPr>
          <w:p w14:paraId="6967E55C" w14:textId="7FED461C" w:rsidR="005E2D49" w:rsidRPr="00C102D3" w:rsidRDefault="00535F2F" w:rsidP="005E2D49">
            <w:pPr>
              <w:spacing w:after="0" w:line="240" w:lineRule="auto"/>
              <w:jc w:val="center"/>
              <w:rPr>
                <w:rFonts w:ascii="Calibri" w:eastAsia="Times New Roman" w:hAnsi="Calibri" w:cs="Calibri"/>
                <w:lang w:eastAsia="en-GB"/>
              </w:rPr>
            </w:pPr>
            <w:r>
              <w:rPr>
                <w:rFonts w:ascii="Calibri" w:hAnsi="Calibri" w:cs="Calibri"/>
                <w:color w:val="000000"/>
              </w:rPr>
              <w:t>297.40</w:t>
            </w:r>
          </w:p>
        </w:tc>
        <w:tc>
          <w:tcPr>
            <w:tcW w:w="1420" w:type="dxa"/>
            <w:tcBorders>
              <w:top w:val="nil"/>
              <w:left w:val="nil"/>
              <w:bottom w:val="single" w:sz="8" w:space="0" w:color="auto"/>
              <w:right w:val="single" w:sz="8" w:space="0" w:color="auto"/>
            </w:tcBorders>
            <w:shd w:val="clear" w:color="auto" w:fill="DEEAF6" w:themeFill="accent1" w:themeFillTint="33"/>
            <w:noWrap/>
            <w:vAlign w:val="center"/>
          </w:tcPr>
          <w:p w14:paraId="51D6EC2A" w14:textId="4E9AA800" w:rsidR="005E2D49" w:rsidRPr="00C102D3" w:rsidRDefault="00AB5EFF" w:rsidP="005E2D49">
            <w:pPr>
              <w:spacing w:after="0" w:line="240" w:lineRule="auto"/>
              <w:jc w:val="center"/>
              <w:rPr>
                <w:rFonts w:ascii="Calibri" w:eastAsia="Times New Roman" w:hAnsi="Calibri" w:cs="Calibri"/>
                <w:lang w:eastAsia="en-GB"/>
              </w:rPr>
            </w:pPr>
            <w:r>
              <w:rPr>
                <w:rFonts w:ascii="Calibri" w:hAnsi="Calibri" w:cs="Calibri"/>
                <w:color w:val="000000"/>
              </w:rPr>
              <w:t>305.40</w:t>
            </w:r>
          </w:p>
        </w:tc>
        <w:tc>
          <w:tcPr>
            <w:tcW w:w="1420" w:type="dxa"/>
            <w:tcBorders>
              <w:top w:val="nil"/>
              <w:left w:val="nil"/>
              <w:bottom w:val="single" w:sz="8" w:space="0" w:color="auto"/>
              <w:right w:val="single" w:sz="8" w:space="0" w:color="auto"/>
            </w:tcBorders>
            <w:vAlign w:val="center"/>
          </w:tcPr>
          <w:p w14:paraId="3D2ED6C2" w14:textId="4EFDAEA1" w:rsidR="005E2D49" w:rsidRPr="00C102D3" w:rsidRDefault="004E7689" w:rsidP="005E2D49">
            <w:pPr>
              <w:spacing w:after="0" w:line="240" w:lineRule="auto"/>
              <w:jc w:val="center"/>
              <w:rPr>
                <w:rFonts w:ascii="Calibri" w:eastAsia="Times New Roman" w:hAnsi="Calibri" w:cs="Calibri"/>
                <w:lang w:eastAsia="en-GB"/>
              </w:rPr>
            </w:pPr>
            <w:r>
              <w:rPr>
                <w:rFonts w:ascii="Calibri" w:hAnsi="Calibri" w:cs="Calibri"/>
                <w:color w:val="000000"/>
              </w:rPr>
              <w:t>284.40</w:t>
            </w:r>
          </w:p>
        </w:tc>
        <w:tc>
          <w:tcPr>
            <w:tcW w:w="1420" w:type="dxa"/>
            <w:tcBorders>
              <w:top w:val="nil"/>
              <w:left w:val="nil"/>
              <w:bottom w:val="single" w:sz="8" w:space="0" w:color="auto"/>
              <w:right w:val="single" w:sz="8" w:space="0" w:color="auto"/>
            </w:tcBorders>
            <w:vAlign w:val="center"/>
          </w:tcPr>
          <w:p w14:paraId="117EBA6A" w14:textId="1D045EE8" w:rsidR="005E2D49" w:rsidRPr="00C102D3" w:rsidRDefault="00FC5E67" w:rsidP="005E2D49">
            <w:pPr>
              <w:spacing w:after="0" w:line="240" w:lineRule="auto"/>
              <w:jc w:val="center"/>
              <w:rPr>
                <w:rFonts w:ascii="Calibri" w:eastAsia="Times New Roman" w:hAnsi="Calibri" w:cs="Calibri"/>
                <w:lang w:eastAsia="en-GB"/>
              </w:rPr>
            </w:pPr>
            <w:r>
              <w:rPr>
                <w:rFonts w:ascii="Calibri" w:eastAsia="Times New Roman" w:hAnsi="Calibri" w:cs="Calibri"/>
                <w:lang w:eastAsia="en-GB"/>
              </w:rPr>
              <w:t>288.50</w:t>
            </w:r>
          </w:p>
        </w:tc>
      </w:tr>
    </w:tbl>
    <w:p w14:paraId="24F2F7D9" w14:textId="2BCE2EC6" w:rsidR="00D76D6D" w:rsidRDefault="00814B33" w:rsidP="005D3CE9">
      <w:pPr>
        <w:rPr>
          <w:rFonts w:ascii="Calibri" w:hAnsi="Calibri" w:cs="Calibri"/>
          <w:i/>
          <w:sz w:val="20"/>
          <w:szCs w:val="20"/>
          <w:shd w:val="clear" w:color="auto" w:fill="FFFFFF"/>
        </w:rPr>
      </w:pPr>
      <w:r>
        <w:rPr>
          <w:i/>
          <w:sz w:val="20"/>
          <w:szCs w:val="20"/>
        </w:rPr>
        <w:br w:type="textWrapping" w:clear="all"/>
      </w:r>
      <w:r w:rsidR="009618DF" w:rsidRPr="00BA2E5D">
        <w:rPr>
          <w:i/>
          <w:sz w:val="20"/>
          <w:szCs w:val="20"/>
        </w:rPr>
        <w:t>Table 1</w:t>
      </w:r>
      <w:r w:rsidR="00090DFD" w:rsidRPr="00BA2E5D">
        <w:rPr>
          <w:i/>
          <w:sz w:val="20"/>
          <w:szCs w:val="20"/>
        </w:rPr>
        <w:t xml:space="preserve">: </w:t>
      </w:r>
      <w:r w:rsidR="00476125" w:rsidRPr="00BA2E5D">
        <w:rPr>
          <w:i/>
          <w:sz w:val="20"/>
          <w:szCs w:val="20"/>
        </w:rPr>
        <w:t xml:space="preserve"> </w:t>
      </w:r>
      <w:r w:rsidR="00B22592" w:rsidRPr="00BA2E5D">
        <w:rPr>
          <w:i/>
          <w:sz w:val="20"/>
          <w:szCs w:val="20"/>
        </w:rPr>
        <w:t xml:space="preserve">Median gross </w:t>
      </w:r>
      <w:r w:rsidR="00E82939">
        <w:rPr>
          <w:i/>
          <w:sz w:val="20"/>
          <w:szCs w:val="20"/>
        </w:rPr>
        <w:t xml:space="preserve">weekly </w:t>
      </w:r>
      <w:r w:rsidR="00476125" w:rsidRPr="00BA2E5D">
        <w:rPr>
          <w:i/>
          <w:sz w:val="20"/>
          <w:szCs w:val="20"/>
        </w:rPr>
        <w:t>pay in Armagh City, Banbridge and Craiga</w:t>
      </w:r>
      <w:r w:rsidR="00B22592" w:rsidRPr="00BA2E5D">
        <w:rPr>
          <w:i/>
          <w:sz w:val="20"/>
          <w:szCs w:val="20"/>
        </w:rPr>
        <w:t>von</w:t>
      </w:r>
      <w:r w:rsidR="00090DFD" w:rsidRPr="00BA2E5D">
        <w:rPr>
          <w:i/>
          <w:sz w:val="20"/>
          <w:szCs w:val="20"/>
        </w:rPr>
        <w:t xml:space="preserve"> Borough</w:t>
      </w:r>
      <w:r w:rsidR="00B22592" w:rsidRPr="00BA2E5D">
        <w:rPr>
          <w:i/>
          <w:sz w:val="20"/>
          <w:szCs w:val="20"/>
        </w:rPr>
        <w:t xml:space="preserve"> and Northern Ireland in </w:t>
      </w:r>
      <w:r w:rsidR="00B22592" w:rsidRPr="00BA2E5D">
        <w:rPr>
          <w:i/>
          <w:sz w:val="20"/>
          <w:szCs w:val="20"/>
        </w:rPr>
        <w:lastRenderedPageBreak/>
        <w:t>20</w:t>
      </w:r>
      <w:r w:rsidR="00465ED0">
        <w:rPr>
          <w:i/>
          <w:sz w:val="20"/>
          <w:szCs w:val="20"/>
        </w:rPr>
        <w:t>2</w:t>
      </w:r>
      <w:r w:rsidR="00B335F4">
        <w:rPr>
          <w:i/>
          <w:sz w:val="20"/>
          <w:szCs w:val="20"/>
        </w:rPr>
        <w:t>5</w:t>
      </w:r>
      <w:r w:rsidR="00BA2E5D" w:rsidRPr="00BA2E5D">
        <w:rPr>
          <w:i/>
          <w:sz w:val="20"/>
          <w:szCs w:val="20"/>
        </w:rPr>
        <w:t xml:space="preserve"> </w:t>
      </w:r>
      <w:r w:rsidR="00476125" w:rsidRPr="00BA2E5D">
        <w:rPr>
          <w:i/>
          <w:sz w:val="20"/>
          <w:szCs w:val="20"/>
        </w:rPr>
        <w:t xml:space="preserve">by gender and </w:t>
      </w:r>
      <w:r w:rsidR="00780C49" w:rsidRPr="00BA2E5D">
        <w:rPr>
          <w:i/>
          <w:sz w:val="20"/>
          <w:szCs w:val="20"/>
        </w:rPr>
        <w:t>employment type</w:t>
      </w:r>
      <w:r w:rsidR="00476125" w:rsidRPr="00BA2E5D">
        <w:rPr>
          <w:i/>
          <w:sz w:val="20"/>
          <w:szCs w:val="20"/>
        </w:rPr>
        <w:t xml:space="preserve">. Source: Annual Survey of Hours and Earnings, NISRA. </w:t>
      </w:r>
      <w:r w:rsidR="009C055C">
        <w:rPr>
          <w:i/>
          <w:sz w:val="20"/>
          <w:szCs w:val="20"/>
        </w:rPr>
        <w:t xml:space="preserve">Note: </w:t>
      </w:r>
      <w:r w:rsidR="009C055C" w:rsidRPr="009C055C">
        <w:rPr>
          <w:rFonts w:ascii="Calibri" w:hAnsi="Calibri" w:cs="Calibri"/>
          <w:i/>
          <w:sz w:val="20"/>
          <w:szCs w:val="20"/>
          <w:shd w:val="clear" w:color="auto" w:fill="FFFFFF"/>
        </w:rPr>
        <w:t>The colour coding within the tables indicates the quality of each estimate based on the coefficient of variation (CV) of that estimate.</w:t>
      </w:r>
      <w:r w:rsidR="009C055C">
        <w:rPr>
          <w:rFonts w:ascii="Calibri" w:hAnsi="Calibri" w:cs="Calibri"/>
          <w:i/>
          <w:sz w:val="20"/>
          <w:szCs w:val="20"/>
          <w:shd w:val="clear" w:color="auto" w:fill="FFFFFF"/>
        </w:rPr>
        <w:t xml:space="preserve"> The reliability of these estimates is illustrated in the Key.  </w:t>
      </w:r>
    </w:p>
    <w:tbl>
      <w:tblPr>
        <w:tblpPr w:leftFromText="180" w:rightFromText="180" w:vertAnchor="page" w:horzAnchor="page" w:tblpX="2026" w:tblpY="2489"/>
        <w:tblW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tblGrid>
      <w:tr w:rsidR="00D76D6D" w:rsidRPr="00814B33" w14:paraId="27351FF8" w14:textId="77777777" w:rsidTr="006C1913">
        <w:trPr>
          <w:trHeight w:val="300"/>
        </w:trPr>
        <w:tc>
          <w:tcPr>
            <w:tcW w:w="1980" w:type="dxa"/>
            <w:noWrap/>
            <w:vAlign w:val="bottom"/>
            <w:hideMark/>
          </w:tcPr>
          <w:p w14:paraId="0AA641C0" w14:textId="77777777" w:rsidR="00D76D6D" w:rsidRPr="00814B33" w:rsidRDefault="00D76D6D" w:rsidP="006C1913">
            <w:pPr>
              <w:spacing w:after="0" w:line="240" w:lineRule="auto"/>
              <w:rPr>
                <w:rFonts w:ascii="Calibri" w:eastAsia="Times New Roman" w:hAnsi="Calibri" w:cs="Calibri"/>
                <w:color w:val="000000"/>
                <w:lang w:eastAsia="en-GB"/>
              </w:rPr>
            </w:pPr>
            <w:r w:rsidRPr="00814B33">
              <w:rPr>
                <w:rFonts w:ascii="Calibri" w:eastAsia="Times New Roman" w:hAnsi="Calibri" w:cs="Calibri"/>
                <w:color w:val="000000"/>
                <w:lang w:eastAsia="en-GB"/>
              </w:rPr>
              <w:t>Precise</w:t>
            </w:r>
          </w:p>
        </w:tc>
      </w:tr>
      <w:tr w:rsidR="00D76D6D" w:rsidRPr="00814B33" w14:paraId="06F39834" w14:textId="77777777" w:rsidTr="006C1913">
        <w:trPr>
          <w:trHeight w:val="300"/>
        </w:trPr>
        <w:tc>
          <w:tcPr>
            <w:tcW w:w="1980" w:type="dxa"/>
            <w:shd w:val="clear" w:color="auto" w:fill="DEEAF6" w:themeFill="accent1" w:themeFillTint="33"/>
            <w:noWrap/>
            <w:vAlign w:val="bottom"/>
            <w:hideMark/>
          </w:tcPr>
          <w:p w14:paraId="3C182FEE" w14:textId="77777777" w:rsidR="00D76D6D" w:rsidRPr="00814B33" w:rsidRDefault="00D76D6D" w:rsidP="006C1913">
            <w:pPr>
              <w:spacing w:after="0" w:line="240" w:lineRule="auto"/>
              <w:rPr>
                <w:rFonts w:ascii="Calibri" w:eastAsia="Times New Roman" w:hAnsi="Calibri" w:cs="Calibri"/>
                <w:color w:val="000000"/>
                <w:lang w:eastAsia="en-GB"/>
              </w:rPr>
            </w:pPr>
            <w:r w:rsidRPr="00814B33">
              <w:rPr>
                <w:rFonts w:ascii="Calibri" w:eastAsia="Times New Roman" w:hAnsi="Calibri" w:cs="Calibri"/>
                <w:color w:val="000000"/>
                <w:lang w:eastAsia="en-GB"/>
              </w:rPr>
              <w:t>Reasonably Precise</w:t>
            </w:r>
          </w:p>
        </w:tc>
      </w:tr>
      <w:tr w:rsidR="00D76D6D" w:rsidRPr="00814B33" w14:paraId="308A2805" w14:textId="77777777" w:rsidTr="006C1913">
        <w:trPr>
          <w:trHeight w:val="300"/>
        </w:trPr>
        <w:tc>
          <w:tcPr>
            <w:tcW w:w="1980" w:type="dxa"/>
            <w:shd w:val="clear" w:color="auto" w:fill="9CC2E5" w:themeFill="accent1" w:themeFillTint="99"/>
            <w:noWrap/>
            <w:vAlign w:val="bottom"/>
            <w:hideMark/>
          </w:tcPr>
          <w:p w14:paraId="4A22B518" w14:textId="77777777" w:rsidR="00D76D6D" w:rsidRPr="00814B33" w:rsidRDefault="00D76D6D" w:rsidP="006C1913">
            <w:pPr>
              <w:spacing w:after="0" w:line="240" w:lineRule="auto"/>
              <w:rPr>
                <w:rFonts w:ascii="Calibri" w:eastAsia="Times New Roman" w:hAnsi="Calibri" w:cs="Calibri"/>
                <w:color w:val="000000"/>
                <w:lang w:eastAsia="en-GB"/>
              </w:rPr>
            </w:pPr>
            <w:r w:rsidRPr="00814B33">
              <w:rPr>
                <w:rFonts w:ascii="Calibri" w:eastAsia="Times New Roman" w:hAnsi="Calibri" w:cs="Calibri"/>
                <w:color w:val="000000"/>
                <w:lang w:eastAsia="en-GB"/>
              </w:rPr>
              <w:t>Acceptable</w:t>
            </w:r>
          </w:p>
        </w:tc>
      </w:tr>
      <w:tr w:rsidR="00D76D6D" w:rsidRPr="00814B33" w14:paraId="66BCE7FD" w14:textId="77777777" w:rsidTr="006C1913">
        <w:trPr>
          <w:trHeight w:val="300"/>
        </w:trPr>
        <w:tc>
          <w:tcPr>
            <w:tcW w:w="1980" w:type="dxa"/>
            <w:noWrap/>
            <w:vAlign w:val="bottom"/>
            <w:hideMark/>
          </w:tcPr>
          <w:p w14:paraId="3F2E1A8A" w14:textId="77777777" w:rsidR="00D76D6D" w:rsidRPr="00814B33" w:rsidRDefault="00D76D6D" w:rsidP="006C1913">
            <w:pPr>
              <w:spacing w:after="0" w:line="240" w:lineRule="auto"/>
              <w:rPr>
                <w:rFonts w:ascii="Calibri" w:eastAsia="Times New Roman" w:hAnsi="Calibri" w:cs="Calibri"/>
                <w:color w:val="000000"/>
                <w:lang w:eastAsia="en-GB"/>
              </w:rPr>
            </w:pPr>
            <w:r w:rsidRPr="00814B33">
              <w:rPr>
                <w:rFonts w:ascii="Calibri" w:eastAsia="Times New Roman" w:hAnsi="Calibri" w:cs="Calibri"/>
                <w:color w:val="000000"/>
                <w:lang w:eastAsia="en-GB"/>
              </w:rPr>
              <w:t>(u) Unreliable</w:t>
            </w:r>
          </w:p>
        </w:tc>
      </w:tr>
    </w:tbl>
    <w:p w14:paraId="0F372DC7" w14:textId="357651C6" w:rsidR="00C52D28" w:rsidRPr="00814B33" w:rsidRDefault="00C52D28" w:rsidP="00C52D28">
      <w:pPr>
        <w:rPr>
          <w:b/>
          <w:i/>
        </w:rPr>
      </w:pPr>
      <w:r w:rsidRPr="00814B33">
        <w:rPr>
          <w:b/>
          <w:i/>
        </w:rPr>
        <w:t>Key:</w:t>
      </w:r>
    </w:p>
    <w:p w14:paraId="10A8F695" w14:textId="77777777" w:rsidR="00C52D28" w:rsidRDefault="00C52D28" w:rsidP="005D3CE9"/>
    <w:p w14:paraId="3139C03E" w14:textId="77777777" w:rsidR="006C1913" w:rsidRDefault="006C1913" w:rsidP="005D3CE9"/>
    <w:p w14:paraId="2971B469" w14:textId="77777777" w:rsidR="00C52D28" w:rsidRDefault="00C52D28" w:rsidP="005D3CE9"/>
    <w:p w14:paraId="6BD5C714" w14:textId="479427CC" w:rsidR="002C42A2" w:rsidRPr="00D87B67" w:rsidRDefault="008245F5" w:rsidP="000310F2">
      <w:pPr>
        <w:rPr>
          <w:rFonts w:cstheme="minorHAnsi"/>
          <w:shd w:val="clear" w:color="auto" w:fill="FFFFFF"/>
        </w:rPr>
      </w:pPr>
      <w:r w:rsidRPr="00D76D6D">
        <w:rPr>
          <w:rFonts w:cstheme="minorHAnsi"/>
          <w:shd w:val="clear" w:color="auto" w:fill="FFFFFF"/>
        </w:rPr>
        <w:t xml:space="preserve">Median gross weekly earnings for full-time employees </w:t>
      </w:r>
      <w:proofErr w:type="gramStart"/>
      <w:r w:rsidRPr="00D76D6D">
        <w:rPr>
          <w:rFonts w:cstheme="minorHAnsi"/>
          <w:shd w:val="clear" w:color="auto" w:fill="FFFFFF"/>
        </w:rPr>
        <w:t>is</w:t>
      </w:r>
      <w:proofErr w:type="gramEnd"/>
      <w:r w:rsidRPr="00D76D6D">
        <w:rPr>
          <w:rFonts w:cstheme="minorHAnsi"/>
          <w:shd w:val="clear" w:color="auto" w:fill="FFFFFF"/>
        </w:rPr>
        <w:t xml:space="preserve"> the headline measure of earnings from the ASHE.  </w:t>
      </w:r>
      <w:r w:rsidRPr="002C42A2">
        <w:rPr>
          <w:rFonts w:cstheme="minorHAnsi"/>
          <w:shd w:val="clear" w:color="auto" w:fill="FFFFFF"/>
        </w:rPr>
        <w:t xml:space="preserve">As presented in Table 1, the median gross weekly earnings of full-time employees working in the borough is </w:t>
      </w:r>
      <w:r w:rsidR="002C42A2" w:rsidRPr="002C42A2">
        <w:rPr>
          <w:rFonts w:cstheme="minorHAnsi"/>
          <w:shd w:val="clear" w:color="auto" w:fill="FFFFFF"/>
        </w:rPr>
        <w:t>almost</w:t>
      </w:r>
      <w:r w:rsidRPr="002C42A2">
        <w:rPr>
          <w:rFonts w:cstheme="minorHAnsi"/>
          <w:shd w:val="clear" w:color="auto" w:fill="FFFFFF"/>
        </w:rPr>
        <w:t xml:space="preserve"> </w:t>
      </w:r>
      <w:r w:rsidR="00252AD2">
        <w:rPr>
          <w:rFonts w:cstheme="minorHAnsi"/>
          <w:shd w:val="clear" w:color="auto" w:fill="FFFFFF"/>
        </w:rPr>
        <w:t>£38</w:t>
      </w:r>
      <w:r w:rsidRPr="002C42A2">
        <w:rPr>
          <w:rFonts w:cstheme="minorHAnsi"/>
          <w:shd w:val="clear" w:color="auto" w:fill="FFFFFF"/>
        </w:rPr>
        <w:t xml:space="preserve"> below the Northern Ireland average</w:t>
      </w:r>
      <w:r w:rsidR="002C42A2" w:rsidRPr="002C42A2">
        <w:rPr>
          <w:rFonts w:cstheme="minorHAnsi"/>
          <w:shd w:val="clear" w:color="auto" w:fill="FFFFFF"/>
        </w:rPr>
        <w:t xml:space="preserve"> in 202</w:t>
      </w:r>
      <w:r w:rsidR="00252AD2">
        <w:rPr>
          <w:rFonts w:cstheme="minorHAnsi"/>
          <w:shd w:val="clear" w:color="auto" w:fill="FFFFFF"/>
        </w:rPr>
        <w:t>5</w:t>
      </w:r>
      <w:r w:rsidR="002C42A2" w:rsidRPr="002C42A2">
        <w:rPr>
          <w:rFonts w:cstheme="minorHAnsi"/>
          <w:shd w:val="clear" w:color="auto" w:fill="FFFFFF"/>
        </w:rPr>
        <w:t xml:space="preserve"> and Northern Ireland is more than £</w:t>
      </w:r>
      <w:r w:rsidR="00252AD2">
        <w:rPr>
          <w:rFonts w:cstheme="minorHAnsi"/>
          <w:shd w:val="clear" w:color="auto" w:fill="FFFFFF"/>
        </w:rPr>
        <w:t>5</w:t>
      </w:r>
      <w:r w:rsidR="002C42A2" w:rsidRPr="002C42A2">
        <w:rPr>
          <w:rFonts w:cstheme="minorHAnsi"/>
          <w:shd w:val="clear" w:color="auto" w:fill="FFFFFF"/>
        </w:rPr>
        <w:t xml:space="preserve">0 </w:t>
      </w:r>
      <w:r w:rsidR="003C5D3D" w:rsidRPr="002C42A2">
        <w:rPr>
          <w:rFonts w:cstheme="minorHAnsi"/>
          <w:shd w:val="clear" w:color="auto" w:fill="FFFFFF"/>
        </w:rPr>
        <w:t xml:space="preserve">below the UK average. </w:t>
      </w:r>
      <w:r w:rsidR="002C42A2">
        <w:rPr>
          <w:rFonts w:cstheme="minorHAnsi"/>
          <w:shd w:val="clear" w:color="auto" w:fill="FFFFFF"/>
        </w:rPr>
        <w:t xml:space="preserve"> Until 2023</w:t>
      </w:r>
      <w:r w:rsidR="002C42A2" w:rsidRPr="00D87B67">
        <w:rPr>
          <w:rFonts w:cstheme="minorHAnsi"/>
          <w:shd w:val="clear" w:color="auto" w:fill="FFFFFF"/>
        </w:rPr>
        <w:t>, the</w:t>
      </w:r>
      <w:r w:rsidR="00102FA1" w:rsidRPr="00D87B67">
        <w:rPr>
          <w:rFonts w:cstheme="minorHAnsi"/>
          <w:shd w:val="clear" w:color="auto" w:fill="FFFFFF"/>
        </w:rPr>
        <w:t xml:space="preserve"> median gross weekly earnings for full-time employees residing in the borough </w:t>
      </w:r>
      <w:r w:rsidR="00D87B67" w:rsidRPr="00D87B67">
        <w:rPr>
          <w:rFonts w:cstheme="minorHAnsi"/>
          <w:shd w:val="clear" w:color="auto" w:fill="FFFFFF"/>
        </w:rPr>
        <w:t>w</w:t>
      </w:r>
      <w:r w:rsidR="002C42A2" w:rsidRPr="00D87B67">
        <w:rPr>
          <w:rFonts w:cstheme="minorHAnsi"/>
          <w:shd w:val="clear" w:color="auto" w:fill="FFFFFF"/>
        </w:rPr>
        <w:t>as always higher than that of those working in the Borough.  However, in 2023, the median gross weekly earnings of residents fell to £2.20 below the earnings of those working in the Borough</w:t>
      </w:r>
      <w:r w:rsidR="00D87B67" w:rsidRPr="00D87B67">
        <w:rPr>
          <w:rFonts w:cstheme="minorHAnsi"/>
          <w:shd w:val="clear" w:color="auto" w:fill="FFFFFF"/>
        </w:rPr>
        <w:t>.  In 202</w:t>
      </w:r>
      <w:r w:rsidR="00252AD2">
        <w:rPr>
          <w:rFonts w:cstheme="minorHAnsi"/>
          <w:shd w:val="clear" w:color="auto" w:fill="FFFFFF"/>
        </w:rPr>
        <w:t>5</w:t>
      </w:r>
      <w:r w:rsidR="00F635CF">
        <w:rPr>
          <w:rFonts w:cstheme="minorHAnsi"/>
          <w:shd w:val="clear" w:color="auto" w:fill="FFFFFF"/>
        </w:rPr>
        <w:t xml:space="preserve"> this was repeated with</w:t>
      </w:r>
      <w:r w:rsidR="00D87B67" w:rsidRPr="00D87B67">
        <w:rPr>
          <w:rFonts w:cstheme="minorHAnsi"/>
          <w:shd w:val="clear" w:color="auto" w:fill="FFFFFF"/>
        </w:rPr>
        <w:t xml:space="preserve"> </w:t>
      </w:r>
      <w:r w:rsidR="00252AD2">
        <w:rPr>
          <w:rFonts w:cstheme="minorHAnsi"/>
          <w:shd w:val="clear" w:color="auto" w:fill="FFFFFF"/>
        </w:rPr>
        <w:t xml:space="preserve">the median gross </w:t>
      </w:r>
      <w:r w:rsidR="00D87B67" w:rsidRPr="00D87B67">
        <w:rPr>
          <w:rFonts w:cstheme="minorHAnsi"/>
          <w:shd w:val="clear" w:color="auto" w:fill="FFFFFF"/>
        </w:rPr>
        <w:t xml:space="preserve">weekly earnings of residents </w:t>
      </w:r>
      <w:r w:rsidR="006B11DF">
        <w:rPr>
          <w:rFonts w:cstheme="minorHAnsi"/>
          <w:shd w:val="clear" w:color="auto" w:fill="FFFFFF"/>
        </w:rPr>
        <w:t>being</w:t>
      </w:r>
      <w:r w:rsidR="00D87B67" w:rsidRPr="00D87B67">
        <w:rPr>
          <w:rFonts w:cstheme="minorHAnsi"/>
          <w:shd w:val="clear" w:color="auto" w:fill="FFFFFF"/>
        </w:rPr>
        <w:t xml:space="preserve"> </w:t>
      </w:r>
      <w:r w:rsidR="00F635CF">
        <w:rPr>
          <w:rFonts w:cstheme="minorHAnsi"/>
          <w:shd w:val="clear" w:color="auto" w:fill="FFFFFF"/>
        </w:rPr>
        <w:t>£4</w:t>
      </w:r>
      <w:r w:rsidR="00D87B67" w:rsidRPr="00D87B67">
        <w:rPr>
          <w:rFonts w:cstheme="minorHAnsi"/>
          <w:shd w:val="clear" w:color="auto" w:fill="FFFFFF"/>
        </w:rPr>
        <w:t>.</w:t>
      </w:r>
      <w:r w:rsidR="00F635CF">
        <w:rPr>
          <w:rFonts w:cstheme="minorHAnsi"/>
          <w:shd w:val="clear" w:color="auto" w:fill="FFFFFF"/>
        </w:rPr>
        <w:t>3</w:t>
      </w:r>
      <w:r w:rsidR="00D87B67" w:rsidRPr="00D87B67">
        <w:rPr>
          <w:rFonts w:cstheme="minorHAnsi"/>
          <w:shd w:val="clear" w:color="auto" w:fill="FFFFFF"/>
        </w:rPr>
        <w:t xml:space="preserve">0 </w:t>
      </w:r>
      <w:r w:rsidR="00F635CF">
        <w:rPr>
          <w:rFonts w:cstheme="minorHAnsi"/>
          <w:shd w:val="clear" w:color="auto" w:fill="FFFFFF"/>
        </w:rPr>
        <w:t>lower</w:t>
      </w:r>
      <w:r w:rsidR="00D87B67" w:rsidRPr="00D87B67">
        <w:rPr>
          <w:rFonts w:cstheme="minorHAnsi"/>
          <w:shd w:val="clear" w:color="auto" w:fill="FFFFFF"/>
        </w:rPr>
        <w:t xml:space="preserve"> than that of those working in the Borough.</w:t>
      </w:r>
    </w:p>
    <w:p w14:paraId="68CD76A7" w14:textId="50E36C0B" w:rsidR="00AA51AE" w:rsidRPr="005E2D49" w:rsidRDefault="008245F5" w:rsidP="008245F5">
      <w:pPr>
        <w:rPr>
          <w:highlight w:val="yellow"/>
        </w:rPr>
      </w:pPr>
      <w:r w:rsidRPr="00D87B67">
        <w:t xml:space="preserve">The median gross weekly full-time pay </w:t>
      </w:r>
      <w:r w:rsidR="00B15975" w:rsidRPr="00D87B67">
        <w:t>between 201</w:t>
      </w:r>
      <w:r w:rsidR="00F635CF">
        <w:t>5</w:t>
      </w:r>
      <w:r w:rsidR="00672D0C">
        <w:t xml:space="preserve"> </w:t>
      </w:r>
      <w:r w:rsidR="00B15975" w:rsidRPr="00D87B67">
        <w:t>and 202</w:t>
      </w:r>
      <w:r w:rsidR="00F635CF">
        <w:t>5</w:t>
      </w:r>
      <w:r w:rsidR="00B15975" w:rsidRPr="00D87B67">
        <w:t xml:space="preserve"> </w:t>
      </w:r>
      <w:r w:rsidRPr="00D87B67">
        <w:t xml:space="preserve">for those living and working in the borough is presented in Table </w:t>
      </w:r>
      <w:r w:rsidR="00697642" w:rsidRPr="00D87B67">
        <w:t>2</w:t>
      </w:r>
      <w:r w:rsidRPr="00D87B67">
        <w:t xml:space="preserve"> with the average for Northern Ireland overall.  </w:t>
      </w:r>
      <w:r w:rsidR="00B15975" w:rsidRPr="00D87B67">
        <w:t>Between 201</w:t>
      </w:r>
      <w:r w:rsidR="00F635CF">
        <w:t>5</w:t>
      </w:r>
      <w:r w:rsidR="00B15975" w:rsidRPr="00D87B67">
        <w:t xml:space="preserve"> and 202</w:t>
      </w:r>
      <w:r w:rsidR="00F635CF">
        <w:t>5</w:t>
      </w:r>
      <w:r w:rsidR="00B15975" w:rsidRPr="00D87B67">
        <w:t>, the median gross weekly earnings for residents of the borough increased by approximately £</w:t>
      </w:r>
      <w:r w:rsidR="008864B7">
        <w:t>19.17</w:t>
      </w:r>
      <w:r w:rsidR="00B15975" w:rsidRPr="00D87B67">
        <w:t xml:space="preserve"> each year.  For those working in the borough the increase was approximately £</w:t>
      </w:r>
      <w:r w:rsidR="008864B7">
        <w:t>21.13</w:t>
      </w:r>
      <w:r w:rsidR="00D87B67" w:rsidRPr="00D87B67">
        <w:t xml:space="preserve"> </w:t>
      </w:r>
      <w:r w:rsidR="00B15975" w:rsidRPr="00D87B67">
        <w:t xml:space="preserve">per </w:t>
      </w:r>
      <w:r w:rsidR="00F61317">
        <w:t>annum</w:t>
      </w:r>
      <w:r w:rsidR="00B15975" w:rsidRPr="00F61317">
        <w:t>.  However, between 2020 and 2021, weekly earnings increased by £</w:t>
      </w:r>
      <w:r w:rsidR="00BA790B" w:rsidRPr="00F61317">
        <w:t>54.70</w:t>
      </w:r>
      <w:r w:rsidR="00B15975" w:rsidRPr="00F61317">
        <w:t xml:space="preserve"> for those working in the borough and £</w:t>
      </w:r>
      <w:r w:rsidR="00BA790B" w:rsidRPr="00F61317">
        <w:t>49.10</w:t>
      </w:r>
      <w:r w:rsidR="00B15975" w:rsidRPr="00F61317">
        <w:t xml:space="preserve"> for residents</w:t>
      </w:r>
      <w:r w:rsidR="00BA790B" w:rsidRPr="00F61317">
        <w:t xml:space="preserve">.  While this remains the highest annual increase, it </w:t>
      </w:r>
      <w:r w:rsidR="008864B7">
        <w:t xml:space="preserve">was </w:t>
      </w:r>
      <w:r w:rsidR="00BA790B" w:rsidRPr="00F61317">
        <w:t>followed</w:t>
      </w:r>
      <w:r w:rsidR="008864B7">
        <w:t xml:space="preserve"> by</w:t>
      </w:r>
      <w:r w:rsidR="00BA790B" w:rsidRPr="00F61317">
        <w:t xml:space="preserve"> the only decrease of the years presented.  </w:t>
      </w:r>
      <w:r w:rsidR="00CA0DE5" w:rsidRPr="00F61317">
        <w:t>Prior to 2020, the average annual increase was approximately £18.90 per annum</w:t>
      </w:r>
      <w:r w:rsidR="00F61317" w:rsidRPr="00F61317">
        <w:t xml:space="preserve"> for both those working in the Borough and residents</w:t>
      </w:r>
      <w:r w:rsidR="00CA0DE5" w:rsidRPr="00F61317">
        <w:t>.  Between 202</w:t>
      </w:r>
      <w:r w:rsidR="008864B7">
        <w:t>1</w:t>
      </w:r>
      <w:r w:rsidR="00CA0DE5" w:rsidRPr="00F61317">
        <w:t xml:space="preserve"> and 202</w:t>
      </w:r>
      <w:r w:rsidR="008864B7">
        <w:t>5</w:t>
      </w:r>
      <w:r w:rsidR="00CA0DE5" w:rsidRPr="00F61317">
        <w:t>, the average annual increase for residents was approximately £</w:t>
      </w:r>
      <w:r w:rsidR="008864B7">
        <w:t>19.24</w:t>
      </w:r>
      <w:r w:rsidR="00CA0DE5" w:rsidRPr="00F61317">
        <w:t xml:space="preserve"> while the average annual increase for those working in the borough was £</w:t>
      </w:r>
      <w:r w:rsidR="008864B7">
        <w:t>22.50</w:t>
      </w:r>
      <w:r w:rsidR="00CA0DE5" w:rsidRPr="00F61317">
        <w:t xml:space="preserve"> per annum. </w:t>
      </w:r>
    </w:p>
    <w:tbl>
      <w:tblPr>
        <w:tblW w:w="6369" w:type="dxa"/>
        <w:tblLook w:val="04A0" w:firstRow="1" w:lastRow="0" w:firstColumn="1" w:lastColumn="0" w:noHBand="0" w:noVBand="1"/>
      </w:tblPr>
      <w:tblGrid>
        <w:gridCol w:w="1381"/>
        <w:gridCol w:w="1662"/>
        <w:gridCol w:w="1663"/>
        <w:gridCol w:w="1663"/>
      </w:tblGrid>
      <w:tr w:rsidR="00B15975" w:rsidRPr="00D76D6D" w14:paraId="4EB7AF16" w14:textId="77777777" w:rsidTr="00EC7593">
        <w:trPr>
          <w:trHeight w:val="615"/>
        </w:trPr>
        <w:tc>
          <w:tcPr>
            <w:tcW w:w="138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4A8D8FB" w14:textId="77777777" w:rsidR="00B15975" w:rsidRPr="00D76D6D" w:rsidRDefault="00B15975" w:rsidP="00EC7593">
            <w:pPr>
              <w:spacing w:after="0" w:line="240" w:lineRule="auto"/>
              <w:jc w:val="center"/>
              <w:rPr>
                <w:rFonts w:ascii="Calibri" w:eastAsia="Times New Roman" w:hAnsi="Calibri" w:cs="Calibri"/>
                <w:b/>
                <w:bCs/>
                <w:lang w:eastAsia="en-GB"/>
              </w:rPr>
            </w:pPr>
            <w:r w:rsidRPr="00D76D6D">
              <w:rPr>
                <w:rFonts w:ascii="Calibri" w:eastAsia="Times New Roman" w:hAnsi="Calibri" w:cs="Calibri"/>
                <w:b/>
                <w:bCs/>
                <w:lang w:eastAsia="en-GB"/>
              </w:rPr>
              <w:t> </w:t>
            </w:r>
          </w:p>
        </w:tc>
        <w:tc>
          <w:tcPr>
            <w:tcW w:w="1662" w:type="dxa"/>
            <w:tcBorders>
              <w:top w:val="single" w:sz="8" w:space="0" w:color="auto"/>
              <w:left w:val="nil"/>
              <w:bottom w:val="single" w:sz="8" w:space="0" w:color="auto"/>
              <w:right w:val="single" w:sz="8" w:space="0" w:color="auto"/>
            </w:tcBorders>
            <w:vAlign w:val="center"/>
            <w:hideMark/>
          </w:tcPr>
          <w:p w14:paraId="6C9903DA" w14:textId="77777777" w:rsidR="00B15975" w:rsidRPr="00D76D6D" w:rsidRDefault="00B15975" w:rsidP="00EC7593">
            <w:pPr>
              <w:spacing w:after="0" w:line="240" w:lineRule="auto"/>
              <w:jc w:val="center"/>
              <w:rPr>
                <w:rFonts w:ascii="Calibri" w:eastAsia="Times New Roman" w:hAnsi="Calibri" w:cs="Calibri"/>
                <w:b/>
                <w:bCs/>
                <w:lang w:eastAsia="en-GB"/>
              </w:rPr>
            </w:pPr>
            <w:r w:rsidRPr="00D76D6D">
              <w:rPr>
                <w:rFonts w:ascii="Calibri" w:eastAsia="Times New Roman" w:hAnsi="Calibri" w:cs="Calibri"/>
                <w:b/>
                <w:bCs/>
                <w:lang w:eastAsia="en-GB"/>
              </w:rPr>
              <w:t>Resident of ABC (£)</w:t>
            </w:r>
          </w:p>
        </w:tc>
        <w:tc>
          <w:tcPr>
            <w:tcW w:w="1663" w:type="dxa"/>
            <w:tcBorders>
              <w:top w:val="single" w:sz="8" w:space="0" w:color="auto"/>
              <w:left w:val="nil"/>
              <w:bottom w:val="single" w:sz="8" w:space="0" w:color="auto"/>
              <w:right w:val="single" w:sz="8" w:space="0" w:color="auto"/>
            </w:tcBorders>
            <w:vAlign w:val="center"/>
            <w:hideMark/>
          </w:tcPr>
          <w:p w14:paraId="4535A6E6" w14:textId="77777777" w:rsidR="00B15975" w:rsidRPr="00D76D6D" w:rsidRDefault="00B15975" w:rsidP="00EC7593">
            <w:pPr>
              <w:spacing w:after="0" w:line="240" w:lineRule="auto"/>
              <w:jc w:val="center"/>
              <w:rPr>
                <w:rFonts w:ascii="Calibri" w:eastAsia="Times New Roman" w:hAnsi="Calibri" w:cs="Calibri"/>
                <w:b/>
                <w:bCs/>
                <w:lang w:eastAsia="en-GB"/>
              </w:rPr>
            </w:pPr>
            <w:r w:rsidRPr="00D76D6D">
              <w:rPr>
                <w:rFonts w:ascii="Calibri" w:eastAsia="Times New Roman" w:hAnsi="Calibri" w:cs="Calibri"/>
                <w:b/>
                <w:bCs/>
                <w:lang w:eastAsia="en-GB"/>
              </w:rPr>
              <w:t xml:space="preserve">Working </w:t>
            </w:r>
            <w:proofErr w:type="gramStart"/>
            <w:r w:rsidRPr="00D76D6D">
              <w:rPr>
                <w:rFonts w:ascii="Calibri" w:eastAsia="Times New Roman" w:hAnsi="Calibri" w:cs="Calibri"/>
                <w:b/>
                <w:bCs/>
                <w:lang w:eastAsia="en-GB"/>
              </w:rPr>
              <w:t>in  ABC</w:t>
            </w:r>
            <w:proofErr w:type="gramEnd"/>
            <w:r w:rsidRPr="00D76D6D">
              <w:rPr>
                <w:rFonts w:ascii="Calibri" w:eastAsia="Times New Roman" w:hAnsi="Calibri" w:cs="Calibri"/>
                <w:b/>
                <w:bCs/>
                <w:lang w:eastAsia="en-GB"/>
              </w:rPr>
              <w:t xml:space="preserve"> (£)</w:t>
            </w:r>
          </w:p>
        </w:tc>
        <w:tc>
          <w:tcPr>
            <w:tcW w:w="1663" w:type="dxa"/>
            <w:tcBorders>
              <w:top w:val="single" w:sz="8" w:space="0" w:color="auto"/>
              <w:left w:val="nil"/>
              <w:bottom w:val="single" w:sz="8" w:space="0" w:color="auto"/>
              <w:right w:val="single" w:sz="8" w:space="0" w:color="auto"/>
            </w:tcBorders>
            <w:vAlign w:val="center"/>
            <w:hideMark/>
          </w:tcPr>
          <w:p w14:paraId="3650A431" w14:textId="77777777" w:rsidR="00B15975" w:rsidRPr="00D76D6D" w:rsidRDefault="00B15975" w:rsidP="00EC7593">
            <w:pPr>
              <w:spacing w:after="0" w:line="240" w:lineRule="auto"/>
              <w:jc w:val="center"/>
              <w:rPr>
                <w:rFonts w:ascii="Calibri" w:eastAsia="Times New Roman" w:hAnsi="Calibri" w:cs="Calibri"/>
                <w:b/>
                <w:bCs/>
                <w:lang w:eastAsia="en-GB"/>
              </w:rPr>
            </w:pPr>
            <w:r w:rsidRPr="00D76D6D">
              <w:rPr>
                <w:rFonts w:ascii="Calibri" w:eastAsia="Times New Roman" w:hAnsi="Calibri" w:cs="Calibri"/>
                <w:b/>
                <w:bCs/>
                <w:lang w:eastAsia="en-GB"/>
              </w:rPr>
              <w:t>Northern Ireland (£)</w:t>
            </w:r>
          </w:p>
        </w:tc>
      </w:tr>
      <w:tr w:rsidR="00B15975" w:rsidRPr="00D76D6D" w14:paraId="1B3F37A0" w14:textId="77777777" w:rsidTr="00A51DA9">
        <w:trPr>
          <w:trHeight w:val="315"/>
        </w:trPr>
        <w:tc>
          <w:tcPr>
            <w:tcW w:w="1381" w:type="dxa"/>
            <w:tcBorders>
              <w:top w:val="nil"/>
              <w:left w:val="single" w:sz="8" w:space="0" w:color="auto"/>
              <w:bottom w:val="single" w:sz="8" w:space="0" w:color="auto"/>
              <w:right w:val="single" w:sz="8" w:space="0" w:color="auto"/>
            </w:tcBorders>
            <w:shd w:val="clear" w:color="000000" w:fill="FFFFFF"/>
            <w:vAlign w:val="center"/>
            <w:hideMark/>
          </w:tcPr>
          <w:p w14:paraId="5328A6D8" w14:textId="77777777" w:rsidR="00B15975" w:rsidRPr="00D76D6D" w:rsidRDefault="00B15975" w:rsidP="00EC7593">
            <w:pPr>
              <w:spacing w:after="0" w:line="240" w:lineRule="auto"/>
              <w:jc w:val="center"/>
              <w:rPr>
                <w:rFonts w:ascii="Arial" w:eastAsia="Times New Roman" w:hAnsi="Arial" w:cs="Arial"/>
                <w:b/>
                <w:bCs/>
                <w:sz w:val="18"/>
                <w:szCs w:val="18"/>
                <w:lang w:eastAsia="en-GB"/>
              </w:rPr>
            </w:pPr>
            <w:r w:rsidRPr="00D76D6D">
              <w:rPr>
                <w:rFonts w:ascii="Arial" w:eastAsia="Times New Roman" w:hAnsi="Arial" w:cs="Arial"/>
                <w:b/>
                <w:bCs/>
                <w:sz w:val="18"/>
                <w:szCs w:val="18"/>
                <w:lang w:eastAsia="en-GB"/>
              </w:rPr>
              <w:t>2015</w:t>
            </w:r>
          </w:p>
        </w:tc>
        <w:tc>
          <w:tcPr>
            <w:tcW w:w="1662" w:type="dxa"/>
            <w:tcBorders>
              <w:top w:val="nil"/>
              <w:left w:val="nil"/>
              <w:bottom w:val="single" w:sz="8" w:space="0" w:color="auto"/>
              <w:right w:val="single" w:sz="8" w:space="0" w:color="auto"/>
            </w:tcBorders>
            <w:noWrap/>
            <w:vAlign w:val="center"/>
            <w:hideMark/>
          </w:tcPr>
          <w:p w14:paraId="59958DE0" w14:textId="77777777" w:rsidR="00B15975" w:rsidRPr="00D76D6D" w:rsidRDefault="00B15975" w:rsidP="00EC7593">
            <w:pPr>
              <w:spacing w:after="0" w:line="240" w:lineRule="auto"/>
              <w:jc w:val="center"/>
              <w:rPr>
                <w:rFonts w:ascii="Calibri" w:eastAsia="Times New Roman" w:hAnsi="Calibri" w:cs="Calibri"/>
                <w:lang w:eastAsia="en-GB"/>
              </w:rPr>
            </w:pPr>
            <w:r w:rsidRPr="00D76D6D">
              <w:rPr>
                <w:rFonts w:ascii="Calibri" w:eastAsia="Times New Roman" w:hAnsi="Calibri" w:cs="Calibri"/>
                <w:lang w:eastAsia="en-GB"/>
              </w:rPr>
              <w:t>460.1</w:t>
            </w:r>
          </w:p>
        </w:tc>
        <w:tc>
          <w:tcPr>
            <w:tcW w:w="1663" w:type="dxa"/>
            <w:tcBorders>
              <w:top w:val="nil"/>
              <w:left w:val="nil"/>
              <w:bottom w:val="single" w:sz="8" w:space="0" w:color="auto"/>
              <w:right w:val="single" w:sz="8" w:space="0" w:color="auto"/>
            </w:tcBorders>
            <w:shd w:val="clear" w:color="auto" w:fill="DEEAF6" w:themeFill="accent1" w:themeFillTint="33"/>
            <w:noWrap/>
            <w:vAlign w:val="center"/>
            <w:hideMark/>
          </w:tcPr>
          <w:p w14:paraId="5970A94F" w14:textId="77777777" w:rsidR="00B15975" w:rsidRPr="00D76D6D" w:rsidRDefault="00B15975" w:rsidP="00EC7593">
            <w:pPr>
              <w:spacing w:after="0" w:line="240" w:lineRule="auto"/>
              <w:jc w:val="center"/>
              <w:rPr>
                <w:rFonts w:ascii="Calibri" w:eastAsia="Times New Roman" w:hAnsi="Calibri" w:cs="Calibri"/>
                <w:lang w:eastAsia="en-GB"/>
              </w:rPr>
            </w:pPr>
            <w:r w:rsidRPr="00D76D6D">
              <w:rPr>
                <w:rFonts w:ascii="Calibri" w:eastAsia="Times New Roman" w:hAnsi="Calibri" w:cs="Calibri"/>
                <w:lang w:eastAsia="en-GB"/>
              </w:rPr>
              <w:t>442.9</w:t>
            </w:r>
          </w:p>
        </w:tc>
        <w:tc>
          <w:tcPr>
            <w:tcW w:w="1663" w:type="dxa"/>
            <w:tcBorders>
              <w:top w:val="nil"/>
              <w:left w:val="nil"/>
              <w:bottom w:val="single" w:sz="8" w:space="0" w:color="auto"/>
              <w:right w:val="single" w:sz="8" w:space="0" w:color="auto"/>
            </w:tcBorders>
            <w:shd w:val="clear" w:color="auto" w:fill="DEEAF6" w:themeFill="accent1" w:themeFillTint="33"/>
            <w:vAlign w:val="center"/>
            <w:hideMark/>
          </w:tcPr>
          <w:p w14:paraId="521C1ADB" w14:textId="77777777" w:rsidR="00B15975" w:rsidRPr="00D76D6D" w:rsidRDefault="00B15975" w:rsidP="00EC7593">
            <w:pPr>
              <w:spacing w:after="0" w:line="240" w:lineRule="auto"/>
              <w:jc w:val="center"/>
              <w:rPr>
                <w:rFonts w:ascii="Calibri" w:eastAsia="Times New Roman" w:hAnsi="Calibri" w:cs="Calibri"/>
                <w:lang w:eastAsia="en-GB"/>
              </w:rPr>
            </w:pPr>
            <w:r w:rsidRPr="00D76D6D">
              <w:rPr>
                <w:rFonts w:ascii="Calibri" w:eastAsia="Times New Roman" w:hAnsi="Calibri" w:cs="Calibri"/>
                <w:lang w:eastAsia="en-GB"/>
              </w:rPr>
              <w:t>484.7</w:t>
            </w:r>
          </w:p>
        </w:tc>
      </w:tr>
      <w:tr w:rsidR="00B15975" w:rsidRPr="00D76D6D" w14:paraId="4D848DB0" w14:textId="77777777" w:rsidTr="00EC7593">
        <w:trPr>
          <w:trHeight w:val="315"/>
        </w:trPr>
        <w:tc>
          <w:tcPr>
            <w:tcW w:w="1381" w:type="dxa"/>
            <w:tcBorders>
              <w:top w:val="nil"/>
              <w:left w:val="single" w:sz="8" w:space="0" w:color="auto"/>
              <w:bottom w:val="single" w:sz="8" w:space="0" w:color="auto"/>
              <w:right w:val="single" w:sz="8" w:space="0" w:color="auto"/>
            </w:tcBorders>
            <w:shd w:val="clear" w:color="000000" w:fill="FFFFFF"/>
            <w:vAlign w:val="center"/>
            <w:hideMark/>
          </w:tcPr>
          <w:p w14:paraId="6345B676" w14:textId="77777777" w:rsidR="00B15975" w:rsidRPr="00D76D6D" w:rsidRDefault="00B15975" w:rsidP="00EC7593">
            <w:pPr>
              <w:spacing w:after="0" w:line="240" w:lineRule="auto"/>
              <w:jc w:val="center"/>
              <w:rPr>
                <w:rFonts w:ascii="Arial" w:eastAsia="Times New Roman" w:hAnsi="Arial" w:cs="Arial"/>
                <w:b/>
                <w:bCs/>
                <w:sz w:val="18"/>
                <w:szCs w:val="18"/>
                <w:lang w:eastAsia="en-GB"/>
              </w:rPr>
            </w:pPr>
            <w:r w:rsidRPr="00D76D6D">
              <w:rPr>
                <w:rFonts w:ascii="Arial" w:eastAsia="Times New Roman" w:hAnsi="Arial" w:cs="Arial"/>
                <w:b/>
                <w:bCs/>
                <w:sz w:val="18"/>
                <w:szCs w:val="18"/>
                <w:lang w:eastAsia="en-GB"/>
              </w:rPr>
              <w:t>2016</w:t>
            </w:r>
          </w:p>
        </w:tc>
        <w:tc>
          <w:tcPr>
            <w:tcW w:w="1662" w:type="dxa"/>
            <w:tcBorders>
              <w:top w:val="nil"/>
              <w:left w:val="nil"/>
              <w:bottom w:val="single" w:sz="8" w:space="0" w:color="auto"/>
              <w:right w:val="single" w:sz="8" w:space="0" w:color="auto"/>
            </w:tcBorders>
            <w:noWrap/>
            <w:vAlign w:val="center"/>
            <w:hideMark/>
          </w:tcPr>
          <w:p w14:paraId="0475B5B2" w14:textId="77777777" w:rsidR="00B15975" w:rsidRPr="00D76D6D" w:rsidRDefault="00B15975" w:rsidP="00EC7593">
            <w:pPr>
              <w:spacing w:after="0" w:line="240" w:lineRule="auto"/>
              <w:jc w:val="center"/>
              <w:rPr>
                <w:rFonts w:ascii="Calibri" w:eastAsia="Times New Roman" w:hAnsi="Calibri" w:cs="Calibri"/>
                <w:lang w:eastAsia="en-GB"/>
              </w:rPr>
            </w:pPr>
            <w:r w:rsidRPr="00D76D6D">
              <w:rPr>
                <w:rFonts w:ascii="Calibri" w:eastAsia="Times New Roman" w:hAnsi="Calibri" w:cs="Calibri"/>
                <w:lang w:eastAsia="en-GB"/>
              </w:rPr>
              <w:t>493.2</w:t>
            </w:r>
          </w:p>
        </w:tc>
        <w:tc>
          <w:tcPr>
            <w:tcW w:w="1663" w:type="dxa"/>
            <w:tcBorders>
              <w:top w:val="nil"/>
              <w:left w:val="nil"/>
              <w:bottom w:val="single" w:sz="8" w:space="0" w:color="auto"/>
              <w:right w:val="single" w:sz="8" w:space="0" w:color="auto"/>
            </w:tcBorders>
            <w:noWrap/>
            <w:vAlign w:val="center"/>
            <w:hideMark/>
          </w:tcPr>
          <w:p w14:paraId="32C82590" w14:textId="77777777" w:rsidR="00B15975" w:rsidRPr="00D76D6D" w:rsidRDefault="00B15975" w:rsidP="00EC7593">
            <w:pPr>
              <w:spacing w:after="0" w:line="240" w:lineRule="auto"/>
              <w:jc w:val="center"/>
              <w:rPr>
                <w:rFonts w:ascii="Calibri" w:eastAsia="Times New Roman" w:hAnsi="Calibri" w:cs="Calibri"/>
                <w:lang w:eastAsia="en-GB"/>
              </w:rPr>
            </w:pPr>
            <w:r w:rsidRPr="00D76D6D">
              <w:rPr>
                <w:rFonts w:ascii="Calibri" w:eastAsia="Times New Roman" w:hAnsi="Calibri" w:cs="Calibri"/>
                <w:lang w:eastAsia="en-GB"/>
              </w:rPr>
              <w:t>467.4</w:t>
            </w:r>
          </w:p>
        </w:tc>
        <w:tc>
          <w:tcPr>
            <w:tcW w:w="1663" w:type="dxa"/>
            <w:tcBorders>
              <w:top w:val="nil"/>
              <w:left w:val="nil"/>
              <w:bottom w:val="single" w:sz="8" w:space="0" w:color="auto"/>
              <w:right w:val="single" w:sz="8" w:space="0" w:color="auto"/>
            </w:tcBorders>
            <w:vAlign w:val="center"/>
            <w:hideMark/>
          </w:tcPr>
          <w:p w14:paraId="4355CC1F" w14:textId="77777777" w:rsidR="00B15975" w:rsidRPr="00D76D6D" w:rsidRDefault="00B15975" w:rsidP="00EC7593">
            <w:pPr>
              <w:spacing w:after="0" w:line="240" w:lineRule="auto"/>
              <w:jc w:val="center"/>
              <w:rPr>
                <w:rFonts w:ascii="Calibri" w:eastAsia="Times New Roman" w:hAnsi="Calibri" w:cs="Calibri"/>
                <w:lang w:eastAsia="en-GB"/>
              </w:rPr>
            </w:pPr>
            <w:r w:rsidRPr="00D76D6D">
              <w:rPr>
                <w:rFonts w:ascii="Calibri" w:eastAsia="Times New Roman" w:hAnsi="Calibri" w:cs="Calibri"/>
                <w:lang w:eastAsia="en-GB"/>
              </w:rPr>
              <w:t>493.6</w:t>
            </w:r>
          </w:p>
        </w:tc>
      </w:tr>
      <w:tr w:rsidR="00B15975" w:rsidRPr="00D76D6D" w14:paraId="45BEAF9A" w14:textId="77777777" w:rsidTr="00EC7593">
        <w:trPr>
          <w:trHeight w:val="315"/>
        </w:trPr>
        <w:tc>
          <w:tcPr>
            <w:tcW w:w="1381" w:type="dxa"/>
            <w:tcBorders>
              <w:top w:val="nil"/>
              <w:left w:val="single" w:sz="8" w:space="0" w:color="auto"/>
              <w:bottom w:val="single" w:sz="8" w:space="0" w:color="auto"/>
              <w:right w:val="single" w:sz="8" w:space="0" w:color="auto"/>
            </w:tcBorders>
            <w:shd w:val="clear" w:color="000000" w:fill="FFFFFF"/>
            <w:vAlign w:val="center"/>
            <w:hideMark/>
          </w:tcPr>
          <w:p w14:paraId="713C7D44" w14:textId="77777777" w:rsidR="00B15975" w:rsidRPr="00D76D6D" w:rsidRDefault="00B15975" w:rsidP="00EC7593">
            <w:pPr>
              <w:spacing w:after="0" w:line="240" w:lineRule="auto"/>
              <w:jc w:val="center"/>
              <w:rPr>
                <w:rFonts w:ascii="Arial" w:eastAsia="Times New Roman" w:hAnsi="Arial" w:cs="Arial"/>
                <w:b/>
                <w:bCs/>
                <w:sz w:val="18"/>
                <w:szCs w:val="18"/>
                <w:lang w:eastAsia="en-GB"/>
              </w:rPr>
            </w:pPr>
            <w:r w:rsidRPr="00D76D6D">
              <w:rPr>
                <w:rFonts w:ascii="Arial" w:eastAsia="Times New Roman" w:hAnsi="Arial" w:cs="Arial"/>
                <w:b/>
                <w:bCs/>
                <w:sz w:val="18"/>
                <w:szCs w:val="18"/>
                <w:lang w:eastAsia="en-GB"/>
              </w:rPr>
              <w:t>2017</w:t>
            </w:r>
          </w:p>
        </w:tc>
        <w:tc>
          <w:tcPr>
            <w:tcW w:w="1662" w:type="dxa"/>
            <w:tcBorders>
              <w:top w:val="nil"/>
              <w:left w:val="nil"/>
              <w:bottom w:val="single" w:sz="8" w:space="0" w:color="auto"/>
              <w:right w:val="single" w:sz="8" w:space="0" w:color="auto"/>
            </w:tcBorders>
            <w:noWrap/>
            <w:vAlign w:val="center"/>
            <w:hideMark/>
          </w:tcPr>
          <w:p w14:paraId="389E7BDC" w14:textId="77777777" w:rsidR="00B15975" w:rsidRPr="00D76D6D" w:rsidRDefault="00B15975" w:rsidP="00EC7593">
            <w:pPr>
              <w:spacing w:after="0" w:line="240" w:lineRule="auto"/>
              <w:jc w:val="center"/>
              <w:rPr>
                <w:rFonts w:ascii="Calibri" w:eastAsia="Times New Roman" w:hAnsi="Calibri" w:cs="Calibri"/>
                <w:lang w:eastAsia="en-GB"/>
              </w:rPr>
            </w:pPr>
            <w:r w:rsidRPr="00D76D6D">
              <w:rPr>
                <w:rFonts w:ascii="Calibri" w:eastAsia="Times New Roman" w:hAnsi="Calibri" w:cs="Calibri"/>
                <w:lang w:eastAsia="en-GB"/>
              </w:rPr>
              <w:t>503.2</w:t>
            </w:r>
          </w:p>
        </w:tc>
        <w:tc>
          <w:tcPr>
            <w:tcW w:w="1663" w:type="dxa"/>
            <w:tcBorders>
              <w:top w:val="nil"/>
              <w:left w:val="nil"/>
              <w:bottom w:val="single" w:sz="8" w:space="0" w:color="auto"/>
              <w:right w:val="single" w:sz="8" w:space="0" w:color="auto"/>
            </w:tcBorders>
            <w:noWrap/>
            <w:vAlign w:val="center"/>
            <w:hideMark/>
          </w:tcPr>
          <w:p w14:paraId="33027EF7" w14:textId="77777777" w:rsidR="00B15975" w:rsidRPr="00D76D6D" w:rsidRDefault="00B15975" w:rsidP="00EC7593">
            <w:pPr>
              <w:spacing w:after="0" w:line="240" w:lineRule="auto"/>
              <w:jc w:val="center"/>
              <w:rPr>
                <w:rFonts w:ascii="Calibri" w:eastAsia="Times New Roman" w:hAnsi="Calibri" w:cs="Calibri"/>
                <w:lang w:eastAsia="en-GB"/>
              </w:rPr>
            </w:pPr>
            <w:r w:rsidRPr="00D76D6D">
              <w:rPr>
                <w:rFonts w:ascii="Calibri" w:eastAsia="Times New Roman" w:hAnsi="Calibri" w:cs="Calibri"/>
                <w:lang w:eastAsia="en-GB"/>
              </w:rPr>
              <w:t>482.7</w:t>
            </w:r>
          </w:p>
        </w:tc>
        <w:tc>
          <w:tcPr>
            <w:tcW w:w="1663" w:type="dxa"/>
            <w:tcBorders>
              <w:top w:val="nil"/>
              <w:left w:val="nil"/>
              <w:bottom w:val="single" w:sz="8" w:space="0" w:color="auto"/>
              <w:right w:val="single" w:sz="8" w:space="0" w:color="auto"/>
            </w:tcBorders>
            <w:vAlign w:val="center"/>
            <w:hideMark/>
          </w:tcPr>
          <w:p w14:paraId="01CD8D9F" w14:textId="77777777" w:rsidR="00B15975" w:rsidRPr="00D76D6D" w:rsidRDefault="00B15975" w:rsidP="00EC7593">
            <w:pPr>
              <w:spacing w:after="0" w:line="240" w:lineRule="auto"/>
              <w:jc w:val="center"/>
              <w:rPr>
                <w:rFonts w:ascii="Calibri" w:eastAsia="Times New Roman" w:hAnsi="Calibri" w:cs="Calibri"/>
                <w:lang w:eastAsia="en-GB"/>
              </w:rPr>
            </w:pPr>
            <w:r w:rsidRPr="00D76D6D">
              <w:rPr>
                <w:rFonts w:ascii="Calibri" w:eastAsia="Times New Roman" w:hAnsi="Calibri" w:cs="Calibri"/>
                <w:lang w:eastAsia="en-GB"/>
              </w:rPr>
              <w:t>500.0</w:t>
            </w:r>
          </w:p>
        </w:tc>
      </w:tr>
      <w:tr w:rsidR="00B15975" w:rsidRPr="00D76D6D" w14:paraId="566CE27F" w14:textId="77777777" w:rsidTr="00EC7593">
        <w:trPr>
          <w:trHeight w:val="315"/>
        </w:trPr>
        <w:tc>
          <w:tcPr>
            <w:tcW w:w="1381" w:type="dxa"/>
            <w:tcBorders>
              <w:top w:val="nil"/>
              <w:left w:val="single" w:sz="8" w:space="0" w:color="auto"/>
              <w:bottom w:val="single" w:sz="8" w:space="0" w:color="auto"/>
              <w:right w:val="single" w:sz="8" w:space="0" w:color="auto"/>
            </w:tcBorders>
            <w:shd w:val="clear" w:color="000000" w:fill="FFFFFF"/>
            <w:vAlign w:val="center"/>
            <w:hideMark/>
          </w:tcPr>
          <w:p w14:paraId="3F63928C" w14:textId="77777777" w:rsidR="00B15975" w:rsidRPr="00D76D6D" w:rsidRDefault="00B15975" w:rsidP="00EC7593">
            <w:pPr>
              <w:spacing w:after="0" w:line="240" w:lineRule="auto"/>
              <w:jc w:val="center"/>
              <w:rPr>
                <w:rFonts w:ascii="Arial" w:eastAsia="Times New Roman" w:hAnsi="Arial" w:cs="Arial"/>
                <w:b/>
                <w:bCs/>
                <w:sz w:val="18"/>
                <w:szCs w:val="18"/>
                <w:lang w:eastAsia="en-GB"/>
              </w:rPr>
            </w:pPr>
            <w:r w:rsidRPr="00D76D6D">
              <w:rPr>
                <w:rFonts w:ascii="Arial" w:eastAsia="Times New Roman" w:hAnsi="Arial" w:cs="Arial"/>
                <w:b/>
                <w:bCs/>
                <w:sz w:val="18"/>
                <w:szCs w:val="18"/>
                <w:lang w:eastAsia="en-GB"/>
              </w:rPr>
              <w:t>2018</w:t>
            </w:r>
          </w:p>
        </w:tc>
        <w:tc>
          <w:tcPr>
            <w:tcW w:w="1662" w:type="dxa"/>
            <w:tcBorders>
              <w:top w:val="nil"/>
              <w:left w:val="nil"/>
              <w:bottom w:val="single" w:sz="8" w:space="0" w:color="auto"/>
              <w:right w:val="single" w:sz="8" w:space="0" w:color="auto"/>
            </w:tcBorders>
            <w:noWrap/>
            <w:vAlign w:val="center"/>
            <w:hideMark/>
          </w:tcPr>
          <w:p w14:paraId="69F9C90B" w14:textId="77777777" w:rsidR="00B15975" w:rsidRPr="00D76D6D" w:rsidRDefault="00B15975" w:rsidP="00EC7593">
            <w:pPr>
              <w:spacing w:after="0" w:line="240" w:lineRule="auto"/>
              <w:jc w:val="center"/>
              <w:rPr>
                <w:rFonts w:ascii="Calibri" w:eastAsia="Times New Roman" w:hAnsi="Calibri" w:cs="Calibri"/>
                <w:lang w:eastAsia="en-GB"/>
              </w:rPr>
            </w:pPr>
            <w:r w:rsidRPr="00D76D6D">
              <w:rPr>
                <w:rFonts w:ascii="Calibri" w:eastAsia="Times New Roman" w:hAnsi="Calibri" w:cs="Calibri"/>
                <w:lang w:eastAsia="en-GB"/>
              </w:rPr>
              <w:t>518.0</w:t>
            </w:r>
          </w:p>
        </w:tc>
        <w:tc>
          <w:tcPr>
            <w:tcW w:w="1663" w:type="dxa"/>
            <w:tcBorders>
              <w:top w:val="nil"/>
              <w:left w:val="nil"/>
              <w:bottom w:val="single" w:sz="8" w:space="0" w:color="auto"/>
              <w:right w:val="single" w:sz="8" w:space="0" w:color="auto"/>
            </w:tcBorders>
            <w:noWrap/>
            <w:vAlign w:val="center"/>
            <w:hideMark/>
          </w:tcPr>
          <w:p w14:paraId="2EA29013" w14:textId="77777777" w:rsidR="00B15975" w:rsidRPr="00D76D6D" w:rsidRDefault="00B15975" w:rsidP="00EC7593">
            <w:pPr>
              <w:spacing w:after="0" w:line="240" w:lineRule="auto"/>
              <w:jc w:val="center"/>
              <w:rPr>
                <w:rFonts w:ascii="Calibri" w:eastAsia="Times New Roman" w:hAnsi="Calibri" w:cs="Calibri"/>
                <w:lang w:eastAsia="en-GB"/>
              </w:rPr>
            </w:pPr>
            <w:r w:rsidRPr="00D76D6D">
              <w:rPr>
                <w:rFonts w:ascii="Calibri" w:eastAsia="Times New Roman" w:hAnsi="Calibri" w:cs="Calibri"/>
                <w:lang w:eastAsia="en-GB"/>
              </w:rPr>
              <w:t>503.5</w:t>
            </w:r>
          </w:p>
        </w:tc>
        <w:tc>
          <w:tcPr>
            <w:tcW w:w="1663" w:type="dxa"/>
            <w:tcBorders>
              <w:top w:val="nil"/>
              <w:left w:val="nil"/>
              <w:bottom w:val="single" w:sz="8" w:space="0" w:color="auto"/>
              <w:right w:val="single" w:sz="8" w:space="0" w:color="auto"/>
            </w:tcBorders>
            <w:vAlign w:val="center"/>
            <w:hideMark/>
          </w:tcPr>
          <w:p w14:paraId="2D7E0404" w14:textId="77777777" w:rsidR="00B15975" w:rsidRPr="00D76D6D" w:rsidRDefault="00B15975" w:rsidP="00EC7593">
            <w:pPr>
              <w:spacing w:after="0" w:line="240" w:lineRule="auto"/>
              <w:jc w:val="center"/>
              <w:rPr>
                <w:rFonts w:ascii="Calibri" w:eastAsia="Times New Roman" w:hAnsi="Calibri" w:cs="Calibri"/>
                <w:lang w:eastAsia="en-GB"/>
              </w:rPr>
            </w:pPr>
            <w:r w:rsidRPr="00D76D6D">
              <w:rPr>
                <w:rFonts w:ascii="Calibri" w:eastAsia="Times New Roman" w:hAnsi="Calibri" w:cs="Calibri"/>
                <w:lang w:eastAsia="en-GB"/>
              </w:rPr>
              <w:t>517.8</w:t>
            </w:r>
          </w:p>
        </w:tc>
      </w:tr>
      <w:tr w:rsidR="00B15975" w:rsidRPr="00D76D6D" w14:paraId="00726F81" w14:textId="77777777" w:rsidTr="00EC7593">
        <w:trPr>
          <w:trHeight w:val="315"/>
        </w:trPr>
        <w:tc>
          <w:tcPr>
            <w:tcW w:w="1381" w:type="dxa"/>
            <w:tcBorders>
              <w:top w:val="nil"/>
              <w:left w:val="single" w:sz="8" w:space="0" w:color="auto"/>
              <w:bottom w:val="single" w:sz="8" w:space="0" w:color="auto"/>
              <w:right w:val="single" w:sz="8" w:space="0" w:color="auto"/>
            </w:tcBorders>
            <w:shd w:val="clear" w:color="000000" w:fill="FFFFFF"/>
            <w:vAlign w:val="center"/>
            <w:hideMark/>
          </w:tcPr>
          <w:p w14:paraId="2A3A0232" w14:textId="77777777" w:rsidR="00B15975" w:rsidRPr="00D76D6D" w:rsidRDefault="00B15975" w:rsidP="00EC7593">
            <w:pPr>
              <w:spacing w:after="0" w:line="240" w:lineRule="auto"/>
              <w:jc w:val="center"/>
              <w:rPr>
                <w:rFonts w:ascii="Arial" w:eastAsia="Times New Roman" w:hAnsi="Arial" w:cs="Arial"/>
                <w:b/>
                <w:bCs/>
                <w:sz w:val="18"/>
                <w:szCs w:val="18"/>
                <w:lang w:eastAsia="en-GB"/>
              </w:rPr>
            </w:pPr>
            <w:r w:rsidRPr="00D76D6D">
              <w:rPr>
                <w:rFonts w:ascii="Arial" w:eastAsia="Times New Roman" w:hAnsi="Arial" w:cs="Arial"/>
                <w:b/>
                <w:bCs/>
                <w:sz w:val="18"/>
                <w:szCs w:val="18"/>
                <w:lang w:eastAsia="en-GB"/>
              </w:rPr>
              <w:t>2019</w:t>
            </w:r>
          </w:p>
        </w:tc>
        <w:tc>
          <w:tcPr>
            <w:tcW w:w="1662" w:type="dxa"/>
            <w:tcBorders>
              <w:top w:val="nil"/>
              <w:left w:val="nil"/>
              <w:bottom w:val="single" w:sz="8" w:space="0" w:color="auto"/>
              <w:right w:val="single" w:sz="8" w:space="0" w:color="auto"/>
            </w:tcBorders>
            <w:noWrap/>
            <w:vAlign w:val="center"/>
            <w:hideMark/>
          </w:tcPr>
          <w:p w14:paraId="0E730CC3" w14:textId="77777777" w:rsidR="00B15975" w:rsidRPr="00D76D6D" w:rsidRDefault="00B15975" w:rsidP="00EC7593">
            <w:pPr>
              <w:spacing w:after="0" w:line="240" w:lineRule="auto"/>
              <w:jc w:val="center"/>
              <w:rPr>
                <w:rFonts w:ascii="Calibri" w:eastAsia="Times New Roman" w:hAnsi="Calibri" w:cs="Calibri"/>
                <w:lang w:eastAsia="en-GB"/>
              </w:rPr>
            </w:pPr>
            <w:r w:rsidRPr="00D76D6D">
              <w:rPr>
                <w:rFonts w:ascii="Calibri" w:eastAsia="Times New Roman" w:hAnsi="Calibri" w:cs="Calibri"/>
                <w:lang w:eastAsia="en-GB"/>
              </w:rPr>
              <w:t>541.5</w:t>
            </w:r>
          </w:p>
        </w:tc>
        <w:tc>
          <w:tcPr>
            <w:tcW w:w="1663" w:type="dxa"/>
            <w:tcBorders>
              <w:top w:val="nil"/>
              <w:left w:val="nil"/>
              <w:bottom w:val="single" w:sz="8" w:space="0" w:color="auto"/>
              <w:right w:val="single" w:sz="8" w:space="0" w:color="auto"/>
            </w:tcBorders>
            <w:noWrap/>
            <w:vAlign w:val="center"/>
            <w:hideMark/>
          </w:tcPr>
          <w:p w14:paraId="6EBD4B16" w14:textId="77777777" w:rsidR="00B15975" w:rsidRPr="00D76D6D" w:rsidRDefault="00B15975" w:rsidP="00EC7593">
            <w:pPr>
              <w:spacing w:after="0" w:line="240" w:lineRule="auto"/>
              <w:jc w:val="center"/>
              <w:rPr>
                <w:rFonts w:ascii="Calibri" w:eastAsia="Times New Roman" w:hAnsi="Calibri" w:cs="Calibri"/>
                <w:lang w:eastAsia="en-GB"/>
              </w:rPr>
            </w:pPr>
            <w:r w:rsidRPr="00D76D6D">
              <w:rPr>
                <w:rFonts w:ascii="Calibri" w:eastAsia="Times New Roman" w:hAnsi="Calibri" w:cs="Calibri"/>
                <w:lang w:eastAsia="en-GB"/>
              </w:rPr>
              <w:t>524.2</w:t>
            </w:r>
          </w:p>
        </w:tc>
        <w:tc>
          <w:tcPr>
            <w:tcW w:w="1663" w:type="dxa"/>
            <w:tcBorders>
              <w:top w:val="nil"/>
              <w:left w:val="nil"/>
              <w:bottom w:val="single" w:sz="8" w:space="0" w:color="auto"/>
              <w:right w:val="single" w:sz="8" w:space="0" w:color="auto"/>
            </w:tcBorders>
            <w:vAlign w:val="center"/>
            <w:hideMark/>
          </w:tcPr>
          <w:p w14:paraId="6EF6784F" w14:textId="77777777" w:rsidR="00B15975" w:rsidRPr="00D76D6D" w:rsidRDefault="00B15975" w:rsidP="00EC7593">
            <w:pPr>
              <w:spacing w:after="0" w:line="240" w:lineRule="auto"/>
              <w:jc w:val="center"/>
              <w:rPr>
                <w:rFonts w:ascii="Calibri" w:eastAsia="Times New Roman" w:hAnsi="Calibri" w:cs="Calibri"/>
                <w:lang w:eastAsia="en-GB"/>
              </w:rPr>
            </w:pPr>
            <w:r w:rsidRPr="00D76D6D">
              <w:rPr>
                <w:rFonts w:ascii="Calibri" w:eastAsia="Times New Roman" w:hAnsi="Calibri" w:cs="Calibri"/>
                <w:lang w:eastAsia="en-GB"/>
              </w:rPr>
              <w:t>534.5</w:t>
            </w:r>
          </w:p>
        </w:tc>
      </w:tr>
      <w:tr w:rsidR="00B15975" w:rsidRPr="00D76D6D" w14:paraId="0AA87CC1" w14:textId="77777777" w:rsidTr="00A51DA9">
        <w:trPr>
          <w:trHeight w:val="315"/>
        </w:trPr>
        <w:tc>
          <w:tcPr>
            <w:tcW w:w="1381" w:type="dxa"/>
            <w:tcBorders>
              <w:top w:val="nil"/>
              <w:left w:val="single" w:sz="8" w:space="0" w:color="auto"/>
              <w:bottom w:val="single" w:sz="8" w:space="0" w:color="auto"/>
              <w:right w:val="single" w:sz="8" w:space="0" w:color="auto"/>
            </w:tcBorders>
            <w:shd w:val="clear" w:color="000000" w:fill="FFFFFF"/>
            <w:vAlign w:val="center"/>
            <w:hideMark/>
          </w:tcPr>
          <w:p w14:paraId="412C64A1" w14:textId="77777777" w:rsidR="00B15975" w:rsidRPr="00D76D6D" w:rsidRDefault="00B15975" w:rsidP="00EC7593">
            <w:pPr>
              <w:spacing w:after="0" w:line="240" w:lineRule="auto"/>
              <w:jc w:val="center"/>
              <w:rPr>
                <w:rFonts w:ascii="Arial" w:eastAsia="Times New Roman" w:hAnsi="Arial" w:cs="Arial"/>
                <w:b/>
                <w:bCs/>
                <w:sz w:val="18"/>
                <w:szCs w:val="18"/>
                <w:lang w:eastAsia="en-GB"/>
              </w:rPr>
            </w:pPr>
            <w:r w:rsidRPr="00D76D6D">
              <w:rPr>
                <w:rFonts w:ascii="Arial" w:eastAsia="Times New Roman" w:hAnsi="Arial" w:cs="Arial"/>
                <w:b/>
                <w:bCs/>
                <w:sz w:val="18"/>
                <w:szCs w:val="18"/>
                <w:lang w:eastAsia="en-GB"/>
              </w:rPr>
              <w:t>2020</w:t>
            </w:r>
          </w:p>
        </w:tc>
        <w:tc>
          <w:tcPr>
            <w:tcW w:w="1662" w:type="dxa"/>
            <w:tcBorders>
              <w:top w:val="nil"/>
              <w:left w:val="nil"/>
              <w:bottom w:val="single" w:sz="8" w:space="0" w:color="auto"/>
              <w:right w:val="single" w:sz="8" w:space="0" w:color="auto"/>
            </w:tcBorders>
            <w:noWrap/>
            <w:vAlign w:val="center"/>
            <w:hideMark/>
          </w:tcPr>
          <w:p w14:paraId="5F1D5A3E" w14:textId="77777777" w:rsidR="00B15975" w:rsidRPr="00D76D6D" w:rsidRDefault="00B15975" w:rsidP="00EC7593">
            <w:pPr>
              <w:spacing w:after="0" w:line="240" w:lineRule="auto"/>
              <w:jc w:val="center"/>
              <w:rPr>
                <w:rFonts w:ascii="Calibri" w:eastAsia="Times New Roman" w:hAnsi="Calibri" w:cs="Calibri"/>
                <w:lang w:eastAsia="en-GB"/>
              </w:rPr>
            </w:pPr>
            <w:r w:rsidRPr="00D76D6D">
              <w:rPr>
                <w:rFonts w:ascii="Calibri" w:eastAsia="Times New Roman" w:hAnsi="Calibri" w:cs="Calibri"/>
                <w:lang w:eastAsia="en-GB"/>
              </w:rPr>
              <w:t>525.7</w:t>
            </w:r>
          </w:p>
        </w:tc>
        <w:tc>
          <w:tcPr>
            <w:tcW w:w="1663" w:type="dxa"/>
            <w:tcBorders>
              <w:top w:val="nil"/>
              <w:left w:val="nil"/>
              <w:bottom w:val="single" w:sz="8" w:space="0" w:color="auto"/>
              <w:right w:val="single" w:sz="8" w:space="0" w:color="auto"/>
            </w:tcBorders>
            <w:shd w:val="clear" w:color="auto" w:fill="DEEAF6" w:themeFill="accent1" w:themeFillTint="33"/>
            <w:noWrap/>
            <w:vAlign w:val="center"/>
            <w:hideMark/>
          </w:tcPr>
          <w:p w14:paraId="041BD518" w14:textId="77777777" w:rsidR="00B15975" w:rsidRPr="00D76D6D" w:rsidRDefault="00B15975" w:rsidP="00EC7593">
            <w:pPr>
              <w:spacing w:after="0" w:line="240" w:lineRule="auto"/>
              <w:jc w:val="center"/>
              <w:rPr>
                <w:rFonts w:ascii="Calibri" w:eastAsia="Times New Roman" w:hAnsi="Calibri" w:cs="Calibri"/>
                <w:lang w:eastAsia="en-GB"/>
              </w:rPr>
            </w:pPr>
            <w:r w:rsidRPr="00D76D6D">
              <w:rPr>
                <w:rFonts w:ascii="Calibri" w:eastAsia="Times New Roman" w:hAnsi="Calibri" w:cs="Calibri"/>
                <w:lang w:eastAsia="en-GB"/>
              </w:rPr>
              <w:t>508.1</w:t>
            </w:r>
          </w:p>
        </w:tc>
        <w:tc>
          <w:tcPr>
            <w:tcW w:w="1663" w:type="dxa"/>
            <w:tcBorders>
              <w:top w:val="nil"/>
              <w:left w:val="nil"/>
              <w:bottom w:val="single" w:sz="8" w:space="0" w:color="auto"/>
              <w:right w:val="single" w:sz="8" w:space="0" w:color="auto"/>
            </w:tcBorders>
            <w:vAlign w:val="center"/>
            <w:hideMark/>
          </w:tcPr>
          <w:p w14:paraId="3ACAA1A8" w14:textId="77777777" w:rsidR="00B15975" w:rsidRPr="00D76D6D" w:rsidRDefault="00B15975" w:rsidP="00EC7593">
            <w:pPr>
              <w:spacing w:after="0" w:line="240" w:lineRule="auto"/>
              <w:jc w:val="center"/>
              <w:rPr>
                <w:rFonts w:ascii="Calibri" w:eastAsia="Times New Roman" w:hAnsi="Calibri" w:cs="Calibri"/>
                <w:lang w:eastAsia="en-GB"/>
              </w:rPr>
            </w:pPr>
            <w:r w:rsidRPr="00D76D6D">
              <w:rPr>
                <w:rFonts w:ascii="Calibri" w:eastAsia="Times New Roman" w:hAnsi="Calibri" w:cs="Calibri"/>
                <w:lang w:eastAsia="en-GB"/>
              </w:rPr>
              <w:t>528.7</w:t>
            </w:r>
          </w:p>
        </w:tc>
      </w:tr>
      <w:tr w:rsidR="00B15975" w:rsidRPr="00D76D6D" w14:paraId="3B64ADFF" w14:textId="77777777" w:rsidTr="00EC7593">
        <w:trPr>
          <w:trHeight w:val="315"/>
        </w:trPr>
        <w:tc>
          <w:tcPr>
            <w:tcW w:w="1381" w:type="dxa"/>
            <w:tcBorders>
              <w:top w:val="nil"/>
              <w:left w:val="single" w:sz="8" w:space="0" w:color="auto"/>
              <w:bottom w:val="single" w:sz="4" w:space="0" w:color="auto"/>
              <w:right w:val="single" w:sz="8" w:space="0" w:color="auto"/>
            </w:tcBorders>
            <w:shd w:val="clear" w:color="000000" w:fill="FFFFFF"/>
            <w:vAlign w:val="center"/>
            <w:hideMark/>
          </w:tcPr>
          <w:p w14:paraId="7CC6BFF7" w14:textId="77777777" w:rsidR="00B15975" w:rsidRPr="00D76D6D" w:rsidRDefault="00B15975" w:rsidP="00EC7593">
            <w:pPr>
              <w:spacing w:after="0" w:line="240" w:lineRule="auto"/>
              <w:jc w:val="center"/>
              <w:rPr>
                <w:rFonts w:ascii="Arial" w:eastAsia="Times New Roman" w:hAnsi="Arial" w:cs="Arial"/>
                <w:b/>
                <w:bCs/>
                <w:sz w:val="18"/>
                <w:szCs w:val="18"/>
                <w:lang w:eastAsia="en-GB"/>
              </w:rPr>
            </w:pPr>
            <w:r w:rsidRPr="00D76D6D">
              <w:rPr>
                <w:rFonts w:ascii="Arial" w:eastAsia="Times New Roman" w:hAnsi="Arial" w:cs="Arial"/>
                <w:b/>
                <w:bCs/>
                <w:sz w:val="18"/>
                <w:szCs w:val="18"/>
                <w:lang w:eastAsia="en-GB"/>
              </w:rPr>
              <w:t>2021</w:t>
            </w:r>
          </w:p>
        </w:tc>
        <w:tc>
          <w:tcPr>
            <w:tcW w:w="1662" w:type="dxa"/>
            <w:tcBorders>
              <w:top w:val="nil"/>
              <w:left w:val="nil"/>
              <w:bottom w:val="single" w:sz="4" w:space="0" w:color="auto"/>
              <w:right w:val="single" w:sz="8" w:space="0" w:color="auto"/>
            </w:tcBorders>
            <w:noWrap/>
            <w:vAlign w:val="center"/>
            <w:hideMark/>
          </w:tcPr>
          <w:p w14:paraId="6FBF6E59" w14:textId="77777777" w:rsidR="00B15975" w:rsidRPr="00D76D6D" w:rsidRDefault="00B15975" w:rsidP="00EC7593">
            <w:pPr>
              <w:spacing w:after="0" w:line="240" w:lineRule="auto"/>
              <w:jc w:val="center"/>
              <w:rPr>
                <w:rFonts w:ascii="Calibri" w:eastAsia="Times New Roman" w:hAnsi="Calibri" w:cs="Calibri"/>
                <w:lang w:eastAsia="en-GB"/>
              </w:rPr>
            </w:pPr>
            <w:r w:rsidRPr="00D76D6D">
              <w:rPr>
                <w:rFonts w:ascii="Calibri" w:eastAsia="Times New Roman" w:hAnsi="Calibri" w:cs="Calibri"/>
                <w:lang w:eastAsia="en-GB"/>
              </w:rPr>
              <w:t>574.8</w:t>
            </w:r>
          </w:p>
        </w:tc>
        <w:tc>
          <w:tcPr>
            <w:tcW w:w="1663" w:type="dxa"/>
            <w:tcBorders>
              <w:top w:val="nil"/>
              <w:left w:val="nil"/>
              <w:bottom w:val="single" w:sz="4" w:space="0" w:color="auto"/>
              <w:right w:val="single" w:sz="8" w:space="0" w:color="auto"/>
            </w:tcBorders>
            <w:noWrap/>
            <w:vAlign w:val="center"/>
            <w:hideMark/>
          </w:tcPr>
          <w:p w14:paraId="1DF943D8" w14:textId="77777777" w:rsidR="00B15975" w:rsidRPr="00D76D6D" w:rsidRDefault="00B15975" w:rsidP="00EC7593">
            <w:pPr>
              <w:spacing w:after="0" w:line="240" w:lineRule="auto"/>
              <w:jc w:val="center"/>
              <w:rPr>
                <w:rFonts w:ascii="Calibri" w:eastAsia="Times New Roman" w:hAnsi="Calibri" w:cs="Calibri"/>
                <w:lang w:eastAsia="en-GB"/>
              </w:rPr>
            </w:pPr>
            <w:r w:rsidRPr="00D76D6D">
              <w:rPr>
                <w:rFonts w:ascii="Calibri" w:eastAsia="Times New Roman" w:hAnsi="Calibri" w:cs="Calibri"/>
                <w:lang w:eastAsia="en-GB"/>
              </w:rPr>
              <w:t>562.8</w:t>
            </w:r>
          </w:p>
        </w:tc>
        <w:tc>
          <w:tcPr>
            <w:tcW w:w="1663" w:type="dxa"/>
            <w:tcBorders>
              <w:top w:val="nil"/>
              <w:left w:val="nil"/>
              <w:bottom w:val="single" w:sz="4" w:space="0" w:color="auto"/>
              <w:right w:val="single" w:sz="8" w:space="0" w:color="auto"/>
            </w:tcBorders>
            <w:vAlign w:val="center"/>
            <w:hideMark/>
          </w:tcPr>
          <w:p w14:paraId="7EAC8484" w14:textId="77777777" w:rsidR="00B15975" w:rsidRPr="00D76D6D" w:rsidRDefault="00B15975" w:rsidP="00EC7593">
            <w:pPr>
              <w:spacing w:after="0" w:line="240" w:lineRule="auto"/>
              <w:jc w:val="center"/>
              <w:rPr>
                <w:rFonts w:ascii="Calibri" w:eastAsia="Times New Roman" w:hAnsi="Calibri" w:cs="Calibri"/>
                <w:lang w:eastAsia="en-GB"/>
              </w:rPr>
            </w:pPr>
            <w:r w:rsidRPr="00D76D6D">
              <w:rPr>
                <w:rFonts w:ascii="Calibri" w:eastAsia="Times New Roman" w:hAnsi="Calibri" w:cs="Calibri"/>
                <w:lang w:eastAsia="en-GB"/>
              </w:rPr>
              <w:t>574.9</w:t>
            </w:r>
          </w:p>
        </w:tc>
      </w:tr>
      <w:tr w:rsidR="00B15975" w:rsidRPr="00D76D6D" w14:paraId="78BDCF74" w14:textId="77777777" w:rsidTr="00EC7593">
        <w:trPr>
          <w:trHeight w:val="315"/>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73D4CC" w14:textId="77777777" w:rsidR="00B15975" w:rsidRPr="00D76D6D" w:rsidRDefault="00B15975" w:rsidP="00EC7593">
            <w:pPr>
              <w:spacing w:after="0" w:line="240" w:lineRule="auto"/>
              <w:jc w:val="center"/>
              <w:rPr>
                <w:rFonts w:ascii="Arial" w:eastAsia="Times New Roman" w:hAnsi="Arial" w:cs="Arial"/>
                <w:b/>
                <w:bCs/>
                <w:sz w:val="18"/>
                <w:szCs w:val="18"/>
                <w:lang w:eastAsia="en-GB"/>
              </w:rPr>
            </w:pPr>
            <w:r w:rsidRPr="00D76D6D">
              <w:rPr>
                <w:rFonts w:ascii="Arial" w:hAnsi="Arial" w:cs="Arial"/>
                <w:b/>
                <w:bCs/>
                <w:sz w:val="18"/>
                <w:szCs w:val="18"/>
              </w:rPr>
              <w:t>2022</w:t>
            </w:r>
          </w:p>
        </w:tc>
        <w:tc>
          <w:tcPr>
            <w:tcW w:w="1662" w:type="dxa"/>
            <w:tcBorders>
              <w:top w:val="single" w:sz="4" w:space="0" w:color="auto"/>
              <w:left w:val="single" w:sz="4" w:space="0" w:color="auto"/>
              <w:bottom w:val="single" w:sz="4" w:space="0" w:color="auto"/>
              <w:right w:val="single" w:sz="4" w:space="0" w:color="auto"/>
            </w:tcBorders>
            <w:noWrap/>
            <w:vAlign w:val="center"/>
            <w:hideMark/>
          </w:tcPr>
          <w:p w14:paraId="16B762B0" w14:textId="77777777" w:rsidR="00B15975" w:rsidRPr="00D76D6D" w:rsidRDefault="00B15975" w:rsidP="00EC7593">
            <w:pPr>
              <w:spacing w:after="0" w:line="240" w:lineRule="auto"/>
              <w:jc w:val="center"/>
              <w:rPr>
                <w:rFonts w:ascii="Calibri" w:eastAsia="Times New Roman" w:hAnsi="Calibri" w:cs="Calibri"/>
                <w:lang w:eastAsia="en-GB"/>
              </w:rPr>
            </w:pPr>
            <w:r w:rsidRPr="00D76D6D">
              <w:rPr>
                <w:rFonts w:ascii="Calibri" w:hAnsi="Calibri" w:cs="Calibri"/>
              </w:rPr>
              <w:t>592.2</w:t>
            </w:r>
          </w:p>
        </w:tc>
        <w:tc>
          <w:tcPr>
            <w:tcW w:w="1663" w:type="dxa"/>
            <w:tcBorders>
              <w:top w:val="single" w:sz="4" w:space="0" w:color="auto"/>
              <w:left w:val="single" w:sz="4" w:space="0" w:color="auto"/>
              <w:bottom w:val="single" w:sz="4" w:space="0" w:color="auto"/>
              <w:right w:val="single" w:sz="4" w:space="0" w:color="auto"/>
            </w:tcBorders>
            <w:noWrap/>
            <w:vAlign w:val="center"/>
            <w:hideMark/>
          </w:tcPr>
          <w:p w14:paraId="1451C5D8" w14:textId="77777777" w:rsidR="00B15975" w:rsidRPr="00D76D6D" w:rsidRDefault="00B15975" w:rsidP="00EC7593">
            <w:pPr>
              <w:spacing w:after="0" w:line="240" w:lineRule="auto"/>
              <w:jc w:val="center"/>
              <w:rPr>
                <w:rFonts w:ascii="Calibri" w:eastAsia="Times New Roman" w:hAnsi="Calibri" w:cs="Calibri"/>
                <w:lang w:eastAsia="en-GB"/>
              </w:rPr>
            </w:pPr>
            <w:r w:rsidRPr="00D76D6D">
              <w:rPr>
                <w:rFonts w:ascii="Calibri" w:hAnsi="Calibri" w:cs="Calibri"/>
              </w:rPr>
              <w:t>592.0</w:t>
            </w:r>
          </w:p>
        </w:tc>
        <w:tc>
          <w:tcPr>
            <w:tcW w:w="1663" w:type="dxa"/>
            <w:tcBorders>
              <w:top w:val="single" w:sz="4" w:space="0" w:color="auto"/>
              <w:left w:val="single" w:sz="4" w:space="0" w:color="auto"/>
              <w:bottom w:val="single" w:sz="4" w:space="0" w:color="auto"/>
              <w:right w:val="single" w:sz="4" w:space="0" w:color="auto"/>
            </w:tcBorders>
            <w:vAlign w:val="center"/>
            <w:hideMark/>
          </w:tcPr>
          <w:p w14:paraId="201FA306" w14:textId="77777777" w:rsidR="00B15975" w:rsidRPr="00D76D6D" w:rsidRDefault="00B15975" w:rsidP="00EC7593">
            <w:pPr>
              <w:spacing w:after="0" w:line="240" w:lineRule="auto"/>
              <w:jc w:val="center"/>
              <w:rPr>
                <w:rFonts w:ascii="Calibri" w:eastAsia="Times New Roman" w:hAnsi="Calibri" w:cs="Calibri"/>
                <w:lang w:eastAsia="en-GB"/>
              </w:rPr>
            </w:pPr>
            <w:r w:rsidRPr="00D76D6D">
              <w:rPr>
                <w:rFonts w:ascii="Calibri" w:hAnsi="Calibri" w:cs="Calibri"/>
              </w:rPr>
              <w:t>596.8</w:t>
            </w:r>
          </w:p>
        </w:tc>
      </w:tr>
      <w:tr w:rsidR="00D76D6D" w:rsidRPr="00D76D6D" w14:paraId="04B5F271" w14:textId="77777777" w:rsidTr="00EC7593">
        <w:trPr>
          <w:trHeight w:val="315"/>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24CC90C6" w14:textId="6A19C091" w:rsidR="00D76D6D" w:rsidRPr="00D76D6D" w:rsidRDefault="00D76D6D" w:rsidP="00D76D6D">
            <w:pPr>
              <w:spacing w:after="0" w:line="240" w:lineRule="auto"/>
              <w:jc w:val="center"/>
              <w:rPr>
                <w:rFonts w:ascii="Arial" w:eastAsia="Times New Roman" w:hAnsi="Arial" w:cs="Arial"/>
                <w:b/>
                <w:bCs/>
                <w:sz w:val="18"/>
                <w:szCs w:val="18"/>
                <w:lang w:eastAsia="en-GB"/>
              </w:rPr>
            </w:pPr>
            <w:r w:rsidRPr="00D76D6D">
              <w:rPr>
                <w:rFonts w:ascii="Arial" w:hAnsi="Arial" w:cs="Arial"/>
                <w:b/>
                <w:bCs/>
                <w:sz w:val="18"/>
                <w:szCs w:val="18"/>
              </w:rPr>
              <w:t>2023</w:t>
            </w:r>
          </w:p>
        </w:tc>
        <w:tc>
          <w:tcPr>
            <w:tcW w:w="1662" w:type="dxa"/>
            <w:tcBorders>
              <w:top w:val="single" w:sz="4" w:space="0" w:color="auto"/>
              <w:left w:val="single" w:sz="4" w:space="0" w:color="auto"/>
              <w:bottom w:val="single" w:sz="4" w:space="0" w:color="auto"/>
              <w:right w:val="single" w:sz="4" w:space="0" w:color="auto"/>
            </w:tcBorders>
            <w:noWrap/>
            <w:vAlign w:val="center"/>
          </w:tcPr>
          <w:p w14:paraId="56DACAAE" w14:textId="01337575" w:rsidR="00D76D6D" w:rsidRPr="00D76D6D" w:rsidRDefault="00D76D6D" w:rsidP="00D76D6D">
            <w:pPr>
              <w:spacing w:after="0" w:line="240" w:lineRule="auto"/>
              <w:jc w:val="center"/>
              <w:rPr>
                <w:rFonts w:ascii="Calibri" w:eastAsia="Times New Roman" w:hAnsi="Calibri" w:cs="Calibri"/>
                <w:lang w:eastAsia="en-GB"/>
              </w:rPr>
            </w:pPr>
            <w:r w:rsidRPr="00D76D6D">
              <w:rPr>
                <w:rFonts w:ascii="Calibri" w:hAnsi="Calibri" w:cs="Calibri"/>
              </w:rPr>
              <w:t>631.6</w:t>
            </w:r>
          </w:p>
        </w:tc>
        <w:tc>
          <w:tcPr>
            <w:tcW w:w="1663" w:type="dxa"/>
            <w:tcBorders>
              <w:top w:val="single" w:sz="4" w:space="0" w:color="auto"/>
              <w:left w:val="single" w:sz="4" w:space="0" w:color="auto"/>
              <w:bottom w:val="single" w:sz="4" w:space="0" w:color="auto"/>
              <w:right w:val="single" w:sz="4" w:space="0" w:color="auto"/>
            </w:tcBorders>
            <w:noWrap/>
            <w:vAlign w:val="center"/>
          </w:tcPr>
          <w:p w14:paraId="229E4B61" w14:textId="2BC8FA15" w:rsidR="00D76D6D" w:rsidRPr="00D76D6D" w:rsidRDefault="00D76D6D" w:rsidP="00D76D6D">
            <w:pPr>
              <w:spacing w:after="0" w:line="240" w:lineRule="auto"/>
              <w:jc w:val="center"/>
              <w:rPr>
                <w:rFonts w:ascii="Calibri" w:eastAsia="Times New Roman" w:hAnsi="Calibri" w:cs="Calibri"/>
                <w:lang w:eastAsia="en-GB"/>
              </w:rPr>
            </w:pPr>
            <w:r w:rsidRPr="00D76D6D">
              <w:rPr>
                <w:rFonts w:ascii="Calibri" w:hAnsi="Calibri" w:cs="Calibri"/>
              </w:rPr>
              <w:t>633.8</w:t>
            </w:r>
          </w:p>
        </w:tc>
        <w:tc>
          <w:tcPr>
            <w:tcW w:w="1663" w:type="dxa"/>
            <w:tcBorders>
              <w:top w:val="single" w:sz="4" w:space="0" w:color="auto"/>
              <w:left w:val="single" w:sz="4" w:space="0" w:color="auto"/>
              <w:bottom w:val="single" w:sz="4" w:space="0" w:color="auto"/>
              <w:right w:val="single" w:sz="4" w:space="0" w:color="auto"/>
            </w:tcBorders>
            <w:vAlign w:val="center"/>
          </w:tcPr>
          <w:p w14:paraId="2DBE9DBC" w14:textId="151A21DF" w:rsidR="00D76D6D" w:rsidRPr="00D76D6D" w:rsidRDefault="00D76D6D" w:rsidP="00D76D6D">
            <w:pPr>
              <w:spacing w:after="0" w:line="240" w:lineRule="auto"/>
              <w:jc w:val="center"/>
              <w:rPr>
                <w:rFonts w:ascii="Calibri" w:eastAsia="Times New Roman" w:hAnsi="Calibri" w:cs="Calibri"/>
                <w:lang w:eastAsia="en-GB"/>
              </w:rPr>
            </w:pPr>
            <w:r w:rsidRPr="00D76D6D">
              <w:rPr>
                <w:rFonts w:ascii="Calibri" w:hAnsi="Calibri" w:cs="Calibri"/>
              </w:rPr>
              <w:t>638.7</w:t>
            </w:r>
          </w:p>
        </w:tc>
      </w:tr>
      <w:tr w:rsidR="00D76D6D" w:rsidRPr="00D76D6D" w14:paraId="2AEC6857" w14:textId="77777777" w:rsidTr="00EC7593">
        <w:trPr>
          <w:trHeight w:val="315"/>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7087F85E" w14:textId="15C36320" w:rsidR="00D76D6D" w:rsidRPr="00D76D6D" w:rsidRDefault="00D76D6D" w:rsidP="00D76D6D">
            <w:pPr>
              <w:spacing w:after="0" w:line="240" w:lineRule="auto"/>
              <w:jc w:val="center"/>
              <w:rPr>
                <w:rFonts w:ascii="Arial" w:hAnsi="Arial" w:cs="Arial"/>
                <w:b/>
                <w:bCs/>
                <w:sz w:val="18"/>
                <w:szCs w:val="18"/>
              </w:rPr>
            </w:pPr>
            <w:r w:rsidRPr="00D76D6D">
              <w:rPr>
                <w:rFonts w:ascii="Arial" w:hAnsi="Arial" w:cs="Arial"/>
                <w:b/>
                <w:bCs/>
                <w:sz w:val="18"/>
                <w:szCs w:val="18"/>
              </w:rPr>
              <w:t>2024</w:t>
            </w:r>
          </w:p>
        </w:tc>
        <w:tc>
          <w:tcPr>
            <w:tcW w:w="1662" w:type="dxa"/>
            <w:tcBorders>
              <w:top w:val="single" w:sz="4" w:space="0" w:color="auto"/>
              <w:left w:val="single" w:sz="4" w:space="0" w:color="auto"/>
              <w:bottom w:val="single" w:sz="4" w:space="0" w:color="auto"/>
              <w:right w:val="single" w:sz="4" w:space="0" w:color="auto"/>
            </w:tcBorders>
            <w:noWrap/>
            <w:vAlign w:val="center"/>
          </w:tcPr>
          <w:p w14:paraId="2B5028E2" w14:textId="2E2DBD6E" w:rsidR="00D76D6D" w:rsidRPr="00D76D6D" w:rsidRDefault="00D76D6D" w:rsidP="00D76D6D">
            <w:pPr>
              <w:spacing w:after="0" w:line="240" w:lineRule="auto"/>
              <w:jc w:val="center"/>
              <w:rPr>
                <w:rFonts w:ascii="Calibri" w:hAnsi="Calibri" w:cs="Calibri"/>
              </w:rPr>
            </w:pPr>
            <w:r w:rsidRPr="00D76D6D">
              <w:rPr>
                <w:rFonts w:ascii="Calibri" w:hAnsi="Calibri" w:cs="Calibri"/>
              </w:rPr>
              <w:t>651.5</w:t>
            </w:r>
          </w:p>
        </w:tc>
        <w:tc>
          <w:tcPr>
            <w:tcW w:w="1663" w:type="dxa"/>
            <w:tcBorders>
              <w:top w:val="single" w:sz="4" w:space="0" w:color="auto"/>
              <w:left w:val="single" w:sz="4" w:space="0" w:color="auto"/>
              <w:bottom w:val="single" w:sz="4" w:space="0" w:color="auto"/>
              <w:right w:val="single" w:sz="4" w:space="0" w:color="auto"/>
            </w:tcBorders>
            <w:noWrap/>
            <w:vAlign w:val="center"/>
          </w:tcPr>
          <w:p w14:paraId="3D3D2DF5" w14:textId="582EC3CB" w:rsidR="00D76D6D" w:rsidRPr="00D76D6D" w:rsidRDefault="00D76D6D" w:rsidP="00D76D6D">
            <w:pPr>
              <w:spacing w:after="0" w:line="240" w:lineRule="auto"/>
              <w:jc w:val="center"/>
              <w:rPr>
                <w:rFonts w:ascii="Calibri" w:hAnsi="Calibri" w:cs="Calibri"/>
              </w:rPr>
            </w:pPr>
            <w:r w:rsidRPr="00D76D6D">
              <w:rPr>
                <w:rFonts w:ascii="Calibri" w:hAnsi="Calibri" w:cs="Calibri"/>
              </w:rPr>
              <w:t>646.7</w:t>
            </w:r>
          </w:p>
        </w:tc>
        <w:tc>
          <w:tcPr>
            <w:tcW w:w="1663" w:type="dxa"/>
            <w:tcBorders>
              <w:top w:val="single" w:sz="4" w:space="0" w:color="auto"/>
              <w:left w:val="single" w:sz="4" w:space="0" w:color="auto"/>
              <w:bottom w:val="single" w:sz="4" w:space="0" w:color="auto"/>
              <w:right w:val="single" w:sz="4" w:space="0" w:color="auto"/>
            </w:tcBorders>
            <w:vAlign w:val="center"/>
          </w:tcPr>
          <w:p w14:paraId="6F18F142" w14:textId="26921F03" w:rsidR="00D76D6D" w:rsidRPr="00D76D6D" w:rsidRDefault="00D76D6D" w:rsidP="00D76D6D">
            <w:pPr>
              <w:spacing w:after="0" w:line="240" w:lineRule="auto"/>
              <w:jc w:val="center"/>
              <w:rPr>
                <w:rFonts w:ascii="Calibri" w:hAnsi="Calibri" w:cs="Calibri"/>
              </w:rPr>
            </w:pPr>
            <w:r w:rsidRPr="00D76D6D">
              <w:rPr>
                <w:rFonts w:ascii="Calibri" w:hAnsi="Calibri" w:cs="Calibri"/>
              </w:rPr>
              <w:t>666.1</w:t>
            </w:r>
          </w:p>
        </w:tc>
      </w:tr>
      <w:tr w:rsidR="00252AD2" w:rsidRPr="00D76D6D" w14:paraId="165BBD1B" w14:textId="77777777" w:rsidTr="00EC7593">
        <w:trPr>
          <w:trHeight w:val="315"/>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1E1B827C" w14:textId="7E2DCF79" w:rsidR="00252AD2" w:rsidRPr="00D76D6D" w:rsidRDefault="00252AD2" w:rsidP="00D76D6D">
            <w:pPr>
              <w:spacing w:after="0" w:line="240" w:lineRule="auto"/>
              <w:jc w:val="center"/>
              <w:rPr>
                <w:rFonts w:ascii="Arial" w:hAnsi="Arial" w:cs="Arial"/>
                <w:b/>
                <w:bCs/>
                <w:sz w:val="18"/>
                <w:szCs w:val="18"/>
              </w:rPr>
            </w:pPr>
            <w:r>
              <w:rPr>
                <w:rFonts w:ascii="Arial" w:hAnsi="Arial" w:cs="Arial"/>
                <w:b/>
                <w:bCs/>
                <w:sz w:val="18"/>
                <w:szCs w:val="18"/>
              </w:rPr>
              <w:t>2025</w:t>
            </w:r>
          </w:p>
        </w:tc>
        <w:tc>
          <w:tcPr>
            <w:tcW w:w="1662" w:type="dxa"/>
            <w:tcBorders>
              <w:top w:val="single" w:sz="4" w:space="0" w:color="auto"/>
              <w:left w:val="single" w:sz="4" w:space="0" w:color="auto"/>
              <w:bottom w:val="single" w:sz="4" w:space="0" w:color="auto"/>
              <w:right w:val="single" w:sz="4" w:space="0" w:color="auto"/>
            </w:tcBorders>
            <w:noWrap/>
            <w:vAlign w:val="center"/>
          </w:tcPr>
          <w:p w14:paraId="20698A3E" w14:textId="67B9CA1A" w:rsidR="00252AD2" w:rsidRPr="00D76D6D" w:rsidRDefault="00252AD2" w:rsidP="00D76D6D">
            <w:pPr>
              <w:spacing w:after="0" w:line="240" w:lineRule="auto"/>
              <w:jc w:val="center"/>
              <w:rPr>
                <w:rFonts w:ascii="Calibri" w:hAnsi="Calibri" w:cs="Calibri"/>
              </w:rPr>
            </w:pPr>
            <w:r>
              <w:rPr>
                <w:rFonts w:ascii="Calibri" w:hAnsi="Calibri" w:cs="Calibri"/>
              </w:rPr>
              <w:t>671.00</w:t>
            </w:r>
          </w:p>
        </w:tc>
        <w:tc>
          <w:tcPr>
            <w:tcW w:w="1663" w:type="dxa"/>
            <w:tcBorders>
              <w:top w:val="single" w:sz="4" w:space="0" w:color="auto"/>
              <w:left w:val="single" w:sz="4" w:space="0" w:color="auto"/>
              <w:bottom w:val="single" w:sz="4" w:space="0" w:color="auto"/>
              <w:right w:val="single" w:sz="4" w:space="0" w:color="auto"/>
            </w:tcBorders>
            <w:noWrap/>
            <w:vAlign w:val="center"/>
          </w:tcPr>
          <w:p w14:paraId="0BE93309" w14:textId="6AFE4740" w:rsidR="00252AD2" w:rsidRPr="00D76D6D" w:rsidRDefault="00252AD2" w:rsidP="00D76D6D">
            <w:pPr>
              <w:spacing w:after="0" w:line="240" w:lineRule="auto"/>
              <w:jc w:val="center"/>
              <w:rPr>
                <w:rFonts w:ascii="Calibri" w:hAnsi="Calibri" w:cs="Calibri"/>
              </w:rPr>
            </w:pPr>
            <w:r>
              <w:rPr>
                <w:rFonts w:ascii="Calibri" w:hAnsi="Calibri" w:cs="Calibri"/>
              </w:rPr>
              <w:t>675.30</w:t>
            </w:r>
          </w:p>
        </w:tc>
        <w:tc>
          <w:tcPr>
            <w:tcW w:w="1663" w:type="dxa"/>
            <w:tcBorders>
              <w:top w:val="single" w:sz="4" w:space="0" w:color="auto"/>
              <w:left w:val="single" w:sz="4" w:space="0" w:color="auto"/>
              <w:bottom w:val="single" w:sz="4" w:space="0" w:color="auto"/>
              <w:right w:val="single" w:sz="4" w:space="0" w:color="auto"/>
            </w:tcBorders>
            <w:vAlign w:val="center"/>
          </w:tcPr>
          <w:p w14:paraId="0C5790D4" w14:textId="1D1113C1" w:rsidR="00252AD2" w:rsidRPr="00D76D6D" w:rsidRDefault="00252AD2" w:rsidP="00D76D6D">
            <w:pPr>
              <w:spacing w:after="0" w:line="240" w:lineRule="auto"/>
              <w:jc w:val="center"/>
              <w:rPr>
                <w:rFonts w:ascii="Calibri" w:hAnsi="Calibri" w:cs="Calibri"/>
              </w:rPr>
            </w:pPr>
            <w:r>
              <w:rPr>
                <w:rFonts w:ascii="Calibri" w:hAnsi="Calibri" w:cs="Calibri"/>
              </w:rPr>
              <w:t>713.10</w:t>
            </w:r>
          </w:p>
        </w:tc>
      </w:tr>
    </w:tbl>
    <w:p w14:paraId="019AB99B" w14:textId="1695300C" w:rsidR="00F61317" w:rsidRPr="008864B7" w:rsidRDefault="00B15975" w:rsidP="00B15975">
      <w:pPr>
        <w:rPr>
          <w:rFonts w:ascii="Calibri" w:hAnsi="Calibri" w:cs="Calibri"/>
          <w:i/>
          <w:sz w:val="20"/>
          <w:szCs w:val="20"/>
          <w:shd w:val="clear" w:color="auto" w:fill="FFFFFF"/>
        </w:rPr>
      </w:pPr>
      <w:r w:rsidRPr="00D76D6D">
        <w:rPr>
          <w:i/>
          <w:sz w:val="20"/>
          <w:szCs w:val="20"/>
        </w:rPr>
        <w:t>Table 2: Median gross weekly full-time pay in Armagh City, Banbridge and Craigavon Borough and Northern Ireland between 201</w:t>
      </w:r>
      <w:r w:rsidR="008864B7">
        <w:rPr>
          <w:i/>
          <w:sz w:val="20"/>
          <w:szCs w:val="20"/>
        </w:rPr>
        <w:t>5</w:t>
      </w:r>
      <w:r w:rsidRPr="00D76D6D">
        <w:rPr>
          <w:i/>
          <w:sz w:val="20"/>
          <w:szCs w:val="20"/>
        </w:rPr>
        <w:t xml:space="preserve"> and 202</w:t>
      </w:r>
      <w:r w:rsidR="008864B7">
        <w:rPr>
          <w:i/>
          <w:sz w:val="20"/>
          <w:szCs w:val="20"/>
        </w:rPr>
        <w:t>5</w:t>
      </w:r>
      <w:r w:rsidRPr="00D76D6D">
        <w:rPr>
          <w:i/>
          <w:sz w:val="20"/>
          <w:szCs w:val="20"/>
        </w:rPr>
        <w:t xml:space="preserve">. Source: Annual Survey of Hours and Earnings, NISRA. Note: </w:t>
      </w:r>
      <w:r w:rsidRPr="00D76D6D">
        <w:rPr>
          <w:rFonts w:ascii="Calibri" w:hAnsi="Calibri" w:cs="Calibri"/>
          <w:i/>
          <w:sz w:val="20"/>
          <w:szCs w:val="20"/>
          <w:shd w:val="clear" w:color="auto" w:fill="FFFFFF"/>
        </w:rPr>
        <w:t xml:space="preserve">The colour coding within the tables indicates the quality of each estimate based on the coefficient of variation (CV) of that estimate. The reliability of these estimates is illustrated in the Key.  </w:t>
      </w:r>
    </w:p>
    <w:p w14:paraId="100BD275" w14:textId="296422E0" w:rsidR="00B15975" w:rsidRPr="00D76D6D" w:rsidRDefault="00B15975" w:rsidP="00B15975">
      <w:pPr>
        <w:rPr>
          <w:i/>
          <w:sz w:val="20"/>
          <w:szCs w:val="20"/>
        </w:rPr>
      </w:pPr>
      <w:r w:rsidRPr="00D76D6D">
        <w:rPr>
          <w:b/>
          <w:i/>
        </w:rPr>
        <w:lastRenderedPageBreak/>
        <w:t>Key:</w:t>
      </w:r>
    </w:p>
    <w:tbl>
      <w:tblPr>
        <w:tblW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tblGrid>
      <w:tr w:rsidR="00B15975" w:rsidRPr="00D76D6D" w14:paraId="72F14379" w14:textId="77777777" w:rsidTr="0093018D">
        <w:trPr>
          <w:trHeight w:val="300"/>
        </w:trPr>
        <w:tc>
          <w:tcPr>
            <w:tcW w:w="1980" w:type="dxa"/>
            <w:noWrap/>
            <w:vAlign w:val="bottom"/>
            <w:hideMark/>
          </w:tcPr>
          <w:p w14:paraId="309583E2" w14:textId="77777777" w:rsidR="00B15975" w:rsidRPr="00D76D6D" w:rsidRDefault="00B15975" w:rsidP="00EC7593">
            <w:pPr>
              <w:spacing w:after="0" w:line="240" w:lineRule="auto"/>
              <w:rPr>
                <w:rFonts w:ascii="Calibri" w:eastAsia="Times New Roman" w:hAnsi="Calibri" w:cs="Calibri"/>
                <w:color w:val="000000"/>
                <w:lang w:eastAsia="en-GB"/>
              </w:rPr>
            </w:pPr>
            <w:r w:rsidRPr="00D76D6D">
              <w:rPr>
                <w:rFonts w:ascii="Calibri" w:eastAsia="Times New Roman" w:hAnsi="Calibri" w:cs="Calibri"/>
                <w:color w:val="000000"/>
                <w:lang w:eastAsia="en-GB"/>
              </w:rPr>
              <w:t>Precise</w:t>
            </w:r>
          </w:p>
        </w:tc>
      </w:tr>
      <w:tr w:rsidR="00A51DA9" w:rsidRPr="00D76D6D" w14:paraId="6F4D2BE6" w14:textId="77777777" w:rsidTr="0093018D">
        <w:trPr>
          <w:trHeight w:val="300"/>
        </w:trPr>
        <w:tc>
          <w:tcPr>
            <w:tcW w:w="1980" w:type="dxa"/>
            <w:shd w:val="clear" w:color="auto" w:fill="DEEAF6" w:themeFill="accent1" w:themeFillTint="33"/>
            <w:noWrap/>
            <w:vAlign w:val="bottom"/>
            <w:hideMark/>
          </w:tcPr>
          <w:p w14:paraId="2CB67903" w14:textId="661131C3" w:rsidR="00A51DA9" w:rsidRPr="00D76D6D" w:rsidRDefault="00A51DA9" w:rsidP="00A51DA9">
            <w:pPr>
              <w:spacing w:after="0" w:line="240" w:lineRule="auto"/>
              <w:rPr>
                <w:rFonts w:ascii="Calibri" w:eastAsia="Times New Roman" w:hAnsi="Calibri" w:cs="Calibri"/>
                <w:color w:val="000000"/>
                <w:lang w:eastAsia="en-GB"/>
              </w:rPr>
            </w:pPr>
            <w:r w:rsidRPr="00814B33">
              <w:rPr>
                <w:rFonts w:ascii="Calibri" w:eastAsia="Times New Roman" w:hAnsi="Calibri" w:cs="Calibri"/>
                <w:color w:val="000000"/>
                <w:lang w:eastAsia="en-GB"/>
              </w:rPr>
              <w:t>Reasonably Precise</w:t>
            </w:r>
          </w:p>
        </w:tc>
      </w:tr>
      <w:tr w:rsidR="00A51DA9" w:rsidRPr="00D76D6D" w14:paraId="74DE6AE2" w14:textId="77777777" w:rsidTr="0093018D">
        <w:trPr>
          <w:trHeight w:val="300"/>
        </w:trPr>
        <w:tc>
          <w:tcPr>
            <w:tcW w:w="1980" w:type="dxa"/>
            <w:shd w:val="clear" w:color="auto" w:fill="9CC2E5" w:themeFill="accent1" w:themeFillTint="99"/>
            <w:noWrap/>
            <w:vAlign w:val="bottom"/>
            <w:hideMark/>
          </w:tcPr>
          <w:p w14:paraId="7E99FF27" w14:textId="1FA4BB66" w:rsidR="00A51DA9" w:rsidRPr="00D76D6D" w:rsidRDefault="00A51DA9" w:rsidP="00A51DA9">
            <w:pPr>
              <w:spacing w:after="0" w:line="240" w:lineRule="auto"/>
              <w:rPr>
                <w:rFonts w:ascii="Calibri" w:eastAsia="Times New Roman" w:hAnsi="Calibri" w:cs="Calibri"/>
                <w:color w:val="000000"/>
                <w:lang w:eastAsia="en-GB"/>
              </w:rPr>
            </w:pPr>
            <w:r w:rsidRPr="00814B33">
              <w:rPr>
                <w:rFonts w:ascii="Calibri" w:eastAsia="Times New Roman" w:hAnsi="Calibri" w:cs="Calibri"/>
                <w:color w:val="000000"/>
                <w:lang w:eastAsia="en-GB"/>
              </w:rPr>
              <w:t>Acceptable</w:t>
            </w:r>
          </w:p>
        </w:tc>
      </w:tr>
      <w:tr w:rsidR="0093018D" w:rsidRPr="00D76D6D" w14:paraId="6DC597B8" w14:textId="77777777" w:rsidTr="0093018D">
        <w:trPr>
          <w:trHeight w:val="300"/>
        </w:trPr>
        <w:tc>
          <w:tcPr>
            <w:tcW w:w="1980" w:type="dxa"/>
            <w:noWrap/>
            <w:vAlign w:val="bottom"/>
          </w:tcPr>
          <w:p w14:paraId="55F687D3" w14:textId="505A6787" w:rsidR="0093018D" w:rsidRPr="00814B33" w:rsidRDefault="0093018D" w:rsidP="00A51DA9">
            <w:pPr>
              <w:spacing w:after="0" w:line="240" w:lineRule="auto"/>
              <w:rPr>
                <w:rFonts w:ascii="Calibri" w:eastAsia="Times New Roman" w:hAnsi="Calibri" w:cs="Calibri"/>
                <w:color w:val="000000"/>
                <w:lang w:eastAsia="en-GB"/>
              </w:rPr>
            </w:pPr>
            <w:r w:rsidRPr="00814B33">
              <w:rPr>
                <w:rFonts w:ascii="Calibri" w:eastAsia="Times New Roman" w:hAnsi="Calibri" w:cs="Calibri"/>
                <w:color w:val="000000"/>
                <w:lang w:eastAsia="en-GB"/>
              </w:rPr>
              <w:t>(u) Unreliable</w:t>
            </w:r>
          </w:p>
        </w:tc>
      </w:tr>
    </w:tbl>
    <w:p w14:paraId="13B759B7" w14:textId="77777777" w:rsidR="00B15975" w:rsidRPr="005E2D49" w:rsidRDefault="00B15975" w:rsidP="00B15975">
      <w:pPr>
        <w:rPr>
          <w:rFonts w:ascii="Helvetica" w:hAnsi="Helvetica"/>
          <w:color w:val="333333"/>
          <w:highlight w:val="yellow"/>
          <w:shd w:val="clear" w:color="auto" w:fill="FFFFFF"/>
        </w:rPr>
      </w:pPr>
    </w:p>
    <w:p w14:paraId="629E4229" w14:textId="49564344" w:rsidR="00AA51AE" w:rsidRDefault="008245F5" w:rsidP="008245F5">
      <w:r w:rsidRPr="0026105F">
        <w:t>Between 201</w:t>
      </w:r>
      <w:r w:rsidR="00A72060">
        <w:t>5</w:t>
      </w:r>
      <w:r w:rsidRPr="0026105F">
        <w:t xml:space="preserve"> and 202</w:t>
      </w:r>
      <w:r w:rsidR="00A72060">
        <w:t>5</w:t>
      </w:r>
      <w:r w:rsidRPr="0026105F">
        <w:t xml:space="preserve">, the median </w:t>
      </w:r>
      <w:r w:rsidR="00AA51AE" w:rsidRPr="0026105F">
        <w:t xml:space="preserve">gross </w:t>
      </w:r>
      <w:r w:rsidRPr="0026105F">
        <w:t xml:space="preserve">weekly earnings of full-time residents of the borough </w:t>
      </w:r>
      <w:proofErr w:type="gramStart"/>
      <w:r w:rsidRPr="0026105F">
        <w:t>has</w:t>
      </w:r>
      <w:proofErr w:type="gramEnd"/>
      <w:r w:rsidRPr="0026105F">
        <w:t xml:space="preserve"> increased by</w:t>
      </w:r>
      <w:r w:rsidR="00AA51AE" w:rsidRPr="0026105F">
        <w:t xml:space="preserve"> </w:t>
      </w:r>
      <w:r w:rsidR="0026105F" w:rsidRPr="0026105F">
        <w:t xml:space="preserve">almost </w:t>
      </w:r>
      <w:r w:rsidR="00AA51AE" w:rsidRPr="0026105F">
        <w:t>4</w:t>
      </w:r>
      <w:r w:rsidR="00074117">
        <w:t>5.8</w:t>
      </w:r>
      <w:r w:rsidRPr="0026105F">
        <w:t xml:space="preserve">% while the earnings </w:t>
      </w:r>
      <w:r w:rsidR="00B81E29" w:rsidRPr="0026105F">
        <w:t>of</w:t>
      </w:r>
      <w:r w:rsidRPr="0026105F">
        <w:t xml:space="preserve"> those working in the borough has increased by </w:t>
      </w:r>
      <w:r w:rsidR="00074117">
        <w:t>52.5</w:t>
      </w:r>
      <w:r w:rsidRPr="0026105F">
        <w:t xml:space="preserve">%.  </w:t>
      </w:r>
      <w:r w:rsidR="00AA51AE" w:rsidRPr="0026105F">
        <w:t>In</w:t>
      </w:r>
      <w:r w:rsidRPr="0026105F">
        <w:t xml:space="preserve"> Northern Ireland </w:t>
      </w:r>
      <w:r w:rsidR="00AA51AE" w:rsidRPr="0026105F">
        <w:t xml:space="preserve">overall, in the same period, median gross weekly earnings have </w:t>
      </w:r>
      <w:r w:rsidRPr="0026105F">
        <w:t>increase</w:t>
      </w:r>
      <w:r w:rsidR="00AA51AE" w:rsidRPr="0026105F">
        <w:t>d</w:t>
      </w:r>
      <w:r w:rsidRPr="0026105F">
        <w:t xml:space="preserve"> </w:t>
      </w:r>
      <w:r w:rsidR="00AA51AE" w:rsidRPr="0026105F">
        <w:t>by</w:t>
      </w:r>
      <w:r w:rsidRPr="0026105F">
        <w:t xml:space="preserve"> </w:t>
      </w:r>
      <w:r w:rsidR="0026105F" w:rsidRPr="0026105F">
        <w:t>4</w:t>
      </w:r>
      <w:r w:rsidR="00074117">
        <w:t>7.1</w:t>
      </w:r>
      <w:r w:rsidRPr="0026105F">
        <w:t>%</w:t>
      </w:r>
      <w:r w:rsidR="00AA51AE" w:rsidRPr="0026105F">
        <w:t xml:space="preserve">.  </w:t>
      </w:r>
    </w:p>
    <w:p w14:paraId="5420F8A2" w14:textId="1EA428D5" w:rsidR="00A72060" w:rsidRDefault="00A72060" w:rsidP="008245F5">
      <w:r>
        <w:rPr>
          <w:noProof/>
        </w:rPr>
        <w:drawing>
          <wp:inline distT="0" distB="0" distL="0" distR="0" wp14:anchorId="1ABF4641" wp14:editId="571FCA84">
            <wp:extent cx="5486400" cy="3200400"/>
            <wp:effectExtent l="0" t="0" r="0" b="0"/>
            <wp:docPr id="1187855134" name="Chart 3" descr="Median gross weekly full-time pay in Armagh City, Banbridge and Craigavon Borough and Northern Ireland between 2015 and 2025. "/>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9024B2" w14:textId="0D574D26" w:rsidR="008245F5" w:rsidRPr="00D76D6D" w:rsidRDefault="008245F5" w:rsidP="008245F5">
      <w:pPr>
        <w:rPr>
          <w:i/>
          <w:sz w:val="20"/>
          <w:szCs w:val="20"/>
        </w:rPr>
      </w:pPr>
      <w:r w:rsidRPr="00D76D6D">
        <w:rPr>
          <w:i/>
          <w:sz w:val="20"/>
          <w:szCs w:val="20"/>
        </w:rPr>
        <w:t xml:space="preserve">Figure </w:t>
      </w:r>
      <w:r w:rsidR="00D837B4" w:rsidRPr="00D76D6D">
        <w:rPr>
          <w:i/>
          <w:sz w:val="20"/>
          <w:szCs w:val="20"/>
        </w:rPr>
        <w:t>1</w:t>
      </w:r>
      <w:r w:rsidRPr="00D76D6D">
        <w:rPr>
          <w:i/>
          <w:sz w:val="20"/>
          <w:szCs w:val="20"/>
        </w:rPr>
        <w:t>: Median gross weekly full-time pay in Armagh City, Banbridge and Craigavon Borough and Northern Ireland between 201</w:t>
      </w:r>
      <w:r w:rsidR="004255CA">
        <w:rPr>
          <w:i/>
          <w:sz w:val="20"/>
          <w:szCs w:val="20"/>
        </w:rPr>
        <w:t>5</w:t>
      </w:r>
      <w:r w:rsidRPr="00D76D6D">
        <w:rPr>
          <w:i/>
          <w:sz w:val="20"/>
          <w:szCs w:val="20"/>
        </w:rPr>
        <w:t xml:space="preserve"> and 202</w:t>
      </w:r>
      <w:r w:rsidR="004255CA">
        <w:rPr>
          <w:i/>
          <w:sz w:val="20"/>
          <w:szCs w:val="20"/>
        </w:rPr>
        <w:t>5</w:t>
      </w:r>
      <w:r w:rsidRPr="00D76D6D">
        <w:rPr>
          <w:i/>
          <w:sz w:val="20"/>
          <w:szCs w:val="20"/>
        </w:rPr>
        <w:t>. Source: Annual Survey of Hours and Earnings, NISRA.</w:t>
      </w:r>
    </w:p>
    <w:p w14:paraId="0A71FCB8" w14:textId="20AD604D" w:rsidR="006C1913" w:rsidRPr="0093018D" w:rsidRDefault="0042285A" w:rsidP="003C5D3D">
      <w:pPr>
        <w:rPr>
          <w:rFonts w:cstheme="minorHAnsi"/>
          <w:shd w:val="clear" w:color="auto" w:fill="FFFFFF"/>
        </w:rPr>
      </w:pPr>
      <w:r w:rsidRPr="00FC0DDF">
        <w:rPr>
          <w:rFonts w:cstheme="minorHAnsi"/>
          <w:shd w:val="clear" w:color="auto" w:fill="FFFFFF"/>
        </w:rPr>
        <w:t>Table 3 presents the median gross weekly earnings of residents and those working</w:t>
      </w:r>
      <w:r w:rsidR="00C00FFC" w:rsidRPr="00FC0DDF">
        <w:rPr>
          <w:rFonts w:cstheme="minorHAnsi"/>
          <w:shd w:val="clear" w:color="auto" w:fill="FFFFFF"/>
        </w:rPr>
        <w:t xml:space="preserve"> full-time</w:t>
      </w:r>
      <w:r w:rsidRPr="00FC0DDF">
        <w:rPr>
          <w:rFonts w:cstheme="minorHAnsi"/>
          <w:shd w:val="clear" w:color="auto" w:fill="FFFFFF"/>
        </w:rPr>
        <w:t xml:space="preserve"> in each LGD in Northern Ireland as </w:t>
      </w:r>
      <w:proofErr w:type="gramStart"/>
      <w:r w:rsidRPr="00FC0DDF">
        <w:rPr>
          <w:rFonts w:cstheme="minorHAnsi"/>
          <w:shd w:val="clear" w:color="auto" w:fill="FFFFFF"/>
        </w:rPr>
        <w:t>at</w:t>
      </w:r>
      <w:proofErr w:type="gramEnd"/>
      <w:r w:rsidRPr="00FC0DDF">
        <w:rPr>
          <w:rFonts w:cstheme="minorHAnsi"/>
          <w:shd w:val="clear" w:color="auto" w:fill="FFFFFF"/>
        </w:rPr>
        <w:t xml:space="preserve"> April 202</w:t>
      </w:r>
      <w:r w:rsidR="004255CA">
        <w:rPr>
          <w:rFonts w:cstheme="minorHAnsi"/>
          <w:shd w:val="clear" w:color="auto" w:fill="FFFFFF"/>
        </w:rPr>
        <w:t>5</w:t>
      </w:r>
      <w:r w:rsidRPr="00FC0DDF">
        <w:rPr>
          <w:rFonts w:cstheme="minorHAnsi"/>
          <w:shd w:val="clear" w:color="auto" w:fill="FFFFFF"/>
        </w:rPr>
        <w:t xml:space="preserve">. </w:t>
      </w:r>
      <w:r w:rsidR="00097959" w:rsidRPr="00FC0DDF">
        <w:rPr>
          <w:rFonts w:cstheme="minorHAnsi"/>
          <w:shd w:val="clear" w:color="auto" w:fill="FFFFFF"/>
        </w:rPr>
        <w:t>When considering earnings by place of work, employees in Belfast had the highest weekly earnings (£7</w:t>
      </w:r>
      <w:r w:rsidR="007C536C">
        <w:rPr>
          <w:rFonts w:cstheme="minorHAnsi"/>
          <w:shd w:val="clear" w:color="auto" w:fill="FFFFFF"/>
        </w:rPr>
        <w:t>66.60</w:t>
      </w:r>
      <w:r w:rsidR="00097959" w:rsidRPr="00FC0DDF">
        <w:rPr>
          <w:rFonts w:cstheme="minorHAnsi"/>
          <w:shd w:val="clear" w:color="auto" w:fill="FFFFFF"/>
        </w:rPr>
        <w:t>) while those working in Causeway Coast and Glens had the lowest at £</w:t>
      </w:r>
      <w:r w:rsidR="007C536C">
        <w:rPr>
          <w:rFonts w:cstheme="minorHAnsi"/>
          <w:shd w:val="clear" w:color="auto" w:fill="FFFFFF"/>
        </w:rPr>
        <w:t>615.0</w:t>
      </w:r>
      <w:r w:rsidR="00097959" w:rsidRPr="00FC0DDF">
        <w:rPr>
          <w:rFonts w:cstheme="minorHAnsi"/>
          <w:shd w:val="clear" w:color="auto" w:fill="FFFFFF"/>
        </w:rPr>
        <w:t xml:space="preserve">.  Belfast </w:t>
      </w:r>
      <w:r w:rsidR="00B57401" w:rsidRPr="00FC0DDF">
        <w:rPr>
          <w:rFonts w:cstheme="minorHAnsi"/>
          <w:shd w:val="clear" w:color="auto" w:fill="FFFFFF"/>
        </w:rPr>
        <w:t xml:space="preserve">and Lisburn and Castlereagh were </w:t>
      </w:r>
      <w:r w:rsidR="00097959" w:rsidRPr="00FC0DDF">
        <w:rPr>
          <w:rFonts w:cstheme="minorHAnsi"/>
          <w:shd w:val="clear" w:color="auto" w:fill="FFFFFF"/>
        </w:rPr>
        <w:t xml:space="preserve">the only </w:t>
      </w:r>
      <w:proofErr w:type="gramStart"/>
      <w:r w:rsidR="00097959" w:rsidRPr="00FC0DDF">
        <w:rPr>
          <w:rFonts w:cstheme="minorHAnsi"/>
          <w:shd w:val="clear" w:color="auto" w:fill="FFFFFF"/>
        </w:rPr>
        <w:t>LGD</w:t>
      </w:r>
      <w:r w:rsidR="00B57401" w:rsidRPr="00FC0DDF">
        <w:rPr>
          <w:rFonts w:cstheme="minorHAnsi"/>
          <w:shd w:val="clear" w:color="auto" w:fill="FFFFFF"/>
        </w:rPr>
        <w:t>’s</w:t>
      </w:r>
      <w:proofErr w:type="gramEnd"/>
      <w:r w:rsidR="00097959" w:rsidRPr="00FC0DDF">
        <w:rPr>
          <w:rFonts w:cstheme="minorHAnsi"/>
          <w:shd w:val="clear" w:color="auto" w:fill="FFFFFF"/>
        </w:rPr>
        <w:t xml:space="preserve"> with weekly earnings exceeding the NI average.  </w:t>
      </w:r>
      <w:r w:rsidR="001128E3" w:rsidRPr="00FC0DDF">
        <w:rPr>
          <w:rFonts w:cstheme="minorHAnsi"/>
          <w:shd w:val="clear" w:color="auto" w:fill="FFFFFF"/>
        </w:rPr>
        <w:t>When considering earnings by place of residence, the ranking changes although persons who lived in Causeway Coast and Glens still have the lowest weekly earnings at £</w:t>
      </w:r>
      <w:r w:rsidR="00B57401" w:rsidRPr="00FC0DDF">
        <w:rPr>
          <w:rFonts w:cstheme="minorHAnsi"/>
          <w:shd w:val="clear" w:color="auto" w:fill="FFFFFF"/>
        </w:rPr>
        <w:t>61</w:t>
      </w:r>
      <w:r w:rsidR="007C536C">
        <w:rPr>
          <w:rFonts w:cstheme="minorHAnsi"/>
          <w:shd w:val="clear" w:color="auto" w:fill="FFFFFF"/>
        </w:rPr>
        <w:t>5.</w:t>
      </w:r>
      <w:r w:rsidR="00B57401" w:rsidRPr="00FC0DDF">
        <w:rPr>
          <w:rFonts w:cstheme="minorHAnsi"/>
          <w:shd w:val="clear" w:color="auto" w:fill="FFFFFF"/>
        </w:rPr>
        <w:t>0</w:t>
      </w:r>
      <w:r w:rsidR="001128E3" w:rsidRPr="00FC0DDF">
        <w:rPr>
          <w:rFonts w:cstheme="minorHAnsi"/>
          <w:shd w:val="clear" w:color="auto" w:fill="FFFFFF"/>
        </w:rPr>
        <w:t xml:space="preserve"> per week.  Persons living in Lisburn and Castlereagh have the highest weekly earnings at £</w:t>
      </w:r>
      <w:r w:rsidR="00B57401" w:rsidRPr="00FC0DDF">
        <w:rPr>
          <w:rFonts w:cstheme="minorHAnsi"/>
          <w:shd w:val="clear" w:color="auto" w:fill="FFFFFF"/>
        </w:rPr>
        <w:t>7</w:t>
      </w:r>
      <w:r w:rsidR="007C536C">
        <w:rPr>
          <w:rFonts w:cstheme="minorHAnsi"/>
          <w:shd w:val="clear" w:color="auto" w:fill="FFFFFF"/>
        </w:rPr>
        <w:t>77.6</w:t>
      </w:r>
      <w:r w:rsidR="00B57401" w:rsidRPr="00FC0DDF">
        <w:rPr>
          <w:rFonts w:cstheme="minorHAnsi"/>
          <w:shd w:val="clear" w:color="auto" w:fill="FFFFFF"/>
        </w:rPr>
        <w:t>0</w:t>
      </w:r>
      <w:r w:rsidR="001128E3" w:rsidRPr="00FC0DDF">
        <w:rPr>
          <w:rFonts w:cstheme="minorHAnsi"/>
          <w:shd w:val="clear" w:color="auto" w:fill="FFFFFF"/>
        </w:rPr>
        <w:t xml:space="preserve"> while those who lived in Belfast had the </w:t>
      </w:r>
      <w:r w:rsidR="002664EE">
        <w:rPr>
          <w:rFonts w:cstheme="minorHAnsi"/>
          <w:shd w:val="clear" w:color="auto" w:fill="FFFFFF"/>
        </w:rPr>
        <w:t>third</w:t>
      </w:r>
      <w:r w:rsidR="001128E3" w:rsidRPr="00FC0DDF">
        <w:rPr>
          <w:rFonts w:cstheme="minorHAnsi"/>
          <w:shd w:val="clear" w:color="auto" w:fill="FFFFFF"/>
        </w:rPr>
        <w:t xml:space="preserve"> highest weekly earnings at £</w:t>
      </w:r>
      <w:r w:rsidR="007C536C">
        <w:rPr>
          <w:rFonts w:cstheme="minorHAnsi"/>
          <w:shd w:val="clear" w:color="auto" w:fill="FFFFFF"/>
        </w:rPr>
        <w:t>727.2</w:t>
      </w:r>
      <w:r w:rsidR="00B57401" w:rsidRPr="00FC0DDF">
        <w:rPr>
          <w:rFonts w:cstheme="minorHAnsi"/>
          <w:shd w:val="clear" w:color="auto" w:fill="FFFFFF"/>
        </w:rPr>
        <w:t>0.</w:t>
      </w:r>
      <w:r w:rsidR="001128E3" w:rsidRPr="00FC0DDF">
        <w:rPr>
          <w:rFonts w:cstheme="minorHAnsi"/>
          <w:shd w:val="clear" w:color="auto" w:fill="FFFFFF"/>
        </w:rPr>
        <w:t xml:space="preserve"> </w:t>
      </w:r>
      <w:r w:rsidR="00B57401" w:rsidRPr="00FC0DDF">
        <w:rPr>
          <w:rFonts w:cstheme="minorHAnsi"/>
          <w:shd w:val="clear" w:color="auto" w:fill="FFFFFF"/>
        </w:rPr>
        <w:t xml:space="preserve"> The earnings of </w:t>
      </w:r>
      <w:r w:rsidR="00FC0DDF" w:rsidRPr="00FC0DDF">
        <w:rPr>
          <w:rFonts w:cstheme="minorHAnsi"/>
          <w:shd w:val="clear" w:color="auto" w:fill="FFFFFF"/>
        </w:rPr>
        <w:t xml:space="preserve">both </w:t>
      </w:r>
      <w:r w:rsidR="00B57401" w:rsidRPr="00FC0DDF">
        <w:rPr>
          <w:rFonts w:cstheme="minorHAnsi"/>
          <w:shd w:val="clear" w:color="auto" w:fill="FFFFFF"/>
        </w:rPr>
        <w:t>r</w:t>
      </w:r>
      <w:r w:rsidR="001128E3" w:rsidRPr="00FC0DDF">
        <w:rPr>
          <w:rFonts w:cstheme="minorHAnsi"/>
          <w:shd w:val="clear" w:color="auto" w:fill="FFFFFF"/>
        </w:rPr>
        <w:t>esidents</w:t>
      </w:r>
      <w:r w:rsidR="00FC0DDF" w:rsidRPr="00FC0DDF">
        <w:rPr>
          <w:rFonts w:cstheme="minorHAnsi"/>
          <w:shd w:val="clear" w:color="auto" w:fill="FFFFFF"/>
        </w:rPr>
        <w:t xml:space="preserve"> and those working</w:t>
      </w:r>
      <w:r w:rsidR="001128E3" w:rsidRPr="00FC0DDF">
        <w:rPr>
          <w:rFonts w:cstheme="minorHAnsi"/>
          <w:shd w:val="clear" w:color="auto" w:fill="FFFFFF"/>
        </w:rPr>
        <w:t xml:space="preserve"> in Armagh City, Banbridge and Craigavon borough</w:t>
      </w:r>
      <w:r w:rsidR="00B57401" w:rsidRPr="00FC0DDF">
        <w:rPr>
          <w:rFonts w:cstheme="minorHAnsi"/>
          <w:shd w:val="clear" w:color="auto" w:fill="FFFFFF"/>
        </w:rPr>
        <w:t xml:space="preserve"> ranked mid-table</w:t>
      </w:r>
      <w:r w:rsidR="00FC0DDF" w:rsidRPr="00FC0DDF">
        <w:rPr>
          <w:rFonts w:cstheme="minorHAnsi"/>
          <w:shd w:val="clear" w:color="auto" w:fill="FFFFFF"/>
        </w:rPr>
        <w:t>.</w:t>
      </w:r>
    </w:p>
    <w:tbl>
      <w:tblPr>
        <w:tblW w:w="8740" w:type="dxa"/>
        <w:tblLook w:val="04A0" w:firstRow="1" w:lastRow="0" w:firstColumn="1" w:lastColumn="0" w:noHBand="0" w:noVBand="1"/>
      </w:tblPr>
      <w:tblGrid>
        <w:gridCol w:w="3820"/>
        <w:gridCol w:w="2460"/>
        <w:gridCol w:w="2460"/>
      </w:tblGrid>
      <w:tr w:rsidR="003C5D3D" w:rsidRPr="00B57401" w14:paraId="5252CC20" w14:textId="77777777" w:rsidTr="00EC7593">
        <w:trPr>
          <w:trHeight w:val="300"/>
        </w:trPr>
        <w:tc>
          <w:tcPr>
            <w:tcW w:w="3820" w:type="dxa"/>
            <w:tcBorders>
              <w:top w:val="single" w:sz="4" w:space="0" w:color="auto"/>
              <w:left w:val="single" w:sz="4" w:space="0" w:color="auto"/>
              <w:bottom w:val="single" w:sz="4" w:space="0" w:color="auto"/>
              <w:right w:val="single" w:sz="4" w:space="0" w:color="auto"/>
            </w:tcBorders>
            <w:vAlign w:val="bottom"/>
            <w:hideMark/>
          </w:tcPr>
          <w:p w14:paraId="15040C0D" w14:textId="77777777" w:rsidR="003C5D3D" w:rsidRPr="00B57401" w:rsidRDefault="003C5D3D" w:rsidP="00EC7593">
            <w:pPr>
              <w:spacing w:after="0" w:line="240" w:lineRule="auto"/>
              <w:rPr>
                <w:rFonts w:ascii="Calibri" w:eastAsia="Times New Roman" w:hAnsi="Calibri" w:cs="Calibri"/>
                <w:b/>
                <w:bCs/>
                <w:lang w:eastAsia="en-GB"/>
              </w:rPr>
            </w:pPr>
            <w:r w:rsidRPr="00B57401">
              <w:rPr>
                <w:rFonts w:ascii="Calibri" w:eastAsia="Times New Roman" w:hAnsi="Calibri" w:cs="Calibri"/>
                <w:b/>
                <w:bCs/>
                <w:lang w:eastAsia="en-GB"/>
              </w:rPr>
              <w:t>District Council Area</w:t>
            </w:r>
          </w:p>
        </w:tc>
        <w:tc>
          <w:tcPr>
            <w:tcW w:w="2460" w:type="dxa"/>
            <w:tcBorders>
              <w:top w:val="single" w:sz="4" w:space="0" w:color="auto"/>
              <w:left w:val="nil"/>
              <w:bottom w:val="single" w:sz="4" w:space="0" w:color="auto"/>
              <w:right w:val="single" w:sz="4" w:space="0" w:color="auto"/>
            </w:tcBorders>
            <w:vAlign w:val="bottom"/>
            <w:hideMark/>
          </w:tcPr>
          <w:p w14:paraId="574F0FC2" w14:textId="77777777" w:rsidR="003C5D3D" w:rsidRPr="00B57401" w:rsidRDefault="003C5D3D" w:rsidP="00EC7593">
            <w:pPr>
              <w:spacing w:after="0" w:line="240" w:lineRule="auto"/>
              <w:jc w:val="center"/>
              <w:rPr>
                <w:rFonts w:ascii="Calibri" w:eastAsia="Times New Roman" w:hAnsi="Calibri" w:cs="Calibri"/>
                <w:b/>
                <w:bCs/>
                <w:lang w:eastAsia="en-GB"/>
              </w:rPr>
            </w:pPr>
            <w:r w:rsidRPr="00B57401">
              <w:rPr>
                <w:rFonts w:ascii="Calibri" w:eastAsia="Times New Roman" w:hAnsi="Calibri" w:cs="Calibri"/>
                <w:b/>
                <w:bCs/>
                <w:lang w:eastAsia="en-GB"/>
              </w:rPr>
              <w:t>Residents of (£)</w:t>
            </w:r>
          </w:p>
        </w:tc>
        <w:tc>
          <w:tcPr>
            <w:tcW w:w="2460" w:type="dxa"/>
            <w:tcBorders>
              <w:top w:val="single" w:sz="4" w:space="0" w:color="auto"/>
              <w:left w:val="nil"/>
              <w:bottom w:val="single" w:sz="4" w:space="0" w:color="auto"/>
              <w:right w:val="single" w:sz="4" w:space="0" w:color="auto"/>
            </w:tcBorders>
            <w:noWrap/>
            <w:vAlign w:val="bottom"/>
            <w:hideMark/>
          </w:tcPr>
          <w:p w14:paraId="0F1C78CB" w14:textId="77777777" w:rsidR="003C5D3D" w:rsidRPr="00B57401" w:rsidRDefault="003C5D3D" w:rsidP="00EC7593">
            <w:pPr>
              <w:spacing w:after="0" w:line="240" w:lineRule="auto"/>
              <w:jc w:val="center"/>
              <w:rPr>
                <w:rFonts w:ascii="Calibri" w:eastAsia="Times New Roman" w:hAnsi="Calibri" w:cs="Calibri"/>
                <w:b/>
                <w:bCs/>
                <w:color w:val="000000"/>
                <w:lang w:eastAsia="en-GB"/>
              </w:rPr>
            </w:pPr>
            <w:r w:rsidRPr="00B57401">
              <w:rPr>
                <w:rFonts w:ascii="Calibri" w:eastAsia="Times New Roman" w:hAnsi="Calibri" w:cs="Calibri"/>
                <w:b/>
                <w:bCs/>
                <w:color w:val="000000"/>
                <w:lang w:eastAsia="en-GB"/>
              </w:rPr>
              <w:t>Working in (£)</w:t>
            </w:r>
          </w:p>
        </w:tc>
      </w:tr>
      <w:tr w:rsidR="00B57401" w:rsidRPr="00B57401" w14:paraId="327E8B2F" w14:textId="77777777" w:rsidTr="001E2A52">
        <w:trPr>
          <w:trHeight w:val="300"/>
        </w:trPr>
        <w:tc>
          <w:tcPr>
            <w:tcW w:w="3820" w:type="dxa"/>
            <w:tcBorders>
              <w:top w:val="nil"/>
              <w:left w:val="single" w:sz="4" w:space="0" w:color="auto"/>
              <w:bottom w:val="single" w:sz="4" w:space="0" w:color="auto"/>
              <w:right w:val="single" w:sz="4" w:space="0" w:color="auto"/>
            </w:tcBorders>
            <w:vAlign w:val="bottom"/>
            <w:hideMark/>
          </w:tcPr>
          <w:p w14:paraId="4D6DD34C" w14:textId="77777777" w:rsidR="00B57401" w:rsidRPr="00B57401" w:rsidRDefault="00B57401" w:rsidP="00B57401">
            <w:pPr>
              <w:spacing w:after="0" w:line="240" w:lineRule="auto"/>
              <w:rPr>
                <w:rFonts w:ascii="Calibri" w:eastAsia="Times New Roman" w:hAnsi="Calibri" w:cs="Calibri"/>
                <w:lang w:eastAsia="en-GB"/>
              </w:rPr>
            </w:pPr>
            <w:r w:rsidRPr="00B57401">
              <w:rPr>
                <w:rFonts w:ascii="Calibri" w:eastAsia="Times New Roman" w:hAnsi="Calibri" w:cs="Calibri"/>
                <w:lang w:eastAsia="en-GB"/>
              </w:rPr>
              <w:t>Antrim and Newtownabbey</w:t>
            </w:r>
          </w:p>
        </w:tc>
        <w:tc>
          <w:tcPr>
            <w:tcW w:w="2460" w:type="dxa"/>
            <w:tcBorders>
              <w:top w:val="nil"/>
              <w:left w:val="nil"/>
              <w:bottom w:val="single" w:sz="4" w:space="0" w:color="auto"/>
              <w:right w:val="single" w:sz="4" w:space="0" w:color="auto"/>
            </w:tcBorders>
            <w:noWrap/>
            <w:vAlign w:val="center"/>
          </w:tcPr>
          <w:p w14:paraId="094FE520" w14:textId="08BAF8A5" w:rsidR="00B57401" w:rsidRPr="00B57401" w:rsidRDefault="001E2A52" w:rsidP="00B57401">
            <w:pPr>
              <w:spacing w:after="0" w:line="240" w:lineRule="auto"/>
              <w:jc w:val="center"/>
              <w:rPr>
                <w:rFonts w:ascii="Calibri" w:eastAsia="Times New Roman" w:hAnsi="Calibri" w:cs="Calibri"/>
                <w:lang w:eastAsia="en-GB"/>
              </w:rPr>
            </w:pPr>
            <w:r>
              <w:rPr>
                <w:rFonts w:ascii="Calibri" w:eastAsia="Times New Roman" w:hAnsi="Calibri" w:cs="Calibri"/>
                <w:lang w:eastAsia="en-GB"/>
              </w:rPr>
              <w:t>728.3</w:t>
            </w:r>
          </w:p>
        </w:tc>
        <w:tc>
          <w:tcPr>
            <w:tcW w:w="2460" w:type="dxa"/>
            <w:tcBorders>
              <w:top w:val="nil"/>
              <w:left w:val="nil"/>
              <w:bottom w:val="single" w:sz="4" w:space="0" w:color="auto"/>
              <w:right w:val="single" w:sz="4" w:space="0" w:color="auto"/>
            </w:tcBorders>
            <w:shd w:val="clear" w:color="auto" w:fill="DEEAF6" w:themeFill="accent1" w:themeFillTint="33"/>
            <w:noWrap/>
            <w:vAlign w:val="bottom"/>
          </w:tcPr>
          <w:p w14:paraId="5915C049" w14:textId="7420C515" w:rsidR="00B57401" w:rsidRPr="00B57401" w:rsidRDefault="001E2A52" w:rsidP="00B57401">
            <w:pPr>
              <w:spacing w:after="0" w:line="240" w:lineRule="auto"/>
              <w:jc w:val="center"/>
              <w:rPr>
                <w:rFonts w:ascii="Calibri" w:eastAsia="Times New Roman" w:hAnsi="Calibri" w:cs="Calibri"/>
                <w:lang w:eastAsia="en-GB"/>
              </w:rPr>
            </w:pPr>
            <w:r>
              <w:rPr>
                <w:rFonts w:ascii="Calibri" w:hAnsi="Calibri" w:cs="Calibri"/>
                <w:color w:val="000000"/>
              </w:rPr>
              <w:t>693.6</w:t>
            </w:r>
          </w:p>
        </w:tc>
      </w:tr>
      <w:tr w:rsidR="00B57401" w:rsidRPr="00B57401" w14:paraId="25B788DE" w14:textId="77777777" w:rsidTr="00A51DA9">
        <w:trPr>
          <w:trHeight w:val="300"/>
        </w:trPr>
        <w:tc>
          <w:tcPr>
            <w:tcW w:w="3820" w:type="dxa"/>
            <w:tcBorders>
              <w:top w:val="nil"/>
              <w:left w:val="single" w:sz="4" w:space="0" w:color="auto"/>
              <w:bottom w:val="single" w:sz="4" w:space="0" w:color="auto"/>
              <w:right w:val="single" w:sz="4" w:space="0" w:color="auto"/>
            </w:tcBorders>
            <w:vAlign w:val="bottom"/>
            <w:hideMark/>
          </w:tcPr>
          <w:p w14:paraId="3BAE5BAC" w14:textId="77777777" w:rsidR="00B57401" w:rsidRPr="00B57401" w:rsidRDefault="00B57401" w:rsidP="00B57401">
            <w:pPr>
              <w:spacing w:after="0" w:line="240" w:lineRule="auto"/>
              <w:rPr>
                <w:rFonts w:ascii="Calibri" w:eastAsia="Times New Roman" w:hAnsi="Calibri" w:cs="Calibri"/>
                <w:lang w:eastAsia="en-GB"/>
              </w:rPr>
            </w:pPr>
            <w:r w:rsidRPr="00B57401">
              <w:rPr>
                <w:rFonts w:ascii="Calibri" w:eastAsia="Times New Roman" w:hAnsi="Calibri" w:cs="Calibri"/>
                <w:lang w:eastAsia="en-GB"/>
              </w:rPr>
              <w:t>Ards and North Down</w:t>
            </w:r>
          </w:p>
        </w:tc>
        <w:tc>
          <w:tcPr>
            <w:tcW w:w="2460" w:type="dxa"/>
            <w:tcBorders>
              <w:top w:val="nil"/>
              <w:left w:val="nil"/>
              <w:bottom w:val="single" w:sz="4" w:space="0" w:color="auto"/>
              <w:right w:val="single" w:sz="4" w:space="0" w:color="auto"/>
            </w:tcBorders>
            <w:noWrap/>
            <w:vAlign w:val="bottom"/>
          </w:tcPr>
          <w:p w14:paraId="2AFFA7E8" w14:textId="3C091A6A" w:rsidR="00B57401" w:rsidRPr="00B57401" w:rsidRDefault="001E2A52" w:rsidP="00B57401">
            <w:pPr>
              <w:spacing w:after="0" w:line="240" w:lineRule="auto"/>
              <w:jc w:val="center"/>
              <w:rPr>
                <w:rFonts w:ascii="Calibri" w:eastAsia="Times New Roman" w:hAnsi="Calibri" w:cs="Calibri"/>
                <w:color w:val="000000"/>
                <w:lang w:eastAsia="en-GB"/>
              </w:rPr>
            </w:pPr>
            <w:r>
              <w:rPr>
                <w:rFonts w:ascii="Calibri" w:hAnsi="Calibri" w:cs="Calibri"/>
                <w:color w:val="000000"/>
              </w:rPr>
              <w:t>714.8</w:t>
            </w:r>
          </w:p>
        </w:tc>
        <w:tc>
          <w:tcPr>
            <w:tcW w:w="2460" w:type="dxa"/>
            <w:tcBorders>
              <w:top w:val="nil"/>
              <w:left w:val="nil"/>
              <w:bottom w:val="single" w:sz="4" w:space="0" w:color="auto"/>
              <w:right w:val="single" w:sz="4" w:space="0" w:color="auto"/>
            </w:tcBorders>
            <w:shd w:val="clear" w:color="auto" w:fill="DEEAF6" w:themeFill="accent1" w:themeFillTint="33"/>
            <w:noWrap/>
            <w:vAlign w:val="bottom"/>
          </w:tcPr>
          <w:p w14:paraId="2CD941A1" w14:textId="2CE3E4D2" w:rsidR="00B57401" w:rsidRPr="00B57401" w:rsidRDefault="001E2A52" w:rsidP="00B57401">
            <w:pPr>
              <w:spacing w:after="0" w:line="240" w:lineRule="auto"/>
              <w:jc w:val="center"/>
              <w:rPr>
                <w:rFonts w:ascii="Calibri" w:eastAsia="Times New Roman" w:hAnsi="Calibri" w:cs="Calibri"/>
                <w:color w:val="000000"/>
                <w:lang w:eastAsia="en-GB"/>
              </w:rPr>
            </w:pPr>
            <w:r>
              <w:rPr>
                <w:rFonts w:ascii="Calibri" w:hAnsi="Calibri" w:cs="Calibri"/>
                <w:color w:val="000000"/>
              </w:rPr>
              <w:t>651.4</w:t>
            </w:r>
          </w:p>
        </w:tc>
      </w:tr>
      <w:tr w:rsidR="00B57401" w:rsidRPr="00B57401" w14:paraId="3E57480F" w14:textId="77777777" w:rsidTr="004D4BF7">
        <w:trPr>
          <w:trHeight w:val="300"/>
        </w:trPr>
        <w:tc>
          <w:tcPr>
            <w:tcW w:w="3820" w:type="dxa"/>
            <w:tcBorders>
              <w:top w:val="nil"/>
              <w:left w:val="single" w:sz="4" w:space="0" w:color="auto"/>
              <w:bottom w:val="single" w:sz="4" w:space="0" w:color="auto"/>
              <w:right w:val="single" w:sz="4" w:space="0" w:color="auto"/>
            </w:tcBorders>
            <w:vAlign w:val="bottom"/>
            <w:hideMark/>
          </w:tcPr>
          <w:p w14:paraId="0D0A7C27" w14:textId="77777777" w:rsidR="00B57401" w:rsidRPr="00B57401" w:rsidRDefault="00B57401" w:rsidP="00B57401">
            <w:pPr>
              <w:spacing w:after="0" w:line="240" w:lineRule="auto"/>
              <w:rPr>
                <w:rFonts w:ascii="Calibri" w:eastAsia="Times New Roman" w:hAnsi="Calibri" w:cs="Calibri"/>
                <w:lang w:eastAsia="en-GB"/>
              </w:rPr>
            </w:pPr>
            <w:r w:rsidRPr="00B57401">
              <w:rPr>
                <w:rFonts w:ascii="Calibri" w:eastAsia="Times New Roman" w:hAnsi="Calibri" w:cs="Calibri"/>
                <w:lang w:eastAsia="en-GB"/>
              </w:rPr>
              <w:t>Armagh City, Banbridge and Craigavon</w:t>
            </w:r>
          </w:p>
        </w:tc>
        <w:tc>
          <w:tcPr>
            <w:tcW w:w="2460" w:type="dxa"/>
            <w:tcBorders>
              <w:top w:val="nil"/>
              <w:left w:val="nil"/>
              <w:bottom w:val="single" w:sz="4" w:space="0" w:color="auto"/>
              <w:right w:val="single" w:sz="4" w:space="0" w:color="auto"/>
            </w:tcBorders>
            <w:noWrap/>
            <w:vAlign w:val="bottom"/>
          </w:tcPr>
          <w:p w14:paraId="66498CED" w14:textId="5263107E" w:rsidR="00B57401" w:rsidRPr="00B57401" w:rsidRDefault="001E2A52" w:rsidP="00B57401">
            <w:pPr>
              <w:spacing w:after="0" w:line="240" w:lineRule="auto"/>
              <w:jc w:val="center"/>
              <w:rPr>
                <w:rFonts w:ascii="Calibri" w:eastAsia="Times New Roman" w:hAnsi="Calibri" w:cs="Calibri"/>
                <w:color w:val="000000"/>
                <w:lang w:eastAsia="en-GB"/>
              </w:rPr>
            </w:pPr>
            <w:r>
              <w:rPr>
                <w:rFonts w:ascii="Calibri" w:hAnsi="Calibri" w:cs="Calibri"/>
                <w:color w:val="000000"/>
              </w:rPr>
              <w:t>671.0</w:t>
            </w:r>
          </w:p>
        </w:tc>
        <w:tc>
          <w:tcPr>
            <w:tcW w:w="2460" w:type="dxa"/>
            <w:tcBorders>
              <w:top w:val="nil"/>
              <w:left w:val="nil"/>
              <w:bottom w:val="single" w:sz="4" w:space="0" w:color="auto"/>
              <w:right w:val="single" w:sz="4" w:space="0" w:color="auto"/>
            </w:tcBorders>
            <w:noWrap/>
            <w:vAlign w:val="bottom"/>
          </w:tcPr>
          <w:p w14:paraId="2EB0591C" w14:textId="219EA664" w:rsidR="00B57401" w:rsidRPr="00B57401" w:rsidRDefault="00B57401" w:rsidP="00B57401">
            <w:pPr>
              <w:spacing w:after="0" w:line="240" w:lineRule="auto"/>
              <w:jc w:val="center"/>
              <w:rPr>
                <w:rFonts w:ascii="Calibri" w:eastAsia="Times New Roman" w:hAnsi="Calibri" w:cs="Calibri"/>
                <w:color w:val="000000"/>
                <w:lang w:eastAsia="en-GB"/>
              </w:rPr>
            </w:pPr>
            <w:r w:rsidRPr="00B57401">
              <w:rPr>
                <w:rFonts w:ascii="Calibri" w:hAnsi="Calibri" w:cs="Calibri"/>
                <w:color w:val="000000"/>
              </w:rPr>
              <w:t>6</w:t>
            </w:r>
            <w:r w:rsidR="001E2A52">
              <w:rPr>
                <w:rFonts w:ascii="Calibri" w:hAnsi="Calibri" w:cs="Calibri"/>
                <w:color w:val="000000"/>
              </w:rPr>
              <w:t>75.3</w:t>
            </w:r>
          </w:p>
        </w:tc>
      </w:tr>
      <w:tr w:rsidR="00B57401" w:rsidRPr="00B57401" w14:paraId="785A9145" w14:textId="77777777" w:rsidTr="004D4BF7">
        <w:trPr>
          <w:trHeight w:val="300"/>
        </w:trPr>
        <w:tc>
          <w:tcPr>
            <w:tcW w:w="3820" w:type="dxa"/>
            <w:tcBorders>
              <w:top w:val="nil"/>
              <w:left w:val="single" w:sz="4" w:space="0" w:color="auto"/>
              <w:bottom w:val="single" w:sz="4" w:space="0" w:color="auto"/>
              <w:right w:val="single" w:sz="4" w:space="0" w:color="auto"/>
            </w:tcBorders>
            <w:vAlign w:val="bottom"/>
            <w:hideMark/>
          </w:tcPr>
          <w:p w14:paraId="35744CD4" w14:textId="77777777" w:rsidR="00B57401" w:rsidRPr="00B57401" w:rsidRDefault="00B57401" w:rsidP="00B57401">
            <w:pPr>
              <w:spacing w:after="0" w:line="240" w:lineRule="auto"/>
              <w:rPr>
                <w:rFonts w:ascii="Calibri" w:eastAsia="Times New Roman" w:hAnsi="Calibri" w:cs="Calibri"/>
                <w:lang w:eastAsia="en-GB"/>
              </w:rPr>
            </w:pPr>
            <w:r w:rsidRPr="00B57401">
              <w:rPr>
                <w:rFonts w:ascii="Calibri" w:eastAsia="Times New Roman" w:hAnsi="Calibri" w:cs="Calibri"/>
                <w:lang w:eastAsia="en-GB"/>
              </w:rPr>
              <w:lastRenderedPageBreak/>
              <w:t>Belfast</w:t>
            </w:r>
          </w:p>
        </w:tc>
        <w:tc>
          <w:tcPr>
            <w:tcW w:w="2460" w:type="dxa"/>
            <w:tcBorders>
              <w:top w:val="nil"/>
              <w:left w:val="nil"/>
              <w:bottom w:val="single" w:sz="4" w:space="0" w:color="auto"/>
              <w:right w:val="single" w:sz="4" w:space="0" w:color="auto"/>
            </w:tcBorders>
            <w:noWrap/>
            <w:vAlign w:val="bottom"/>
          </w:tcPr>
          <w:p w14:paraId="49B431A3" w14:textId="00F9710F" w:rsidR="00B57401" w:rsidRPr="00B57401" w:rsidRDefault="001E2A52" w:rsidP="00B57401">
            <w:pPr>
              <w:spacing w:after="0" w:line="240" w:lineRule="auto"/>
              <w:jc w:val="center"/>
              <w:rPr>
                <w:rFonts w:ascii="Calibri" w:eastAsia="Times New Roman" w:hAnsi="Calibri" w:cs="Calibri"/>
                <w:lang w:eastAsia="en-GB"/>
              </w:rPr>
            </w:pPr>
            <w:r>
              <w:rPr>
                <w:rFonts w:ascii="Calibri" w:eastAsia="Times New Roman" w:hAnsi="Calibri" w:cs="Calibri"/>
                <w:lang w:eastAsia="en-GB"/>
              </w:rPr>
              <w:t>727.2</w:t>
            </w:r>
          </w:p>
        </w:tc>
        <w:tc>
          <w:tcPr>
            <w:tcW w:w="2460" w:type="dxa"/>
            <w:tcBorders>
              <w:top w:val="nil"/>
              <w:left w:val="nil"/>
              <w:bottom w:val="single" w:sz="4" w:space="0" w:color="auto"/>
              <w:right w:val="single" w:sz="4" w:space="0" w:color="auto"/>
            </w:tcBorders>
            <w:noWrap/>
            <w:vAlign w:val="bottom"/>
          </w:tcPr>
          <w:p w14:paraId="20E12524" w14:textId="5C3F5115" w:rsidR="00B57401" w:rsidRPr="00B57401" w:rsidRDefault="00B57401" w:rsidP="00B57401">
            <w:pPr>
              <w:spacing w:after="0" w:line="240" w:lineRule="auto"/>
              <w:jc w:val="center"/>
              <w:rPr>
                <w:rFonts w:ascii="Calibri" w:eastAsia="Times New Roman" w:hAnsi="Calibri" w:cs="Calibri"/>
                <w:lang w:eastAsia="en-GB"/>
              </w:rPr>
            </w:pPr>
            <w:r w:rsidRPr="00B57401">
              <w:rPr>
                <w:rFonts w:ascii="Calibri" w:hAnsi="Calibri" w:cs="Calibri"/>
                <w:color w:val="000000"/>
              </w:rPr>
              <w:t>7</w:t>
            </w:r>
            <w:r w:rsidR="001E2A52">
              <w:rPr>
                <w:rFonts w:ascii="Calibri" w:hAnsi="Calibri" w:cs="Calibri"/>
                <w:color w:val="000000"/>
              </w:rPr>
              <w:t>66.6</w:t>
            </w:r>
          </w:p>
        </w:tc>
      </w:tr>
      <w:tr w:rsidR="00B57401" w:rsidRPr="00B57401" w14:paraId="3153CE87" w14:textId="77777777" w:rsidTr="00B57401">
        <w:trPr>
          <w:trHeight w:val="300"/>
        </w:trPr>
        <w:tc>
          <w:tcPr>
            <w:tcW w:w="3820" w:type="dxa"/>
            <w:tcBorders>
              <w:top w:val="nil"/>
              <w:left w:val="single" w:sz="4" w:space="0" w:color="auto"/>
              <w:bottom w:val="single" w:sz="4" w:space="0" w:color="auto"/>
              <w:right w:val="single" w:sz="4" w:space="0" w:color="auto"/>
            </w:tcBorders>
            <w:vAlign w:val="bottom"/>
            <w:hideMark/>
          </w:tcPr>
          <w:p w14:paraId="4583F0F0" w14:textId="77777777" w:rsidR="00B57401" w:rsidRPr="00B57401" w:rsidRDefault="00B57401" w:rsidP="00B57401">
            <w:pPr>
              <w:spacing w:after="0" w:line="240" w:lineRule="auto"/>
              <w:rPr>
                <w:rFonts w:ascii="Calibri" w:eastAsia="Times New Roman" w:hAnsi="Calibri" w:cs="Calibri"/>
                <w:lang w:eastAsia="en-GB"/>
              </w:rPr>
            </w:pPr>
            <w:r w:rsidRPr="00B57401">
              <w:rPr>
                <w:rFonts w:ascii="Calibri" w:eastAsia="Times New Roman" w:hAnsi="Calibri" w:cs="Calibri"/>
                <w:lang w:eastAsia="en-GB"/>
              </w:rPr>
              <w:t>Causeway Coast and Glens</w:t>
            </w:r>
          </w:p>
        </w:tc>
        <w:tc>
          <w:tcPr>
            <w:tcW w:w="2460" w:type="dxa"/>
            <w:tcBorders>
              <w:top w:val="nil"/>
              <w:left w:val="nil"/>
              <w:bottom w:val="single" w:sz="4" w:space="0" w:color="auto"/>
              <w:right w:val="single" w:sz="4" w:space="0" w:color="auto"/>
            </w:tcBorders>
            <w:noWrap/>
            <w:vAlign w:val="bottom"/>
          </w:tcPr>
          <w:p w14:paraId="71BEFE2D" w14:textId="0F80D222" w:rsidR="00B57401" w:rsidRPr="00B57401" w:rsidRDefault="00B57401" w:rsidP="00B57401">
            <w:pPr>
              <w:spacing w:after="0" w:line="240" w:lineRule="auto"/>
              <w:jc w:val="center"/>
              <w:rPr>
                <w:rFonts w:ascii="Calibri" w:eastAsia="Times New Roman" w:hAnsi="Calibri" w:cs="Calibri"/>
                <w:lang w:eastAsia="en-GB"/>
              </w:rPr>
            </w:pPr>
            <w:r w:rsidRPr="00B57401">
              <w:rPr>
                <w:rFonts w:ascii="Calibri" w:hAnsi="Calibri" w:cs="Calibri"/>
                <w:color w:val="000000"/>
              </w:rPr>
              <w:t>6</w:t>
            </w:r>
            <w:r w:rsidR="007C536C">
              <w:rPr>
                <w:rFonts w:ascii="Calibri" w:hAnsi="Calibri" w:cs="Calibri"/>
                <w:color w:val="000000"/>
              </w:rPr>
              <w:t>4</w:t>
            </w:r>
            <w:r w:rsidRPr="00B57401">
              <w:rPr>
                <w:rFonts w:ascii="Calibri" w:hAnsi="Calibri" w:cs="Calibri"/>
                <w:color w:val="000000"/>
              </w:rPr>
              <w:t>8.</w:t>
            </w:r>
            <w:r w:rsidR="007C536C">
              <w:rPr>
                <w:rFonts w:ascii="Calibri" w:hAnsi="Calibri" w:cs="Calibri"/>
                <w:color w:val="000000"/>
              </w:rPr>
              <w:t>6</w:t>
            </w:r>
          </w:p>
        </w:tc>
        <w:tc>
          <w:tcPr>
            <w:tcW w:w="2460" w:type="dxa"/>
            <w:tcBorders>
              <w:top w:val="nil"/>
              <w:left w:val="nil"/>
              <w:bottom w:val="single" w:sz="4" w:space="0" w:color="auto"/>
              <w:right w:val="single" w:sz="4" w:space="0" w:color="auto"/>
            </w:tcBorders>
            <w:noWrap/>
            <w:vAlign w:val="bottom"/>
          </w:tcPr>
          <w:p w14:paraId="472A0021" w14:textId="29884981" w:rsidR="00B57401" w:rsidRPr="00B57401" w:rsidRDefault="001E2A52" w:rsidP="00B57401">
            <w:pPr>
              <w:spacing w:after="0" w:line="240" w:lineRule="auto"/>
              <w:jc w:val="center"/>
              <w:rPr>
                <w:rFonts w:ascii="Calibri" w:eastAsia="Times New Roman" w:hAnsi="Calibri" w:cs="Calibri"/>
                <w:lang w:eastAsia="en-GB"/>
              </w:rPr>
            </w:pPr>
            <w:r>
              <w:rPr>
                <w:rFonts w:ascii="Calibri" w:eastAsia="Times New Roman" w:hAnsi="Calibri" w:cs="Calibri"/>
                <w:lang w:eastAsia="en-GB"/>
              </w:rPr>
              <w:t>615.0</w:t>
            </w:r>
          </w:p>
        </w:tc>
      </w:tr>
      <w:tr w:rsidR="00B57401" w:rsidRPr="00B57401" w14:paraId="4FE12BEE" w14:textId="77777777" w:rsidTr="004D4BF7">
        <w:trPr>
          <w:trHeight w:val="300"/>
        </w:trPr>
        <w:tc>
          <w:tcPr>
            <w:tcW w:w="3820" w:type="dxa"/>
            <w:tcBorders>
              <w:top w:val="nil"/>
              <w:left w:val="single" w:sz="4" w:space="0" w:color="auto"/>
              <w:bottom w:val="single" w:sz="4" w:space="0" w:color="auto"/>
              <w:right w:val="single" w:sz="4" w:space="0" w:color="auto"/>
            </w:tcBorders>
            <w:vAlign w:val="bottom"/>
            <w:hideMark/>
          </w:tcPr>
          <w:p w14:paraId="7726D107" w14:textId="77777777" w:rsidR="00B57401" w:rsidRPr="00B57401" w:rsidRDefault="00B57401" w:rsidP="00B57401">
            <w:pPr>
              <w:spacing w:after="0" w:line="240" w:lineRule="auto"/>
              <w:rPr>
                <w:rFonts w:ascii="Calibri" w:eastAsia="Times New Roman" w:hAnsi="Calibri" w:cs="Calibri"/>
                <w:lang w:eastAsia="en-GB"/>
              </w:rPr>
            </w:pPr>
            <w:r w:rsidRPr="00B57401">
              <w:rPr>
                <w:rFonts w:ascii="Calibri" w:eastAsia="Times New Roman" w:hAnsi="Calibri" w:cs="Calibri"/>
                <w:lang w:eastAsia="en-GB"/>
              </w:rPr>
              <w:t>Derry City and Strabane</w:t>
            </w:r>
          </w:p>
        </w:tc>
        <w:tc>
          <w:tcPr>
            <w:tcW w:w="2460" w:type="dxa"/>
            <w:tcBorders>
              <w:top w:val="nil"/>
              <w:left w:val="nil"/>
              <w:bottom w:val="single" w:sz="4" w:space="0" w:color="auto"/>
              <w:right w:val="single" w:sz="4" w:space="0" w:color="auto"/>
            </w:tcBorders>
            <w:noWrap/>
            <w:vAlign w:val="bottom"/>
          </w:tcPr>
          <w:p w14:paraId="272DFE65" w14:textId="22EEB5A7" w:rsidR="00B57401" w:rsidRPr="00B57401" w:rsidRDefault="00B57401" w:rsidP="00B57401">
            <w:pPr>
              <w:spacing w:after="0" w:line="240" w:lineRule="auto"/>
              <w:jc w:val="center"/>
              <w:rPr>
                <w:rFonts w:ascii="Calibri" w:eastAsia="Times New Roman" w:hAnsi="Calibri" w:cs="Calibri"/>
                <w:lang w:eastAsia="en-GB"/>
              </w:rPr>
            </w:pPr>
            <w:r w:rsidRPr="00B57401">
              <w:rPr>
                <w:rFonts w:ascii="Calibri" w:hAnsi="Calibri" w:cs="Calibri"/>
                <w:color w:val="000000"/>
              </w:rPr>
              <w:t>6</w:t>
            </w:r>
            <w:r w:rsidR="007C536C">
              <w:rPr>
                <w:rFonts w:ascii="Calibri" w:hAnsi="Calibri" w:cs="Calibri"/>
                <w:color w:val="000000"/>
              </w:rPr>
              <w:t>85.0</w:t>
            </w:r>
          </w:p>
        </w:tc>
        <w:tc>
          <w:tcPr>
            <w:tcW w:w="2460" w:type="dxa"/>
            <w:tcBorders>
              <w:top w:val="nil"/>
              <w:left w:val="nil"/>
              <w:bottom w:val="single" w:sz="4" w:space="0" w:color="auto"/>
              <w:right w:val="single" w:sz="4" w:space="0" w:color="auto"/>
            </w:tcBorders>
            <w:noWrap/>
            <w:vAlign w:val="bottom"/>
          </w:tcPr>
          <w:p w14:paraId="2A851E1E" w14:textId="29489561" w:rsidR="00B57401" w:rsidRPr="00B57401" w:rsidRDefault="001E2A52" w:rsidP="00B57401">
            <w:pPr>
              <w:spacing w:after="0" w:line="240" w:lineRule="auto"/>
              <w:jc w:val="center"/>
              <w:rPr>
                <w:rFonts w:ascii="Calibri" w:eastAsia="Times New Roman" w:hAnsi="Calibri" w:cs="Calibri"/>
                <w:lang w:eastAsia="en-GB"/>
              </w:rPr>
            </w:pPr>
            <w:r>
              <w:rPr>
                <w:rFonts w:ascii="Calibri" w:hAnsi="Calibri" w:cs="Calibri"/>
                <w:color w:val="000000"/>
              </w:rPr>
              <w:t>700.0</w:t>
            </w:r>
          </w:p>
        </w:tc>
      </w:tr>
      <w:tr w:rsidR="00B57401" w:rsidRPr="00B57401" w14:paraId="65E36861" w14:textId="77777777" w:rsidTr="007C536C">
        <w:trPr>
          <w:trHeight w:val="300"/>
        </w:trPr>
        <w:tc>
          <w:tcPr>
            <w:tcW w:w="3820" w:type="dxa"/>
            <w:tcBorders>
              <w:top w:val="nil"/>
              <w:left w:val="single" w:sz="4" w:space="0" w:color="auto"/>
              <w:bottom w:val="single" w:sz="4" w:space="0" w:color="auto"/>
              <w:right w:val="single" w:sz="4" w:space="0" w:color="auto"/>
            </w:tcBorders>
            <w:vAlign w:val="bottom"/>
            <w:hideMark/>
          </w:tcPr>
          <w:p w14:paraId="0C5F2ACC" w14:textId="77777777" w:rsidR="00B57401" w:rsidRPr="00B57401" w:rsidRDefault="00B57401" w:rsidP="00B57401">
            <w:pPr>
              <w:spacing w:after="0" w:line="240" w:lineRule="auto"/>
              <w:rPr>
                <w:rFonts w:ascii="Calibri" w:eastAsia="Times New Roman" w:hAnsi="Calibri" w:cs="Calibri"/>
                <w:lang w:eastAsia="en-GB"/>
              </w:rPr>
            </w:pPr>
            <w:r w:rsidRPr="00B57401">
              <w:rPr>
                <w:rFonts w:ascii="Calibri" w:eastAsia="Times New Roman" w:hAnsi="Calibri" w:cs="Calibri"/>
                <w:lang w:eastAsia="en-GB"/>
              </w:rPr>
              <w:t>Fermanagh and Omagh</w:t>
            </w:r>
          </w:p>
        </w:tc>
        <w:tc>
          <w:tcPr>
            <w:tcW w:w="2460" w:type="dxa"/>
            <w:tcBorders>
              <w:top w:val="nil"/>
              <w:left w:val="nil"/>
              <w:bottom w:val="single" w:sz="4" w:space="0" w:color="auto"/>
              <w:right w:val="single" w:sz="4" w:space="0" w:color="auto"/>
            </w:tcBorders>
            <w:shd w:val="clear" w:color="auto" w:fill="FFFFFF" w:themeFill="background1"/>
            <w:noWrap/>
            <w:vAlign w:val="bottom"/>
          </w:tcPr>
          <w:p w14:paraId="39F985B6" w14:textId="5CF2AD6E" w:rsidR="00B57401" w:rsidRPr="00B57401" w:rsidRDefault="007C536C" w:rsidP="00B57401">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710.4</w:t>
            </w:r>
          </w:p>
        </w:tc>
        <w:tc>
          <w:tcPr>
            <w:tcW w:w="2460" w:type="dxa"/>
            <w:tcBorders>
              <w:top w:val="nil"/>
              <w:left w:val="nil"/>
              <w:bottom w:val="single" w:sz="4" w:space="0" w:color="auto"/>
              <w:right w:val="single" w:sz="4" w:space="0" w:color="auto"/>
            </w:tcBorders>
            <w:shd w:val="clear" w:color="auto" w:fill="FFFFFF" w:themeFill="background1"/>
            <w:noWrap/>
            <w:vAlign w:val="bottom"/>
          </w:tcPr>
          <w:p w14:paraId="348B7A66" w14:textId="64D440EA" w:rsidR="00B57401" w:rsidRPr="00B57401" w:rsidRDefault="001E2A52" w:rsidP="00B57401">
            <w:pPr>
              <w:spacing w:after="0" w:line="240" w:lineRule="auto"/>
              <w:jc w:val="center"/>
              <w:rPr>
                <w:rFonts w:ascii="Calibri" w:eastAsia="Times New Roman" w:hAnsi="Calibri" w:cs="Calibri"/>
                <w:color w:val="000000"/>
                <w:lang w:eastAsia="en-GB"/>
              </w:rPr>
            </w:pPr>
            <w:r>
              <w:rPr>
                <w:rFonts w:ascii="Calibri" w:hAnsi="Calibri" w:cs="Calibri"/>
                <w:color w:val="000000"/>
              </w:rPr>
              <w:t>710.6</w:t>
            </w:r>
          </w:p>
        </w:tc>
      </w:tr>
      <w:tr w:rsidR="00B57401" w:rsidRPr="00B57401" w14:paraId="0742620A" w14:textId="77777777" w:rsidTr="00B57401">
        <w:trPr>
          <w:trHeight w:val="300"/>
        </w:trPr>
        <w:tc>
          <w:tcPr>
            <w:tcW w:w="3820" w:type="dxa"/>
            <w:tcBorders>
              <w:top w:val="nil"/>
              <w:left w:val="single" w:sz="4" w:space="0" w:color="auto"/>
              <w:bottom w:val="single" w:sz="4" w:space="0" w:color="auto"/>
              <w:right w:val="single" w:sz="4" w:space="0" w:color="auto"/>
            </w:tcBorders>
            <w:vAlign w:val="bottom"/>
            <w:hideMark/>
          </w:tcPr>
          <w:p w14:paraId="60283C76" w14:textId="77777777" w:rsidR="00B57401" w:rsidRPr="00B57401" w:rsidRDefault="00B57401" w:rsidP="00B57401">
            <w:pPr>
              <w:spacing w:after="0" w:line="240" w:lineRule="auto"/>
              <w:rPr>
                <w:rFonts w:ascii="Calibri" w:eastAsia="Times New Roman" w:hAnsi="Calibri" w:cs="Calibri"/>
                <w:lang w:eastAsia="en-GB"/>
              </w:rPr>
            </w:pPr>
            <w:r w:rsidRPr="00B57401">
              <w:rPr>
                <w:rFonts w:ascii="Calibri" w:eastAsia="Times New Roman" w:hAnsi="Calibri" w:cs="Calibri"/>
                <w:lang w:eastAsia="en-GB"/>
              </w:rPr>
              <w:t>Lisburn and Castlereagh</w:t>
            </w:r>
          </w:p>
        </w:tc>
        <w:tc>
          <w:tcPr>
            <w:tcW w:w="2460" w:type="dxa"/>
            <w:tcBorders>
              <w:top w:val="nil"/>
              <w:left w:val="nil"/>
              <w:bottom w:val="single" w:sz="4" w:space="0" w:color="auto"/>
              <w:right w:val="single" w:sz="4" w:space="0" w:color="auto"/>
            </w:tcBorders>
            <w:noWrap/>
            <w:vAlign w:val="bottom"/>
          </w:tcPr>
          <w:p w14:paraId="02A451F0" w14:textId="56A5ADFF" w:rsidR="00B57401" w:rsidRPr="00B57401" w:rsidRDefault="00B57401" w:rsidP="00B57401">
            <w:pPr>
              <w:spacing w:after="0" w:line="240" w:lineRule="auto"/>
              <w:jc w:val="center"/>
              <w:rPr>
                <w:rFonts w:ascii="Calibri" w:eastAsia="Times New Roman" w:hAnsi="Calibri" w:cs="Calibri"/>
                <w:lang w:eastAsia="en-GB"/>
              </w:rPr>
            </w:pPr>
            <w:r w:rsidRPr="00B57401">
              <w:rPr>
                <w:rFonts w:ascii="Calibri" w:hAnsi="Calibri" w:cs="Calibri"/>
                <w:color w:val="000000"/>
              </w:rPr>
              <w:t>7</w:t>
            </w:r>
            <w:r w:rsidR="007C536C">
              <w:rPr>
                <w:rFonts w:ascii="Calibri" w:hAnsi="Calibri" w:cs="Calibri"/>
                <w:color w:val="000000"/>
              </w:rPr>
              <w:t>77.6</w:t>
            </w:r>
          </w:p>
        </w:tc>
        <w:tc>
          <w:tcPr>
            <w:tcW w:w="2460" w:type="dxa"/>
            <w:tcBorders>
              <w:top w:val="nil"/>
              <w:left w:val="nil"/>
              <w:bottom w:val="single" w:sz="4" w:space="0" w:color="auto"/>
              <w:right w:val="single" w:sz="4" w:space="0" w:color="auto"/>
            </w:tcBorders>
            <w:noWrap/>
            <w:vAlign w:val="bottom"/>
          </w:tcPr>
          <w:p w14:paraId="74E81A35" w14:textId="55714CD0" w:rsidR="00B57401" w:rsidRPr="00B57401" w:rsidRDefault="001E2A52" w:rsidP="00B57401">
            <w:pPr>
              <w:spacing w:after="0" w:line="240" w:lineRule="auto"/>
              <w:jc w:val="center"/>
              <w:rPr>
                <w:rFonts w:ascii="Calibri" w:eastAsia="Times New Roman" w:hAnsi="Calibri" w:cs="Calibri"/>
                <w:lang w:eastAsia="en-GB"/>
              </w:rPr>
            </w:pPr>
            <w:r>
              <w:rPr>
                <w:rFonts w:ascii="Calibri" w:eastAsia="Times New Roman" w:hAnsi="Calibri" w:cs="Calibri"/>
                <w:lang w:eastAsia="en-GB"/>
              </w:rPr>
              <w:t>736.5</w:t>
            </w:r>
          </w:p>
        </w:tc>
      </w:tr>
      <w:tr w:rsidR="00B57401" w:rsidRPr="00B57401" w14:paraId="5E8C16A8" w14:textId="77777777" w:rsidTr="004D4BF7">
        <w:trPr>
          <w:trHeight w:val="300"/>
        </w:trPr>
        <w:tc>
          <w:tcPr>
            <w:tcW w:w="3820" w:type="dxa"/>
            <w:tcBorders>
              <w:top w:val="nil"/>
              <w:left w:val="single" w:sz="4" w:space="0" w:color="auto"/>
              <w:bottom w:val="single" w:sz="4" w:space="0" w:color="auto"/>
              <w:right w:val="single" w:sz="4" w:space="0" w:color="auto"/>
            </w:tcBorders>
            <w:vAlign w:val="bottom"/>
            <w:hideMark/>
          </w:tcPr>
          <w:p w14:paraId="18B7CAB7" w14:textId="77777777" w:rsidR="00B57401" w:rsidRPr="00B57401" w:rsidRDefault="00B57401" w:rsidP="00B57401">
            <w:pPr>
              <w:spacing w:after="0" w:line="240" w:lineRule="auto"/>
              <w:rPr>
                <w:rFonts w:ascii="Calibri" w:eastAsia="Times New Roman" w:hAnsi="Calibri" w:cs="Calibri"/>
                <w:lang w:eastAsia="en-GB"/>
              </w:rPr>
            </w:pPr>
            <w:r w:rsidRPr="00B57401">
              <w:rPr>
                <w:rFonts w:ascii="Calibri" w:eastAsia="Times New Roman" w:hAnsi="Calibri" w:cs="Calibri"/>
                <w:lang w:eastAsia="en-GB"/>
              </w:rPr>
              <w:t>Mid and East Antrim</w:t>
            </w:r>
          </w:p>
        </w:tc>
        <w:tc>
          <w:tcPr>
            <w:tcW w:w="2460" w:type="dxa"/>
            <w:tcBorders>
              <w:top w:val="nil"/>
              <w:left w:val="nil"/>
              <w:bottom w:val="single" w:sz="4" w:space="0" w:color="auto"/>
              <w:right w:val="single" w:sz="4" w:space="0" w:color="auto"/>
            </w:tcBorders>
            <w:noWrap/>
            <w:vAlign w:val="bottom"/>
          </w:tcPr>
          <w:p w14:paraId="5DE880FB" w14:textId="54E279CC" w:rsidR="00B57401" w:rsidRPr="00B57401" w:rsidRDefault="00B57401" w:rsidP="00B57401">
            <w:pPr>
              <w:spacing w:after="0" w:line="240" w:lineRule="auto"/>
              <w:jc w:val="center"/>
              <w:rPr>
                <w:rFonts w:ascii="Calibri" w:eastAsia="Times New Roman" w:hAnsi="Calibri" w:cs="Calibri"/>
                <w:lang w:eastAsia="en-GB"/>
              </w:rPr>
            </w:pPr>
            <w:r w:rsidRPr="00B57401">
              <w:rPr>
                <w:rFonts w:ascii="Calibri" w:hAnsi="Calibri" w:cs="Calibri"/>
                <w:color w:val="000000"/>
              </w:rPr>
              <w:t>6</w:t>
            </w:r>
            <w:r w:rsidR="007C536C">
              <w:rPr>
                <w:rFonts w:ascii="Calibri" w:hAnsi="Calibri" w:cs="Calibri"/>
                <w:color w:val="000000"/>
              </w:rPr>
              <w:t>70.8</w:t>
            </w:r>
          </w:p>
        </w:tc>
        <w:tc>
          <w:tcPr>
            <w:tcW w:w="2460" w:type="dxa"/>
            <w:tcBorders>
              <w:top w:val="nil"/>
              <w:left w:val="nil"/>
              <w:bottom w:val="single" w:sz="4" w:space="0" w:color="auto"/>
              <w:right w:val="single" w:sz="4" w:space="0" w:color="auto"/>
            </w:tcBorders>
            <w:noWrap/>
            <w:vAlign w:val="bottom"/>
          </w:tcPr>
          <w:p w14:paraId="3BA9075C" w14:textId="64032475" w:rsidR="00B57401" w:rsidRPr="00B57401" w:rsidRDefault="00B57401" w:rsidP="00B57401">
            <w:pPr>
              <w:spacing w:after="0" w:line="240" w:lineRule="auto"/>
              <w:jc w:val="center"/>
              <w:rPr>
                <w:rFonts w:ascii="Calibri" w:eastAsia="Times New Roman" w:hAnsi="Calibri" w:cs="Calibri"/>
                <w:lang w:eastAsia="en-GB"/>
              </w:rPr>
            </w:pPr>
            <w:r w:rsidRPr="00B57401">
              <w:rPr>
                <w:rFonts w:ascii="Calibri" w:hAnsi="Calibri" w:cs="Calibri"/>
                <w:color w:val="000000"/>
              </w:rPr>
              <w:t>6</w:t>
            </w:r>
            <w:r w:rsidR="001E2A52">
              <w:rPr>
                <w:rFonts w:ascii="Calibri" w:hAnsi="Calibri" w:cs="Calibri"/>
                <w:color w:val="000000"/>
              </w:rPr>
              <w:t>48.3</w:t>
            </w:r>
          </w:p>
        </w:tc>
      </w:tr>
      <w:tr w:rsidR="00B57401" w:rsidRPr="00B57401" w14:paraId="415A072A" w14:textId="77777777" w:rsidTr="004D4BF7">
        <w:trPr>
          <w:trHeight w:val="300"/>
        </w:trPr>
        <w:tc>
          <w:tcPr>
            <w:tcW w:w="3820" w:type="dxa"/>
            <w:tcBorders>
              <w:top w:val="nil"/>
              <w:left w:val="single" w:sz="4" w:space="0" w:color="auto"/>
              <w:bottom w:val="single" w:sz="4" w:space="0" w:color="auto"/>
              <w:right w:val="single" w:sz="4" w:space="0" w:color="auto"/>
            </w:tcBorders>
            <w:vAlign w:val="bottom"/>
            <w:hideMark/>
          </w:tcPr>
          <w:p w14:paraId="3F4E1AC0" w14:textId="77777777" w:rsidR="00B57401" w:rsidRPr="00B57401" w:rsidRDefault="00B57401" w:rsidP="00B57401">
            <w:pPr>
              <w:spacing w:after="0" w:line="240" w:lineRule="auto"/>
              <w:rPr>
                <w:rFonts w:ascii="Calibri" w:eastAsia="Times New Roman" w:hAnsi="Calibri" w:cs="Calibri"/>
                <w:lang w:eastAsia="en-GB"/>
              </w:rPr>
            </w:pPr>
            <w:r w:rsidRPr="00B57401">
              <w:rPr>
                <w:rFonts w:ascii="Calibri" w:eastAsia="Times New Roman" w:hAnsi="Calibri" w:cs="Calibri"/>
                <w:lang w:eastAsia="en-GB"/>
              </w:rPr>
              <w:t>Mid Ulster</w:t>
            </w:r>
          </w:p>
        </w:tc>
        <w:tc>
          <w:tcPr>
            <w:tcW w:w="2460" w:type="dxa"/>
            <w:tcBorders>
              <w:top w:val="nil"/>
              <w:left w:val="nil"/>
              <w:bottom w:val="single" w:sz="4" w:space="0" w:color="auto"/>
              <w:right w:val="single" w:sz="4" w:space="0" w:color="auto"/>
            </w:tcBorders>
            <w:noWrap/>
            <w:vAlign w:val="bottom"/>
          </w:tcPr>
          <w:p w14:paraId="32650AEC" w14:textId="2621B976" w:rsidR="00B57401" w:rsidRPr="00B57401" w:rsidRDefault="00B57401" w:rsidP="00B57401">
            <w:pPr>
              <w:spacing w:after="0" w:line="240" w:lineRule="auto"/>
              <w:jc w:val="center"/>
              <w:rPr>
                <w:rFonts w:ascii="Calibri" w:eastAsia="Times New Roman" w:hAnsi="Calibri" w:cs="Calibri"/>
                <w:lang w:eastAsia="en-GB"/>
              </w:rPr>
            </w:pPr>
            <w:r w:rsidRPr="00B57401">
              <w:rPr>
                <w:rFonts w:ascii="Calibri" w:hAnsi="Calibri" w:cs="Calibri"/>
                <w:color w:val="000000"/>
              </w:rPr>
              <w:t>6</w:t>
            </w:r>
            <w:r w:rsidR="007C536C">
              <w:rPr>
                <w:rFonts w:ascii="Calibri" w:hAnsi="Calibri" w:cs="Calibri"/>
                <w:color w:val="000000"/>
              </w:rPr>
              <w:t>78.6</w:t>
            </w:r>
          </w:p>
        </w:tc>
        <w:tc>
          <w:tcPr>
            <w:tcW w:w="2460" w:type="dxa"/>
            <w:tcBorders>
              <w:top w:val="nil"/>
              <w:left w:val="nil"/>
              <w:bottom w:val="single" w:sz="4" w:space="0" w:color="auto"/>
              <w:right w:val="single" w:sz="4" w:space="0" w:color="auto"/>
            </w:tcBorders>
            <w:noWrap/>
            <w:vAlign w:val="bottom"/>
          </w:tcPr>
          <w:p w14:paraId="6960CB09" w14:textId="01A453DE" w:rsidR="00B57401" w:rsidRPr="00B57401" w:rsidRDefault="00B57401" w:rsidP="00B57401">
            <w:pPr>
              <w:spacing w:after="0" w:line="240" w:lineRule="auto"/>
              <w:jc w:val="center"/>
              <w:rPr>
                <w:rFonts w:ascii="Calibri" w:eastAsia="Times New Roman" w:hAnsi="Calibri" w:cs="Calibri"/>
                <w:lang w:eastAsia="en-GB"/>
              </w:rPr>
            </w:pPr>
            <w:r w:rsidRPr="00B57401">
              <w:rPr>
                <w:rFonts w:ascii="Calibri" w:hAnsi="Calibri" w:cs="Calibri"/>
                <w:color w:val="000000"/>
              </w:rPr>
              <w:t>6</w:t>
            </w:r>
            <w:r w:rsidR="001E2A52">
              <w:rPr>
                <w:rFonts w:ascii="Calibri" w:hAnsi="Calibri" w:cs="Calibri"/>
                <w:color w:val="000000"/>
              </w:rPr>
              <w:t>72.8</w:t>
            </w:r>
          </w:p>
        </w:tc>
      </w:tr>
      <w:tr w:rsidR="00B57401" w:rsidRPr="00B57401" w14:paraId="6338A23E" w14:textId="77777777" w:rsidTr="004D4BF7">
        <w:trPr>
          <w:trHeight w:val="300"/>
        </w:trPr>
        <w:tc>
          <w:tcPr>
            <w:tcW w:w="3820" w:type="dxa"/>
            <w:tcBorders>
              <w:top w:val="nil"/>
              <w:left w:val="single" w:sz="4" w:space="0" w:color="auto"/>
              <w:bottom w:val="single" w:sz="4" w:space="0" w:color="auto"/>
              <w:right w:val="single" w:sz="4" w:space="0" w:color="auto"/>
            </w:tcBorders>
            <w:vAlign w:val="bottom"/>
            <w:hideMark/>
          </w:tcPr>
          <w:p w14:paraId="35D1A981" w14:textId="77777777" w:rsidR="00B57401" w:rsidRPr="00B57401" w:rsidRDefault="00B57401" w:rsidP="00B57401">
            <w:pPr>
              <w:spacing w:after="0" w:line="240" w:lineRule="auto"/>
              <w:rPr>
                <w:rFonts w:ascii="Calibri" w:eastAsia="Times New Roman" w:hAnsi="Calibri" w:cs="Calibri"/>
                <w:lang w:eastAsia="en-GB"/>
              </w:rPr>
            </w:pPr>
            <w:r w:rsidRPr="00B57401">
              <w:rPr>
                <w:rFonts w:ascii="Calibri" w:eastAsia="Times New Roman" w:hAnsi="Calibri" w:cs="Calibri"/>
                <w:lang w:eastAsia="en-GB"/>
              </w:rPr>
              <w:t>Newry, Mourne and Down</w:t>
            </w:r>
          </w:p>
        </w:tc>
        <w:tc>
          <w:tcPr>
            <w:tcW w:w="2460" w:type="dxa"/>
            <w:tcBorders>
              <w:top w:val="nil"/>
              <w:left w:val="nil"/>
              <w:bottom w:val="single" w:sz="4" w:space="0" w:color="auto"/>
              <w:right w:val="single" w:sz="4" w:space="0" w:color="auto"/>
            </w:tcBorders>
            <w:noWrap/>
            <w:vAlign w:val="bottom"/>
          </w:tcPr>
          <w:p w14:paraId="47608C22" w14:textId="017EB6AF" w:rsidR="00B57401" w:rsidRPr="00B57401" w:rsidRDefault="007C536C" w:rsidP="00B57401">
            <w:pPr>
              <w:spacing w:after="0" w:line="240" w:lineRule="auto"/>
              <w:jc w:val="center"/>
              <w:rPr>
                <w:rFonts w:ascii="Calibri" w:eastAsia="Times New Roman" w:hAnsi="Calibri" w:cs="Calibri"/>
                <w:lang w:eastAsia="en-GB"/>
              </w:rPr>
            </w:pPr>
            <w:r>
              <w:rPr>
                <w:rFonts w:ascii="Calibri" w:eastAsia="Times New Roman" w:hAnsi="Calibri" w:cs="Calibri"/>
                <w:lang w:eastAsia="en-GB"/>
              </w:rPr>
              <w:t>705.8</w:t>
            </w:r>
          </w:p>
        </w:tc>
        <w:tc>
          <w:tcPr>
            <w:tcW w:w="2460" w:type="dxa"/>
            <w:tcBorders>
              <w:top w:val="nil"/>
              <w:left w:val="nil"/>
              <w:bottom w:val="single" w:sz="4" w:space="0" w:color="auto"/>
              <w:right w:val="single" w:sz="4" w:space="0" w:color="auto"/>
            </w:tcBorders>
            <w:noWrap/>
            <w:vAlign w:val="bottom"/>
          </w:tcPr>
          <w:p w14:paraId="5DECDF1F" w14:textId="19A233A1" w:rsidR="00B57401" w:rsidRPr="00B57401" w:rsidRDefault="00B57401" w:rsidP="00B57401">
            <w:pPr>
              <w:spacing w:after="0" w:line="240" w:lineRule="auto"/>
              <w:jc w:val="center"/>
              <w:rPr>
                <w:rFonts w:ascii="Calibri" w:eastAsia="Times New Roman" w:hAnsi="Calibri" w:cs="Calibri"/>
                <w:lang w:eastAsia="en-GB"/>
              </w:rPr>
            </w:pPr>
            <w:r w:rsidRPr="00B57401">
              <w:rPr>
                <w:rFonts w:ascii="Calibri" w:hAnsi="Calibri" w:cs="Calibri"/>
                <w:color w:val="000000"/>
              </w:rPr>
              <w:t>6</w:t>
            </w:r>
            <w:r w:rsidR="001E2A52">
              <w:rPr>
                <w:rFonts w:ascii="Calibri" w:hAnsi="Calibri" w:cs="Calibri"/>
                <w:color w:val="000000"/>
              </w:rPr>
              <w:t>64.6</w:t>
            </w:r>
          </w:p>
        </w:tc>
      </w:tr>
      <w:tr w:rsidR="003C5D3D" w:rsidRPr="005E2D49" w14:paraId="663C7D18" w14:textId="77777777" w:rsidTr="00EC7593">
        <w:trPr>
          <w:trHeight w:val="300"/>
        </w:trPr>
        <w:tc>
          <w:tcPr>
            <w:tcW w:w="3820" w:type="dxa"/>
            <w:tcBorders>
              <w:top w:val="nil"/>
              <w:left w:val="single" w:sz="4" w:space="0" w:color="auto"/>
              <w:bottom w:val="single" w:sz="4" w:space="0" w:color="auto"/>
              <w:right w:val="single" w:sz="4" w:space="0" w:color="auto"/>
            </w:tcBorders>
            <w:vAlign w:val="bottom"/>
            <w:hideMark/>
          </w:tcPr>
          <w:p w14:paraId="0EB519A4" w14:textId="77777777" w:rsidR="003C5D3D" w:rsidRPr="00B57401" w:rsidRDefault="003C5D3D" w:rsidP="00EC7593">
            <w:pPr>
              <w:spacing w:after="0" w:line="240" w:lineRule="auto"/>
              <w:rPr>
                <w:rFonts w:ascii="Calibri" w:eastAsia="Times New Roman" w:hAnsi="Calibri" w:cs="Calibri"/>
                <w:b/>
                <w:bCs/>
                <w:lang w:eastAsia="en-GB"/>
              </w:rPr>
            </w:pPr>
            <w:r w:rsidRPr="00B57401">
              <w:rPr>
                <w:rFonts w:ascii="Calibri" w:eastAsia="Times New Roman" w:hAnsi="Calibri" w:cs="Calibri"/>
                <w:b/>
                <w:bCs/>
                <w:lang w:eastAsia="en-GB"/>
              </w:rPr>
              <w:t xml:space="preserve">Northern Ireland </w:t>
            </w:r>
          </w:p>
        </w:tc>
        <w:tc>
          <w:tcPr>
            <w:tcW w:w="4920" w:type="dxa"/>
            <w:gridSpan w:val="2"/>
            <w:tcBorders>
              <w:top w:val="single" w:sz="4" w:space="0" w:color="auto"/>
              <w:left w:val="nil"/>
              <w:bottom w:val="single" w:sz="4" w:space="0" w:color="auto"/>
              <w:right w:val="single" w:sz="4" w:space="0" w:color="000000"/>
            </w:tcBorders>
            <w:noWrap/>
            <w:vAlign w:val="bottom"/>
            <w:hideMark/>
          </w:tcPr>
          <w:p w14:paraId="54A55862" w14:textId="77B092F2" w:rsidR="003C5D3D" w:rsidRPr="00B57401" w:rsidRDefault="007C536C" w:rsidP="00EC7593">
            <w:pPr>
              <w:spacing w:after="0" w:line="240" w:lineRule="auto"/>
              <w:jc w:val="center"/>
              <w:rPr>
                <w:rFonts w:ascii="Calibri" w:eastAsia="Times New Roman" w:hAnsi="Calibri" w:cs="Calibri"/>
                <w:lang w:eastAsia="en-GB"/>
              </w:rPr>
            </w:pPr>
            <w:r>
              <w:rPr>
                <w:rFonts w:ascii="Calibri" w:eastAsia="Times New Roman" w:hAnsi="Calibri" w:cs="Calibri"/>
                <w:lang w:eastAsia="en-GB"/>
              </w:rPr>
              <w:t>713.1</w:t>
            </w:r>
          </w:p>
        </w:tc>
      </w:tr>
    </w:tbl>
    <w:p w14:paraId="3997E539" w14:textId="46C41E61" w:rsidR="003C5D3D" w:rsidRPr="00B57401" w:rsidRDefault="003C5D3D" w:rsidP="003C5D3D">
      <w:pPr>
        <w:rPr>
          <w:i/>
          <w:sz w:val="20"/>
          <w:szCs w:val="20"/>
        </w:rPr>
      </w:pPr>
      <w:r w:rsidRPr="00B57401">
        <w:rPr>
          <w:i/>
          <w:sz w:val="20"/>
          <w:szCs w:val="20"/>
        </w:rPr>
        <w:t>Table 3: Median gross weekly pay - full-time employees in Northern Ireland by Council in 202</w:t>
      </w:r>
      <w:r w:rsidR="007C536C">
        <w:rPr>
          <w:i/>
          <w:sz w:val="20"/>
          <w:szCs w:val="20"/>
        </w:rPr>
        <w:t>5</w:t>
      </w:r>
      <w:r w:rsidRPr="00B57401">
        <w:rPr>
          <w:i/>
          <w:sz w:val="20"/>
          <w:szCs w:val="20"/>
        </w:rPr>
        <w:t xml:space="preserve">. Source: Annual Survey of Hours and Earnings, NISRA. Note: </w:t>
      </w:r>
      <w:r w:rsidRPr="00B57401">
        <w:rPr>
          <w:rFonts w:ascii="Calibri" w:hAnsi="Calibri" w:cs="Calibri"/>
          <w:i/>
          <w:sz w:val="20"/>
          <w:szCs w:val="20"/>
          <w:shd w:val="clear" w:color="auto" w:fill="FFFFFF"/>
        </w:rPr>
        <w:t xml:space="preserve">The colour coding within the tables indicates the quality of each estimate based on the coefficient of variation (CV) of that estimate. The reliability of these estimates is illustrated in the Key.  </w:t>
      </w:r>
    </w:p>
    <w:p w14:paraId="13419DF1" w14:textId="77777777" w:rsidR="003C5D3D" w:rsidRPr="00B57401" w:rsidRDefault="003C5D3D" w:rsidP="003C5D3D">
      <w:pPr>
        <w:rPr>
          <w:b/>
          <w:i/>
        </w:rPr>
      </w:pPr>
      <w:r w:rsidRPr="00B57401">
        <w:rPr>
          <w:b/>
          <w:i/>
        </w:rPr>
        <w:t>Key:</w:t>
      </w:r>
    </w:p>
    <w:tbl>
      <w:tblPr>
        <w:tblW w:w="1980" w:type="dxa"/>
        <w:tblLook w:val="04A0" w:firstRow="1" w:lastRow="0" w:firstColumn="1" w:lastColumn="0" w:noHBand="0" w:noVBand="1"/>
      </w:tblPr>
      <w:tblGrid>
        <w:gridCol w:w="1980"/>
      </w:tblGrid>
      <w:tr w:rsidR="003C5D3D" w:rsidRPr="00B57401" w14:paraId="6DFDA78C" w14:textId="77777777" w:rsidTr="00EC7593">
        <w:trPr>
          <w:trHeight w:val="30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5754DF0C" w14:textId="77777777" w:rsidR="003C5D3D" w:rsidRPr="00B57401" w:rsidRDefault="003C5D3D" w:rsidP="00EC7593">
            <w:pPr>
              <w:spacing w:after="0" w:line="240" w:lineRule="auto"/>
              <w:rPr>
                <w:rFonts w:ascii="Calibri" w:eastAsia="Times New Roman" w:hAnsi="Calibri" w:cs="Calibri"/>
                <w:color w:val="000000"/>
                <w:lang w:eastAsia="en-GB"/>
              </w:rPr>
            </w:pPr>
            <w:r w:rsidRPr="00B57401">
              <w:rPr>
                <w:rFonts w:ascii="Calibri" w:eastAsia="Times New Roman" w:hAnsi="Calibri" w:cs="Calibri"/>
                <w:color w:val="000000"/>
                <w:lang w:eastAsia="en-GB"/>
              </w:rPr>
              <w:t>Precise</w:t>
            </w:r>
          </w:p>
        </w:tc>
      </w:tr>
      <w:tr w:rsidR="003C5D3D" w:rsidRPr="00B57401" w14:paraId="39E8F353" w14:textId="77777777" w:rsidTr="00A51DA9">
        <w:trPr>
          <w:trHeight w:val="300"/>
        </w:trPr>
        <w:tc>
          <w:tcPr>
            <w:tcW w:w="198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37119E0C" w14:textId="77777777" w:rsidR="003C5D3D" w:rsidRPr="00B57401" w:rsidRDefault="003C5D3D" w:rsidP="00EC7593">
            <w:pPr>
              <w:spacing w:after="0" w:line="240" w:lineRule="auto"/>
              <w:rPr>
                <w:rFonts w:ascii="Calibri" w:eastAsia="Times New Roman" w:hAnsi="Calibri" w:cs="Calibri"/>
                <w:color w:val="000000"/>
                <w:lang w:eastAsia="en-GB"/>
              </w:rPr>
            </w:pPr>
            <w:r w:rsidRPr="00B57401">
              <w:rPr>
                <w:rFonts w:ascii="Calibri" w:eastAsia="Times New Roman" w:hAnsi="Calibri" w:cs="Calibri"/>
                <w:color w:val="000000"/>
                <w:lang w:eastAsia="en-GB"/>
              </w:rPr>
              <w:t>Reasonably Precise</w:t>
            </w:r>
          </w:p>
        </w:tc>
      </w:tr>
      <w:tr w:rsidR="003C5D3D" w:rsidRPr="005E2D49" w14:paraId="718C7437" w14:textId="77777777" w:rsidTr="00A51DA9">
        <w:trPr>
          <w:trHeight w:val="300"/>
        </w:trPr>
        <w:tc>
          <w:tcPr>
            <w:tcW w:w="1980" w:type="dxa"/>
            <w:tcBorders>
              <w:top w:val="nil"/>
              <w:left w:val="single" w:sz="4" w:space="0" w:color="auto"/>
              <w:bottom w:val="single" w:sz="4" w:space="0" w:color="auto"/>
              <w:right w:val="single" w:sz="4" w:space="0" w:color="auto"/>
            </w:tcBorders>
            <w:shd w:val="clear" w:color="auto" w:fill="9CC2E5" w:themeFill="accent1" w:themeFillTint="99"/>
            <w:noWrap/>
            <w:vAlign w:val="bottom"/>
            <w:hideMark/>
          </w:tcPr>
          <w:p w14:paraId="38CB7D23" w14:textId="77777777" w:rsidR="003C5D3D" w:rsidRPr="00B57401" w:rsidRDefault="003C5D3D" w:rsidP="00EC7593">
            <w:pPr>
              <w:spacing w:after="0" w:line="240" w:lineRule="auto"/>
              <w:rPr>
                <w:rFonts w:ascii="Calibri" w:eastAsia="Times New Roman" w:hAnsi="Calibri" w:cs="Calibri"/>
                <w:color w:val="000000"/>
                <w:lang w:eastAsia="en-GB"/>
              </w:rPr>
            </w:pPr>
            <w:r w:rsidRPr="00B57401">
              <w:rPr>
                <w:rFonts w:ascii="Calibri" w:eastAsia="Times New Roman" w:hAnsi="Calibri" w:cs="Calibri"/>
                <w:color w:val="000000"/>
                <w:lang w:eastAsia="en-GB"/>
              </w:rPr>
              <w:t>Acceptable</w:t>
            </w:r>
          </w:p>
        </w:tc>
      </w:tr>
      <w:tr w:rsidR="0093018D" w:rsidRPr="00D76D6D" w14:paraId="3335EAA9" w14:textId="77777777" w:rsidTr="0093018D">
        <w:trPr>
          <w:trHeight w:val="300"/>
        </w:trPr>
        <w:tc>
          <w:tcPr>
            <w:tcW w:w="1980" w:type="dxa"/>
            <w:tcBorders>
              <w:top w:val="nil"/>
              <w:left w:val="single" w:sz="4" w:space="0" w:color="auto"/>
              <w:bottom w:val="single" w:sz="4" w:space="0" w:color="auto"/>
              <w:right w:val="single" w:sz="4" w:space="0" w:color="auto"/>
            </w:tcBorders>
            <w:noWrap/>
            <w:vAlign w:val="bottom"/>
            <w:hideMark/>
          </w:tcPr>
          <w:p w14:paraId="70381977" w14:textId="77777777" w:rsidR="0093018D" w:rsidRPr="00814B33" w:rsidRDefault="0093018D" w:rsidP="00F12BAF">
            <w:pPr>
              <w:spacing w:after="0" w:line="240" w:lineRule="auto"/>
              <w:rPr>
                <w:rFonts w:ascii="Calibri" w:eastAsia="Times New Roman" w:hAnsi="Calibri" w:cs="Calibri"/>
                <w:color w:val="000000"/>
                <w:lang w:eastAsia="en-GB"/>
              </w:rPr>
            </w:pPr>
            <w:r w:rsidRPr="00814B33">
              <w:rPr>
                <w:rFonts w:ascii="Calibri" w:eastAsia="Times New Roman" w:hAnsi="Calibri" w:cs="Calibri"/>
                <w:color w:val="000000"/>
                <w:lang w:eastAsia="en-GB"/>
              </w:rPr>
              <w:t>(u) Unreliable</w:t>
            </w:r>
          </w:p>
        </w:tc>
      </w:tr>
    </w:tbl>
    <w:p w14:paraId="275D20EB" w14:textId="77777777" w:rsidR="003D37C2" w:rsidRPr="00FC0DDF" w:rsidRDefault="003D37C2" w:rsidP="005D3CE9">
      <w:pPr>
        <w:rPr>
          <w:b/>
          <w:bCs/>
        </w:rPr>
      </w:pPr>
    </w:p>
    <w:p w14:paraId="4F72AAB0" w14:textId="4E7987D7" w:rsidR="008245F5" w:rsidRPr="00FC0DDF" w:rsidRDefault="001128E3" w:rsidP="005D3CE9">
      <w:pPr>
        <w:rPr>
          <w:b/>
          <w:bCs/>
        </w:rPr>
      </w:pPr>
      <w:r w:rsidRPr="00FC0DDF">
        <w:rPr>
          <w:b/>
          <w:bCs/>
        </w:rPr>
        <w:t>Gender Pay Gap</w:t>
      </w:r>
    </w:p>
    <w:p w14:paraId="6025989D" w14:textId="53030295" w:rsidR="001128E3" w:rsidRPr="00FC0DDF" w:rsidRDefault="001128E3" w:rsidP="005D3CE9">
      <w:r w:rsidRPr="00FC0DDF">
        <w:t xml:space="preserve">Gender pay gap is calculated as the difference between the median hourly earnings (excluding overtime) of males and females, as a proportion of the median hourly earnings (excluding overtime) of males. </w:t>
      </w:r>
    </w:p>
    <w:p w14:paraId="14C877E5" w14:textId="5A9A6583" w:rsidR="001128E3" w:rsidRPr="00FC0DDF" w:rsidRDefault="001128E3" w:rsidP="001128E3">
      <w:pPr>
        <w:pStyle w:val="NoSpacing"/>
        <w:jc w:val="center"/>
        <w:rPr>
          <w:u w:val="single"/>
        </w:rPr>
      </w:pPr>
      <w:r w:rsidRPr="00FC0DDF">
        <w:rPr>
          <w:u w:val="single"/>
        </w:rPr>
        <w:t>male earnings – female earnings</w:t>
      </w:r>
    </w:p>
    <w:p w14:paraId="1C59A68E" w14:textId="2FB06BF2" w:rsidR="001128E3" w:rsidRPr="00FC0DDF" w:rsidRDefault="001128E3" w:rsidP="001128E3">
      <w:pPr>
        <w:pStyle w:val="NoSpacing"/>
        <w:jc w:val="center"/>
      </w:pPr>
      <w:r w:rsidRPr="00FC0DDF">
        <w:t>male earnings</w:t>
      </w:r>
    </w:p>
    <w:p w14:paraId="2D837CF2" w14:textId="77777777" w:rsidR="001128E3" w:rsidRPr="005E2D49" w:rsidRDefault="001128E3" w:rsidP="005D3CE9">
      <w:pPr>
        <w:rPr>
          <w:highlight w:val="yellow"/>
        </w:rPr>
      </w:pPr>
    </w:p>
    <w:p w14:paraId="679D4F14" w14:textId="56630C8C" w:rsidR="00CE7A79" w:rsidRPr="00E62986" w:rsidRDefault="00CE7A79" w:rsidP="00CE7A79">
      <w:pPr>
        <w:pStyle w:val="NoSpacing"/>
        <w:jc w:val="center"/>
        <w:rPr>
          <w:u w:val="single"/>
        </w:rPr>
      </w:pPr>
      <w:r w:rsidRPr="00E62986">
        <w:rPr>
          <w:u w:val="single"/>
        </w:rPr>
        <w:t>15.</w:t>
      </w:r>
      <w:r w:rsidR="005F5CB6">
        <w:rPr>
          <w:u w:val="single"/>
        </w:rPr>
        <w:t>72</w:t>
      </w:r>
      <w:r w:rsidRPr="00E62986">
        <w:rPr>
          <w:u w:val="single"/>
        </w:rPr>
        <w:t>-1</w:t>
      </w:r>
      <w:r w:rsidR="00E62986" w:rsidRPr="00E62986">
        <w:rPr>
          <w:u w:val="single"/>
        </w:rPr>
        <w:t>4.</w:t>
      </w:r>
      <w:r w:rsidR="005F5CB6">
        <w:rPr>
          <w:u w:val="single"/>
        </w:rPr>
        <w:t>88</w:t>
      </w:r>
    </w:p>
    <w:p w14:paraId="1185FE1B" w14:textId="36BFF1B7" w:rsidR="00CE7A79" w:rsidRPr="00E62986" w:rsidRDefault="00CE7A79" w:rsidP="00CE7A79">
      <w:pPr>
        <w:pStyle w:val="NoSpacing"/>
        <w:jc w:val="center"/>
      </w:pPr>
      <w:r w:rsidRPr="00E62986">
        <w:t xml:space="preserve">                                              15.</w:t>
      </w:r>
      <w:r w:rsidR="005F5CB6">
        <w:t>72</w:t>
      </w:r>
      <w:r w:rsidRPr="00E62986">
        <w:t xml:space="preserve">                                   = </w:t>
      </w:r>
      <w:r w:rsidR="00E62986" w:rsidRPr="00E62986">
        <w:t>5</w:t>
      </w:r>
      <w:r w:rsidRPr="00E62986">
        <w:t xml:space="preserve">.3%  </w:t>
      </w:r>
    </w:p>
    <w:p w14:paraId="531F14A6" w14:textId="77777777" w:rsidR="006C1913" w:rsidRDefault="006C1913" w:rsidP="005D3CE9"/>
    <w:p w14:paraId="5247A4F3" w14:textId="1BD270E8" w:rsidR="00CE7A79" w:rsidRDefault="00CE7A79" w:rsidP="005D3CE9">
      <w:r w:rsidRPr="00E62986">
        <w:t xml:space="preserve">When considering all employees, regardless of working pattern, females working in Armagh City, Banbridge and Craigavon borough earned </w:t>
      </w:r>
      <w:r w:rsidR="00E62986" w:rsidRPr="00E62986">
        <w:t>5</w:t>
      </w:r>
      <w:r w:rsidRPr="00E62986">
        <w:t>.3% less than males.  In Northern Ireland overall, males earn 7.</w:t>
      </w:r>
      <w:r w:rsidR="005F5CB6">
        <w:t>2</w:t>
      </w:r>
      <w:r w:rsidRPr="00E62986">
        <w:t>% more than females</w:t>
      </w:r>
      <w:r w:rsidRPr="00ED27AB">
        <w:rPr>
          <w:rStyle w:val="FootnoteReference"/>
        </w:rPr>
        <w:footnoteReference w:id="3"/>
      </w:r>
      <w:r w:rsidR="00147FEB">
        <w:t xml:space="preserve"> </w:t>
      </w:r>
      <w:r w:rsidR="00EB680A" w:rsidRPr="00083335">
        <w:t>The</w:t>
      </w:r>
      <w:r w:rsidR="00ED27AB" w:rsidRPr="00083335">
        <w:t xml:space="preserve"> lower</w:t>
      </w:r>
      <w:r w:rsidR="00EB680A" w:rsidRPr="00083335">
        <w:t xml:space="preserve"> gender pay gap in Northern Ireland is due to the higher proportion of part-time female employees than part-time male employees </w:t>
      </w:r>
      <w:r w:rsidR="00A242AA" w:rsidRPr="00083335">
        <w:t>(as per the LFS (202</w:t>
      </w:r>
      <w:r w:rsidR="00083335" w:rsidRPr="00083335">
        <w:t>4</w:t>
      </w:r>
      <w:r w:rsidR="00A242AA" w:rsidRPr="00083335">
        <w:t>), 3</w:t>
      </w:r>
      <w:r w:rsidR="00083335" w:rsidRPr="00083335">
        <w:t>7.8</w:t>
      </w:r>
      <w:r w:rsidR="00A242AA" w:rsidRPr="00083335">
        <w:t>% of working age females</w:t>
      </w:r>
      <w:r w:rsidR="00106920" w:rsidRPr="00083335">
        <w:t xml:space="preserve"> in the borough</w:t>
      </w:r>
      <w:r w:rsidR="00A242AA" w:rsidRPr="00083335">
        <w:t xml:space="preserve"> worked part-time compared to </w:t>
      </w:r>
      <w:r w:rsidR="00083335" w:rsidRPr="00083335">
        <w:t>8.8</w:t>
      </w:r>
      <w:r w:rsidR="00A242AA" w:rsidRPr="00083335">
        <w:t>% of males</w:t>
      </w:r>
      <w:r w:rsidR="00ED27AB" w:rsidRPr="00083335">
        <w:rPr>
          <w:rStyle w:val="FootnoteReference"/>
        </w:rPr>
        <w:footnoteReference w:id="4"/>
      </w:r>
      <w:r w:rsidR="00A242AA" w:rsidRPr="00083335">
        <w:t xml:space="preserve">) </w:t>
      </w:r>
      <w:r w:rsidR="00EB680A" w:rsidRPr="00083335">
        <w:t>and the higher proportion of part-time jobs that are low-paid</w:t>
      </w:r>
      <w:r w:rsidR="00EB680A" w:rsidRPr="00083335">
        <w:rPr>
          <w:rStyle w:val="FootnoteReference"/>
        </w:rPr>
        <w:footnoteReference w:id="5"/>
      </w:r>
      <w:r w:rsidR="00EB680A" w:rsidRPr="00083335">
        <w:t xml:space="preserve">. </w:t>
      </w:r>
    </w:p>
    <w:p w14:paraId="4DBC7AF9" w14:textId="77777777" w:rsidR="00BF2EA3" w:rsidRPr="00151154" w:rsidRDefault="00BF2EA3" w:rsidP="005D3CE9">
      <w:pPr>
        <w:rPr>
          <w:highlight w:val="yellow"/>
        </w:rPr>
      </w:pPr>
    </w:p>
    <w:p w14:paraId="4D761F98" w14:textId="7BB55D5A" w:rsidR="008245F5" w:rsidRPr="00BB2C35" w:rsidRDefault="00C17718" w:rsidP="005D3CE9">
      <w:pPr>
        <w:rPr>
          <w:b/>
          <w:bCs/>
        </w:rPr>
      </w:pPr>
      <w:r w:rsidRPr="00BB2C35">
        <w:rPr>
          <w:b/>
          <w:bCs/>
        </w:rPr>
        <w:lastRenderedPageBreak/>
        <w:t xml:space="preserve">Gender </w:t>
      </w:r>
      <w:r w:rsidR="00D322A2" w:rsidRPr="00BB2C35">
        <w:rPr>
          <w:b/>
          <w:bCs/>
        </w:rPr>
        <w:t>P</w:t>
      </w:r>
      <w:r w:rsidRPr="00BB2C35">
        <w:rPr>
          <w:b/>
          <w:bCs/>
        </w:rPr>
        <w:t xml:space="preserve">ay </w:t>
      </w:r>
      <w:r w:rsidR="00D322A2" w:rsidRPr="00BB2C35">
        <w:rPr>
          <w:b/>
          <w:bCs/>
        </w:rPr>
        <w:t>G</w:t>
      </w:r>
      <w:r w:rsidRPr="00BB2C35">
        <w:rPr>
          <w:b/>
          <w:bCs/>
        </w:rPr>
        <w:t>ap by working pattern</w:t>
      </w:r>
      <w:r w:rsidR="00D322A2" w:rsidRPr="00BB2C35">
        <w:rPr>
          <w:rStyle w:val="FootnoteReference"/>
          <w:b/>
          <w:bCs/>
        </w:rPr>
        <w:footnoteReference w:id="6"/>
      </w:r>
      <w:r w:rsidRPr="00BB2C35">
        <w:rPr>
          <w:b/>
          <w:bCs/>
        </w:rPr>
        <w:t xml:space="preserve"> </w:t>
      </w:r>
    </w:p>
    <w:p w14:paraId="307A97D4" w14:textId="344492C7" w:rsidR="00924454" w:rsidRPr="000B3433" w:rsidRDefault="00D322A2" w:rsidP="005D3CE9">
      <w:r w:rsidRPr="00BC354B">
        <w:t xml:space="preserve">When hourly earnings for males and females are disaggregated by working pattern, full-time earnings for males working in Armagh City, Banbridge and Craigavon borough are higher than full-time earnings for </w:t>
      </w:r>
      <w:r w:rsidR="000B3433" w:rsidRPr="00BC354B">
        <w:t>fe</w:t>
      </w:r>
      <w:r w:rsidRPr="00BC354B">
        <w:t>males</w:t>
      </w:r>
      <w:r w:rsidR="009A72BE" w:rsidRPr="00BC354B">
        <w:t xml:space="preserve"> (+£</w:t>
      </w:r>
      <w:r w:rsidR="000B3433" w:rsidRPr="00BC354B">
        <w:t>0.</w:t>
      </w:r>
      <w:r w:rsidR="00BC354B" w:rsidRPr="00BC354B">
        <w:t>45</w:t>
      </w:r>
      <w:r w:rsidR="009A72BE" w:rsidRPr="00BC354B">
        <w:t>)</w:t>
      </w:r>
      <w:r w:rsidRPr="00BC354B">
        <w:t xml:space="preserve"> while part-time earnings for </w:t>
      </w:r>
      <w:r w:rsidR="000B3433" w:rsidRPr="00BC354B">
        <w:t>fe</w:t>
      </w:r>
      <w:r w:rsidRPr="00BC354B">
        <w:t>males are higher than part-time earnings for males</w:t>
      </w:r>
      <w:r w:rsidR="00476FDA" w:rsidRPr="00BC354B">
        <w:t xml:space="preserve"> (+£</w:t>
      </w:r>
      <w:r w:rsidR="00BC354B" w:rsidRPr="00BC354B">
        <w:t>1</w:t>
      </w:r>
      <w:r w:rsidR="00476FDA" w:rsidRPr="00BC354B">
        <w:t>.</w:t>
      </w:r>
      <w:r w:rsidR="00BC354B" w:rsidRPr="00BC354B">
        <w:t>5</w:t>
      </w:r>
      <w:r w:rsidR="00672D0C" w:rsidRPr="00BC354B">
        <w:t>0</w:t>
      </w:r>
      <w:r w:rsidR="00476FDA" w:rsidRPr="00BC354B">
        <w:t>)</w:t>
      </w:r>
      <w:r w:rsidRPr="00BC354B">
        <w:t>.</w:t>
      </w:r>
      <w:r w:rsidRPr="000B3433">
        <w:t xml:space="preserve">  </w:t>
      </w:r>
    </w:p>
    <w:p w14:paraId="7D3C8B81" w14:textId="67663132" w:rsidR="008245F5" w:rsidRPr="000B3433" w:rsidRDefault="00924454" w:rsidP="005D3CE9">
      <w:pPr>
        <w:rPr>
          <w:b/>
          <w:bCs/>
        </w:rPr>
      </w:pPr>
      <w:r w:rsidRPr="000B3433">
        <w:rPr>
          <w:b/>
          <w:bCs/>
        </w:rPr>
        <w:t xml:space="preserve">Working Pattern Pay Gap </w:t>
      </w:r>
    </w:p>
    <w:p w14:paraId="14AFFD9C" w14:textId="60FE9F6C" w:rsidR="00924454" w:rsidRPr="000B3433" w:rsidRDefault="00924454" w:rsidP="00924454">
      <w:pPr>
        <w:rPr>
          <w:rStyle w:val="Strong"/>
          <w:rFonts w:cstheme="minorHAnsi"/>
          <w:b w:val="0"/>
          <w:bCs w:val="0"/>
        </w:rPr>
      </w:pPr>
      <w:r w:rsidRPr="000B3433">
        <w:rPr>
          <w:rStyle w:val="Strong"/>
          <w:rFonts w:cstheme="minorHAnsi"/>
          <w:b w:val="0"/>
          <w:bCs w:val="0"/>
        </w:rPr>
        <w:t>Working pattern pay gap</w:t>
      </w:r>
      <w:r w:rsidRPr="000B3433">
        <w:rPr>
          <w:b/>
          <w:bCs/>
          <w:shd w:val="clear" w:color="auto" w:fill="EBF2FF"/>
        </w:rPr>
        <w:t> </w:t>
      </w:r>
      <w:r w:rsidRPr="000B3433">
        <w:rPr>
          <w:rStyle w:val="Strong"/>
          <w:rFonts w:cstheme="minorHAnsi"/>
          <w:b w:val="0"/>
          <w:bCs w:val="0"/>
        </w:rPr>
        <w:t>is calculated as the difference between the median hourly earnings (excluding overtime) of full-time and part-time employees, as a proportion of the median hourly earnings (excluding overtime) of full-time employees.</w:t>
      </w:r>
    </w:p>
    <w:p w14:paraId="42F0F766" w14:textId="2827A916" w:rsidR="00924454" w:rsidRPr="000B3433" w:rsidRDefault="00924454" w:rsidP="00924454">
      <w:pPr>
        <w:pStyle w:val="NoSpacing"/>
        <w:jc w:val="center"/>
        <w:rPr>
          <w:rStyle w:val="Strong"/>
          <w:rFonts w:cstheme="minorHAnsi"/>
          <w:b w:val="0"/>
          <w:bCs w:val="0"/>
          <w:u w:val="single"/>
        </w:rPr>
      </w:pPr>
      <w:r w:rsidRPr="000B3433">
        <w:rPr>
          <w:rStyle w:val="Strong"/>
          <w:rFonts w:cstheme="minorHAnsi"/>
          <w:b w:val="0"/>
          <w:bCs w:val="0"/>
          <w:u w:val="single"/>
        </w:rPr>
        <w:t>Full-time earnings – part-time earnings</w:t>
      </w:r>
    </w:p>
    <w:p w14:paraId="38716195" w14:textId="5726D9CB" w:rsidR="00924454" w:rsidRPr="000B3433" w:rsidRDefault="00924454" w:rsidP="00924454">
      <w:pPr>
        <w:pStyle w:val="NoSpacing"/>
        <w:jc w:val="center"/>
        <w:rPr>
          <w:rStyle w:val="Strong"/>
          <w:rFonts w:cstheme="minorHAnsi"/>
          <w:b w:val="0"/>
          <w:bCs w:val="0"/>
        </w:rPr>
      </w:pPr>
      <w:r w:rsidRPr="000B3433">
        <w:rPr>
          <w:rStyle w:val="Strong"/>
          <w:rFonts w:cstheme="minorHAnsi"/>
          <w:b w:val="0"/>
          <w:bCs w:val="0"/>
        </w:rPr>
        <w:t>Full-time earnings</w:t>
      </w:r>
    </w:p>
    <w:p w14:paraId="5E1B19D0" w14:textId="77777777" w:rsidR="00924454" w:rsidRPr="000B3433" w:rsidRDefault="00924454" w:rsidP="00924454">
      <w:pPr>
        <w:rPr>
          <w:rStyle w:val="Strong"/>
          <w:rFonts w:cstheme="minorHAnsi"/>
          <w:b w:val="0"/>
          <w:bCs w:val="0"/>
        </w:rPr>
      </w:pPr>
    </w:p>
    <w:p w14:paraId="150DD0D5" w14:textId="6A4F98D0" w:rsidR="00D83203" w:rsidRPr="000B3433" w:rsidRDefault="00D83203" w:rsidP="00D83203">
      <w:pPr>
        <w:rPr>
          <w:rFonts w:eastAsia="Times New Roman" w:cstheme="minorHAnsi"/>
          <w:iCs/>
          <w:lang w:eastAsia="en-GB"/>
        </w:rPr>
      </w:pPr>
      <w:r w:rsidRPr="000B3433">
        <w:rPr>
          <w:rFonts w:eastAsia="Times New Roman" w:cstheme="minorHAnsi"/>
          <w:iCs/>
          <w:lang w:eastAsia="en-GB"/>
        </w:rPr>
        <w:t xml:space="preserve">For those </w:t>
      </w:r>
      <w:r w:rsidRPr="000B3433">
        <w:rPr>
          <w:rFonts w:eastAsia="Times New Roman" w:cstheme="minorHAnsi"/>
          <w:b/>
          <w:bCs/>
          <w:iCs/>
          <w:lang w:eastAsia="en-GB"/>
        </w:rPr>
        <w:t>working</w:t>
      </w:r>
      <w:r w:rsidRPr="000B3433">
        <w:rPr>
          <w:rFonts w:eastAsia="Times New Roman" w:cstheme="minorHAnsi"/>
          <w:iCs/>
          <w:lang w:eastAsia="en-GB"/>
        </w:rPr>
        <w:t xml:space="preserve"> in Armagh City, Banbridge and Craigavon in 202</w:t>
      </w:r>
      <w:r w:rsidR="00151154">
        <w:rPr>
          <w:rFonts w:eastAsia="Times New Roman" w:cstheme="minorHAnsi"/>
          <w:iCs/>
          <w:lang w:eastAsia="en-GB"/>
        </w:rPr>
        <w:t>5</w:t>
      </w:r>
    </w:p>
    <w:p w14:paraId="4E1126E9" w14:textId="22131E62" w:rsidR="00D83203" w:rsidRPr="000B3433" w:rsidRDefault="008D6BF5" w:rsidP="008D6BF5">
      <w:pPr>
        <w:pStyle w:val="NoSpacing"/>
        <w:rPr>
          <w:i/>
          <w:iCs/>
          <w:u w:val="single"/>
          <w:lang w:eastAsia="en-GB"/>
        </w:rPr>
      </w:pPr>
      <w:r w:rsidRPr="008D6BF5">
        <w:rPr>
          <w:lang w:eastAsia="en-GB"/>
        </w:rPr>
        <w:t xml:space="preserve">                                                                        </w:t>
      </w:r>
      <w:r w:rsidR="00151154">
        <w:rPr>
          <w:i/>
          <w:iCs/>
          <w:u w:val="single"/>
          <w:lang w:eastAsia="en-GB"/>
        </w:rPr>
        <w:t>16.</w:t>
      </w:r>
      <w:r w:rsidR="00697D72">
        <w:rPr>
          <w:i/>
          <w:iCs/>
          <w:u w:val="single"/>
          <w:lang w:eastAsia="en-GB"/>
        </w:rPr>
        <w:t>35</w:t>
      </w:r>
      <w:r w:rsidR="00D83203" w:rsidRPr="000B3433">
        <w:rPr>
          <w:i/>
          <w:iCs/>
          <w:u w:val="single"/>
          <w:lang w:eastAsia="en-GB"/>
        </w:rPr>
        <w:t xml:space="preserve"> – 1</w:t>
      </w:r>
      <w:r w:rsidR="00151154">
        <w:rPr>
          <w:i/>
          <w:iCs/>
          <w:u w:val="single"/>
          <w:lang w:eastAsia="en-GB"/>
        </w:rPr>
        <w:t>3.</w:t>
      </w:r>
      <w:r w:rsidR="00697D72">
        <w:rPr>
          <w:i/>
          <w:iCs/>
          <w:u w:val="single"/>
          <w:lang w:eastAsia="en-GB"/>
        </w:rPr>
        <w:t>57</w:t>
      </w:r>
    </w:p>
    <w:p w14:paraId="030EA6F1" w14:textId="770028E1" w:rsidR="00D83203" w:rsidRPr="000B3433" w:rsidRDefault="00D83203" w:rsidP="00D83203">
      <w:pPr>
        <w:pStyle w:val="NoSpacing"/>
        <w:tabs>
          <w:tab w:val="center" w:pos="4513"/>
          <w:tab w:val="left" w:pos="6270"/>
        </w:tabs>
        <w:jc w:val="center"/>
        <w:rPr>
          <w:i/>
          <w:iCs/>
          <w:lang w:eastAsia="en-GB"/>
        </w:rPr>
      </w:pPr>
      <w:r w:rsidRPr="000B3433">
        <w:rPr>
          <w:i/>
          <w:iCs/>
          <w:lang w:eastAsia="en-GB"/>
        </w:rPr>
        <w:t xml:space="preserve">                                                                            </w:t>
      </w:r>
      <w:r w:rsidR="008305A4">
        <w:rPr>
          <w:i/>
          <w:iCs/>
          <w:lang w:eastAsia="en-GB"/>
        </w:rPr>
        <w:t xml:space="preserve"> </w:t>
      </w:r>
      <w:r w:rsidR="00151154">
        <w:rPr>
          <w:i/>
          <w:iCs/>
          <w:lang w:eastAsia="en-GB"/>
        </w:rPr>
        <w:t>16.</w:t>
      </w:r>
      <w:r w:rsidR="00697D72">
        <w:rPr>
          <w:i/>
          <w:iCs/>
          <w:lang w:eastAsia="en-GB"/>
        </w:rPr>
        <w:t>35</w:t>
      </w:r>
      <w:r w:rsidRPr="000B3433">
        <w:rPr>
          <w:i/>
          <w:iCs/>
          <w:lang w:eastAsia="en-GB"/>
        </w:rPr>
        <w:t xml:space="preserve">                        = </w:t>
      </w:r>
      <w:r w:rsidR="00151154">
        <w:rPr>
          <w:i/>
          <w:iCs/>
          <w:lang w:eastAsia="en-GB"/>
        </w:rPr>
        <w:t>17</w:t>
      </w:r>
      <w:r w:rsidRPr="000B3433">
        <w:rPr>
          <w:i/>
          <w:iCs/>
          <w:lang w:eastAsia="en-GB"/>
        </w:rPr>
        <w:t>% in favour of full-time workers</w:t>
      </w:r>
    </w:p>
    <w:p w14:paraId="69121187" w14:textId="77777777" w:rsidR="00D83203" w:rsidRPr="005E2D49" w:rsidRDefault="00D83203" w:rsidP="00D83203">
      <w:pPr>
        <w:rPr>
          <w:rFonts w:cstheme="minorHAnsi"/>
          <w:highlight w:val="yellow"/>
          <w:shd w:val="clear" w:color="auto" w:fill="FFFFFF"/>
        </w:rPr>
      </w:pPr>
    </w:p>
    <w:p w14:paraId="37B8EDA4" w14:textId="77777777" w:rsidR="00BF2EA3" w:rsidRDefault="00D83203" w:rsidP="00D83203">
      <w:pPr>
        <w:rPr>
          <w:rFonts w:cstheme="minorHAnsi"/>
          <w:shd w:val="clear" w:color="auto" w:fill="FFFFFF"/>
        </w:rPr>
      </w:pPr>
      <w:r w:rsidRPr="000B3433">
        <w:rPr>
          <w:rFonts w:cstheme="minorHAnsi"/>
          <w:shd w:val="clear" w:color="auto" w:fill="FFFFFF"/>
        </w:rPr>
        <w:t xml:space="preserve">When considering the difference between hourly pay (excluding overtime) of full-time and part-time employees in the Armagh City, Banbridge and Craigavon borough, full-time employees earn </w:t>
      </w:r>
      <w:r w:rsidR="00151154">
        <w:rPr>
          <w:rFonts w:cstheme="minorHAnsi"/>
          <w:shd w:val="clear" w:color="auto" w:fill="FFFFFF"/>
        </w:rPr>
        <w:t>17</w:t>
      </w:r>
      <w:r w:rsidRPr="000B3433">
        <w:rPr>
          <w:rFonts w:cstheme="minorHAnsi"/>
          <w:shd w:val="clear" w:color="auto" w:fill="FFFFFF"/>
        </w:rPr>
        <w:t>% more than part time employees in 202</w:t>
      </w:r>
      <w:r w:rsidR="00151154">
        <w:rPr>
          <w:rFonts w:cstheme="minorHAnsi"/>
          <w:shd w:val="clear" w:color="auto" w:fill="FFFFFF"/>
        </w:rPr>
        <w:t>5</w:t>
      </w:r>
      <w:r w:rsidRPr="000B3433">
        <w:rPr>
          <w:rFonts w:cstheme="minorHAnsi"/>
          <w:shd w:val="clear" w:color="auto" w:fill="FFFFFF"/>
        </w:rPr>
        <w:t>. The working pattern pay gap in 202</w:t>
      </w:r>
      <w:r w:rsidR="00151154">
        <w:rPr>
          <w:rFonts w:cstheme="minorHAnsi"/>
          <w:shd w:val="clear" w:color="auto" w:fill="FFFFFF"/>
        </w:rPr>
        <w:t>5</w:t>
      </w:r>
      <w:r w:rsidRPr="000B3433">
        <w:rPr>
          <w:rFonts w:cstheme="minorHAnsi"/>
          <w:shd w:val="clear" w:color="auto" w:fill="FFFFFF"/>
        </w:rPr>
        <w:t xml:space="preserve"> in Northern Ireland is 2</w:t>
      </w:r>
      <w:r w:rsidR="00BF2EA3">
        <w:rPr>
          <w:rFonts w:cstheme="minorHAnsi"/>
          <w:shd w:val="clear" w:color="auto" w:fill="FFFFFF"/>
        </w:rPr>
        <w:t>4</w:t>
      </w:r>
      <w:r w:rsidR="00151154">
        <w:rPr>
          <w:rFonts w:cstheme="minorHAnsi"/>
          <w:shd w:val="clear" w:color="auto" w:fill="FFFFFF"/>
        </w:rPr>
        <w:t>.4</w:t>
      </w:r>
      <w:r w:rsidRPr="000B3433">
        <w:rPr>
          <w:rFonts w:cstheme="minorHAnsi"/>
          <w:shd w:val="clear" w:color="auto" w:fill="FFFFFF"/>
        </w:rPr>
        <w:t xml:space="preserve">% which is </w:t>
      </w:r>
      <w:r w:rsidR="00BF2EA3">
        <w:rPr>
          <w:rFonts w:cstheme="minorHAnsi"/>
          <w:shd w:val="clear" w:color="auto" w:fill="FFFFFF"/>
        </w:rPr>
        <w:t>4</w:t>
      </w:r>
      <w:r w:rsidR="00151154">
        <w:rPr>
          <w:rFonts w:cstheme="minorHAnsi"/>
          <w:shd w:val="clear" w:color="auto" w:fill="FFFFFF"/>
        </w:rPr>
        <w:t>.1</w:t>
      </w:r>
      <w:r w:rsidRPr="000B3433">
        <w:rPr>
          <w:rFonts w:cstheme="minorHAnsi"/>
          <w:shd w:val="clear" w:color="auto" w:fill="FFFFFF"/>
        </w:rPr>
        <w:t>% below the 202</w:t>
      </w:r>
      <w:r w:rsidR="00151154">
        <w:rPr>
          <w:rFonts w:cstheme="minorHAnsi"/>
          <w:shd w:val="clear" w:color="auto" w:fill="FFFFFF"/>
        </w:rPr>
        <w:t>5</w:t>
      </w:r>
      <w:r w:rsidRPr="000B3433">
        <w:rPr>
          <w:rFonts w:cstheme="minorHAnsi"/>
          <w:shd w:val="clear" w:color="auto" w:fill="FFFFFF"/>
        </w:rPr>
        <w:t xml:space="preserve"> UK rate (</w:t>
      </w:r>
      <w:r w:rsidR="000B3433" w:rsidRPr="000B3433">
        <w:rPr>
          <w:rFonts w:cstheme="minorHAnsi"/>
          <w:shd w:val="clear" w:color="auto" w:fill="FFFFFF"/>
        </w:rPr>
        <w:t>2</w:t>
      </w:r>
      <w:r w:rsidR="00151154">
        <w:rPr>
          <w:rFonts w:cstheme="minorHAnsi"/>
          <w:shd w:val="clear" w:color="auto" w:fill="FFFFFF"/>
        </w:rPr>
        <w:t>8.5</w:t>
      </w:r>
      <w:r w:rsidRPr="000B3433">
        <w:rPr>
          <w:rFonts w:cstheme="minorHAnsi"/>
          <w:shd w:val="clear" w:color="auto" w:fill="FFFFFF"/>
        </w:rPr>
        <w:t xml:space="preserve">%).  For residents of the borough, the working pattern pay gap </w:t>
      </w:r>
      <w:r w:rsidR="00697D72">
        <w:rPr>
          <w:rFonts w:cstheme="minorHAnsi"/>
          <w:shd w:val="clear" w:color="auto" w:fill="FFFFFF"/>
        </w:rPr>
        <w:t>is higher</w:t>
      </w:r>
      <w:r w:rsidRPr="000B3433">
        <w:rPr>
          <w:rFonts w:cstheme="minorHAnsi"/>
          <w:shd w:val="clear" w:color="auto" w:fill="FFFFFF"/>
        </w:rPr>
        <w:t xml:space="preserve"> at </w:t>
      </w:r>
      <w:r w:rsidR="00697D72">
        <w:rPr>
          <w:rFonts w:cstheme="minorHAnsi"/>
          <w:shd w:val="clear" w:color="auto" w:fill="FFFFFF"/>
        </w:rPr>
        <w:t xml:space="preserve">19.4 </w:t>
      </w:r>
      <w:r w:rsidRPr="000B3433">
        <w:rPr>
          <w:rFonts w:cstheme="minorHAnsi"/>
          <w:shd w:val="clear" w:color="auto" w:fill="FFFFFF"/>
        </w:rPr>
        <w:t xml:space="preserve">% in favour of full-time workers. </w:t>
      </w:r>
    </w:p>
    <w:p w14:paraId="4C817110" w14:textId="77777777" w:rsidR="00BF2EA3" w:rsidRPr="000B3433" w:rsidRDefault="00BF2EA3" w:rsidP="00BF2EA3">
      <w:pPr>
        <w:rPr>
          <w:rFonts w:eastAsia="Times New Roman" w:cstheme="minorHAnsi"/>
          <w:iCs/>
          <w:lang w:eastAsia="en-GB"/>
        </w:rPr>
      </w:pPr>
      <w:r w:rsidRPr="000B3433">
        <w:rPr>
          <w:rFonts w:eastAsia="Times New Roman" w:cstheme="minorHAnsi"/>
          <w:iCs/>
          <w:lang w:eastAsia="en-GB"/>
        </w:rPr>
        <w:t xml:space="preserve">For those </w:t>
      </w:r>
      <w:r>
        <w:rPr>
          <w:rFonts w:eastAsia="Times New Roman" w:cstheme="minorHAnsi"/>
          <w:b/>
          <w:bCs/>
          <w:iCs/>
          <w:lang w:eastAsia="en-GB"/>
        </w:rPr>
        <w:t>residing</w:t>
      </w:r>
      <w:r w:rsidRPr="000B3433">
        <w:rPr>
          <w:rFonts w:eastAsia="Times New Roman" w:cstheme="minorHAnsi"/>
          <w:iCs/>
          <w:lang w:eastAsia="en-GB"/>
        </w:rPr>
        <w:t xml:space="preserve"> in Armagh City, Banbridge and Craigavon in 202</w:t>
      </w:r>
      <w:r>
        <w:rPr>
          <w:rFonts w:eastAsia="Times New Roman" w:cstheme="minorHAnsi"/>
          <w:iCs/>
          <w:lang w:eastAsia="en-GB"/>
        </w:rPr>
        <w:t>5</w:t>
      </w:r>
    </w:p>
    <w:p w14:paraId="1CDB4D67" w14:textId="77777777" w:rsidR="00BF2EA3" w:rsidRPr="000B3433" w:rsidRDefault="00BF2EA3" w:rsidP="00BF2EA3">
      <w:pPr>
        <w:pStyle w:val="NoSpacing"/>
        <w:rPr>
          <w:i/>
          <w:iCs/>
          <w:u w:val="single"/>
          <w:lang w:eastAsia="en-GB"/>
        </w:rPr>
      </w:pPr>
      <w:r w:rsidRPr="008D6BF5">
        <w:rPr>
          <w:lang w:eastAsia="en-GB"/>
        </w:rPr>
        <w:t xml:space="preserve">                                                                        </w:t>
      </w:r>
      <w:r>
        <w:rPr>
          <w:i/>
          <w:iCs/>
          <w:u w:val="single"/>
          <w:lang w:eastAsia="en-GB"/>
        </w:rPr>
        <w:t>16.65</w:t>
      </w:r>
      <w:r w:rsidRPr="000B3433">
        <w:rPr>
          <w:i/>
          <w:iCs/>
          <w:u w:val="single"/>
          <w:lang w:eastAsia="en-GB"/>
        </w:rPr>
        <w:t xml:space="preserve"> – 1</w:t>
      </w:r>
      <w:r>
        <w:rPr>
          <w:i/>
          <w:iCs/>
          <w:u w:val="single"/>
          <w:lang w:eastAsia="en-GB"/>
        </w:rPr>
        <w:t>3.42</w:t>
      </w:r>
    </w:p>
    <w:p w14:paraId="2435330C" w14:textId="77777777" w:rsidR="00BF2EA3" w:rsidRDefault="00BF2EA3" w:rsidP="00BF2EA3">
      <w:pPr>
        <w:pStyle w:val="NoSpacing"/>
        <w:tabs>
          <w:tab w:val="center" w:pos="4513"/>
          <w:tab w:val="left" w:pos="6270"/>
        </w:tabs>
        <w:jc w:val="center"/>
        <w:rPr>
          <w:i/>
          <w:iCs/>
          <w:lang w:eastAsia="en-GB"/>
        </w:rPr>
      </w:pPr>
      <w:r w:rsidRPr="000B3433">
        <w:rPr>
          <w:i/>
          <w:iCs/>
          <w:lang w:eastAsia="en-GB"/>
        </w:rPr>
        <w:t xml:space="preserve">                                                                            </w:t>
      </w:r>
      <w:r>
        <w:rPr>
          <w:i/>
          <w:iCs/>
          <w:lang w:eastAsia="en-GB"/>
        </w:rPr>
        <w:t xml:space="preserve"> 16.65</w:t>
      </w:r>
      <w:r w:rsidRPr="000B3433">
        <w:rPr>
          <w:i/>
          <w:iCs/>
          <w:lang w:eastAsia="en-GB"/>
        </w:rPr>
        <w:t xml:space="preserve">                        = </w:t>
      </w:r>
      <w:r>
        <w:rPr>
          <w:i/>
          <w:iCs/>
          <w:lang w:eastAsia="en-GB"/>
        </w:rPr>
        <w:t>19.4</w:t>
      </w:r>
      <w:r w:rsidRPr="000B3433">
        <w:rPr>
          <w:i/>
          <w:iCs/>
          <w:lang w:eastAsia="en-GB"/>
        </w:rPr>
        <w:t>% in favour of full-time workers</w:t>
      </w:r>
    </w:p>
    <w:p w14:paraId="4E060863" w14:textId="2F1E47E5" w:rsidR="00D83203" w:rsidRPr="005E2D49" w:rsidRDefault="00D83203" w:rsidP="00D83203">
      <w:pPr>
        <w:rPr>
          <w:rFonts w:eastAsia="Times New Roman" w:cstheme="minorHAnsi"/>
          <w:highlight w:val="yellow"/>
          <w:lang w:eastAsia="en-GB"/>
        </w:rPr>
      </w:pPr>
      <w:r w:rsidRPr="000B3433">
        <w:rPr>
          <w:rFonts w:cstheme="minorHAnsi"/>
          <w:shd w:val="clear" w:color="auto" w:fill="FFFFFF"/>
        </w:rPr>
        <w:t xml:space="preserve"> </w:t>
      </w:r>
    </w:p>
    <w:p w14:paraId="51A5F561" w14:textId="514A6F00" w:rsidR="008D6BF5" w:rsidRDefault="00D83203" w:rsidP="00697D72">
      <w:pPr>
        <w:shd w:val="clear" w:color="auto" w:fill="FFFFFF"/>
        <w:spacing w:after="0" w:line="240" w:lineRule="auto"/>
        <w:textAlignment w:val="baseline"/>
        <w:rPr>
          <w:rFonts w:eastAsia="Times New Roman" w:cstheme="minorHAnsi"/>
          <w:lang w:eastAsia="en-GB"/>
        </w:rPr>
      </w:pPr>
      <w:r w:rsidRPr="006C1913">
        <w:rPr>
          <w:rFonts w:eastAsia="Times New Roman" w:cstheme="minorHAnsi"/>
          <w:lang w:eastAsia="en-GB"/>
        </w:rPr>
        <w:t>The working pattern pay gap has fallen since 201</w:t>
      </w:r>
      <w:r w:rsidR="006C1913" w:rsidRPr="006C1913">
        <w:rPr>
          <w:rFonts w:eastAsia="Times New Roman" w:cstheme="minorHAnsi"/>
          <w:lang w:eastAsia="en-GB"/>
        </w:rPr>
        <w:t>5</w:t>
      </w:r>
      <w:r w:rsidRPr="006C1913">
        <w:rPr>
          <w:rFonts w:eastAsia="Times New Roman" w:cstheme="minorHAnsi"/>
          <w:lang w:eastAsia="en-GB"/>
        </w:rPr>
        <w:t xml:space="preserve"> for both residents (-</w:t>
      </w:r>
      <w:r w:rsidR="006C1913" w:rsidRPr="006C1913">
        <w:rPr>
          <w:rFonts w:eastAsia="Times New Roman" w:cstheme="minorHAnsi"/>
          <w:lang w:eastAsia="en-GB"/>
        </w:rPr>
        <w:t>9.6</w:t>
      </w:r>
      <w:r w:rsidRPr="006C1913">
        <w:rPr>
          <w:rFonts w:eastAsia="Times New Roman" w:cstheme="minorHAnsi"/>
          <w:lang w:eastAsia="en-GB"/>
        </w:rPr>
        <w:t>%) and those working in the borough (-</w:t>
      </w:r>
      <w:r w:rsidR="006C1913" w:rsidRPr="006C1913">
        <w:rPr>
          <w:rFonts w:eastAsia="Times New Roman" w:cstheme="minorHAnsi"/>
          <w:lang w:eastAsia="en-GB"/>
        </w:rPr>
        <w:t>7.5</w:t>
      </w:r>
      <w:r w:rsidRPr="006C1913">
        <w:rPr>
          <w:rFonts w:eastAsia="Times New Roman" w:cstheme="minorHAnsi"/>
          <w:lang w:eastAsia="en-GB"/>
        </w:rPr>
        <w:t>%).</w:t>
      </w:r>
      <w:r w:rsidRPr="000D494D">
        <w:rPr>
          <w:rFonts w:eastAsia="Times New Roman" w:cstheme="minorHAnsi"/>
          <w:lang w:eastAsia="en-GB"/>
        </w:rPr>
        <w:t xml:space="preserve">  In Northern Ireland overall, the gap has also fallen by </w:t>
      </w:r>
      <w:r w:rsidR="008E2539" w:rsidRPr="000D494D">
        <w:rPr>
          <w:rFonts w:eastAsia="Times New Roman" w:cstheme="minorHAnsi"/>
          <w:lang w:eastAsia="en-GB"/>
        </w:rPr>
        <w:t>8</w:t>
      </w:r>
      <w:r w:rsidR="000D494D" w:rsidRPr="000D494D">
        <w:rPr>
          <w:rFonts w:eastAsia="Times New Roman" w:cstheme="minorHAnsi"/>
          <w:lang w:eastAsia="en-GB"/>
        </w:rPr>
        <w:t>.4</w:t>
      </w:r>
      <w:r w:rsidRPr="000D494D">
        <w:rPr>
          <w:rFonts w:eastAsia="Times New Roman" w:cstheme="minorHAnsi"/>
          <w:lang w:eastAsia="en-GB"/>
        </w:rPr>
        <w:t xml:space="preserve"> percentage points since 201</w:t>
      </w:r>
      <w:r w:rsidR="000D494D" w:rsidRPr="000D494D">
        <w:rPr>
          <w:rFonts w:eastAsia="Times New Roman" w:cstheme="minorHAnsi"/>
          <w:lang w:eastAsia="en-GB"/>
        </w:rPr>
        <w:t>5</w:t>
      </w:r>
      <w:r w:rsidRPr="000D494D">
        <w:rPr>
          <w:rFonts w:eastAsia="Times New Roman" w:cstheme="minorHAnsi"/>
          <w:lang w:eastAsia="en-GB"/>
        </w:rPr>
        <w:t xml:space="preserve">.  </w:t>
      </w:r>
      <w:r w:rsidRPr="008471F6">
        <w:rPr>
          <w:rFonts w:eastAsia="Times New Roman" w:cstheme="minorHAnsi"/>
          <w:lang w:eastAsia="en-GB"/>
        </w:rPr>
        <w:t xml:space="preserve"> However, considering there is still a gap of</w:t>
      </w:r>
      <w:r w:rsidR="008E2539" w:rsidRPr="008471F6">
        <w:rPr>
          <w:rFonts w:eastAsia="Times New Roman" w:cstheme="minorHAnsi"/>
          <w:lang w:eastAsia="en-GB"/>
        </w:rPr>
        <w:t xml:space="preserve"> </w:t>
      </w:r>
      <w:r w:rsidR="008471F6" w:rsidRPr="008471F6">
        <w:rPr>
          <w:rFonts w:eastAsia="Times New Roman" w:cstheme="minorHAnsi"/>
          <w:lang w:eastAsia="en-GB"/>
        </w:rPr>
        <w:t>17</w:t>
      </w:r>
      <w:r w:rsidRPr="008471F6">
        <w:rPr>
          <w:rFonts w:eastAsia="Times New Roman" w:cstheme="minorHAnsi"/>
          <w:lang w:eastAsia="en-GB"/>
        </w:rPr>
        <w:t>% between the hourly earnings of full-time and part-time workers</w:t>
      </w:r>
      <w:r w:rsidR="00E61032">
        <w:rPr>
          <w:rFonts w:eastAsia="Times New Roman" w:cstheme="minorHAnsi"/>
          <w:lang w:eastAsia="en-GB"/>
        </w:rPr>
        <w:t xml:space="preserve"> working in the borough</w:t>
      </w:r>
      <w:r w:rsidRPr="008471F6">
        <w:rPr>
          <w:rFonts w:eastAsia="Times New Roman" w:cstheme="minorHAnsi"/>
          <w:lang w:eastAsia="en-GB"/>
        </w:rPr>
        <w:t>, it is not surprising that it is more difficult for those entering part-time employment to move out of poverty</w:t>
      </w:r>
      <w:r w:rsidR="006421BE" w:rsidRPr="008471F6">
        <w:rPr>
          <w:rStyle w:val="FootnoteReference"/>
          <w:rFonts w:eastAsia="Times New Roman" w:cstheme="minorHAnsi"/>
          <w:lang w:eastAsia="en-GB"/>
        </w:rPr>
        <w:footnoteReference w:id="7"/>
      </w:r>
      <w:r w:rsidRPr="008471F6">
        <w:rPr>
          <w:rFonts w:eastAsia="Times New Roman" w:cstheme="minorHAnsi"/>
          <w:lang w:eastAsia="en-GB"/>
        </w:rPr>
        <w:t>, especially in current times when the cost of living is so high.</w:t>
      </w:r>
      <w:r w:rsidRPr="005379DF">
        <w:rPr>
          <w:rFonts w:eastAsia="Times New Roman" w:cstheme="minorHAnsi"/>
          <w:lang w:eastAsia="en-GB"/>
        </w:rPr>
        <w:t xml:space="preserve"> </w:t>
      </w:r>
    </w:p>
    <w:p w14:paraId="352F0C0C" w14:textId="77777777" w:rsidR="00083335" w:rsidRDefault="00083335" w:rsidP="00E61032">
      <w:pPr>
        <w:pStyle w:val="NoSpacing"/>
        <w:tabs>
          <w:tab w:val="center" w:pos="4513"/>
          <w:tab w:val="left" w:pos="6270"/>
        </w:tabs>
        <w:rPr>
          <w:i/>
          <w:iCs/>
          <w:lang w:eastAsia="en-GB"/>
        </w:rPr>
      </w:pPr>
    </w:p>
    <w:p w14:paraId="71EA6953" w14:textId="77777777" w:rsidR="00E61032" w:rsidRPr="00083335" w:rsidRDefault="00E61032" w:rsidP="00E61032">
      <w:pPr>
        <w:pStyle w:val="NoSpacing"/>
        <w:tabs>
          <w:tab w:val="center" w:pos="4513"/>
          <w:tab w:val="left" w:pos="6270"/>
        </w:tabs>
        <w:rPr>
          <w:i/>
          <w:iCs/>
          <w:lang w:eastAsia="en-GB"/>
        </w:rPr>
      </w:pPr>
    </w:p>
    <w:p w14:paraId="4E868193" w14:textId="4B14827C" w:rsidR="008245F5" w:rsidRPr="005379DF" w:rsidRDefault="00B039B3" w:rsidP="005D3CE9">
      <w:pPr>
        <w:rPr>
          <w:b/>
          <w:bCs/>
        </w:rPr>
      </w:pPr>
      <w:r w:rsidRPr="005379DF">
        <w:rPr>
          <w:b/>
          <w:bCs/>
        </w:rPr>
        <w:lastRenderedPageBreak/>
        <w:t>Hours</w:t>
      </w:r>
      <w:r w:rsidR="003D37C2" w:rsidRPr="005379DF">
        <w:rPr>
          <w:b/>
          <w:bCs/>
        </w:rPr>
        <w:t xml:space="preserve"> worked by working pattern and gender</w:t>
      </w:r>
    </w:p>
    <w:p w14:paraId="014F6464" w14:textId="53FCD97C" w:rsidR="000F52DC" w:rsidRPr="005379DF" w:rsidRDefault="000F52DC" w:rsidP="005D3CE9">
      <w:r w:rsidRPr="005379DF">
        <w:t xml:space="preserve">Total paid hours worked is made up of paid basic hours and paid overtime hours. It is calculated using employees on adult rates whose pay was unaffected by absence. </w:t>
      </w:r>
    </w:p>
    <w:p w14:paraId="7A57F924" w14:textId="16EB1043" w:rsidR="0046308C" w:rsidRPr="000F2540" w:rsidRDefault="000F52DC" w:rsidP="005D3CE9">
      <w:r w:rsidRPr="00A51DA9">
        <w:t xml:space="preserve">Figure </w:t>
      </w:r>
      <w:r w:rsidR="00D837B4" w:rsidRPr="00A51DA9">
        <w:t>2</w:t>
      </w:r>
      <w:r w:rsidRPr="00A51DA9">
        <w:t xml:space="preserve"> below presents median weekly hours worked by gender and work pattern </w:t>
      </w:r>
      <w:r w:rsidR="008B17EA" w:rsidRPr="00A51DA9">
        <w:t>for those working in the borough in 202</w:t>
      </w:r>
      <w:r w:rsidR="000F2540">
        <w:t>5</w:t>
      </w:r>
      <w:r w:rsidR="008B17EA" w:rsidRPr="00A51DA9">
        <w:t xml:space="preserve">.  Part-time females worked more hours than part-time males while full-time males worked more hours than full-time females.  Overall, males worked </w:t>
      </w:r>
      <w:r w:rsidR="00A242AA" w:rsidRPr="00A51DA9">
        <w:t>a</w:t>
      </w:r>
      <w:r w:rsidR="008B17EA" w:rsidRPr="00A51DA9">
        <w:t xml:space="preserve">n average of </w:t>
      </w:r>
      <w:r w:rsidR="00E70298">
        <w:t>4.6</w:t>
      </w:r>
      <w:r w:rsidR="008B17EA" w:rsidRPr="00A51DA9">
        <w:t xml:space="preserve"> hours more than females.  </w:t>
      </w:r>
    </w:p>
    <w:p w14:paraId="780EC160" w14:textId="6227CCBB" w:rsidR="0046308C" w:rsidRPr="002A4728" w:rsidRDefault="0046308C" w:rsidP="005D3CE9">
      <w:pPr>
        <w:rPr>
          <w:highlight w:val="yellow"/>
        </w:rPr>
      </w:pPr>
      <w:r>
        <w:rPr>
          <w:noProof/>
        </w:rPr>
        <w:drawing>
          <wp:inline distT="0" distB="0" distL="0" distR="0" wp14:anchorId="711E8EDD" wp14:editId="5C5487EA">
            <wp:extent cx="5486400" cy="3200400"/>
            <wp:effectExtent l="0" t="0" r="0" b="0"/>
            <wp:docPr id="1570479740" name="Chart 4" descr="Chart showign median weekly paid hours by place of work, working pattern and gender in Armagh City, Banbridge and Craigavon Borough 2025. "/>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W w:w="8926" w:type="dxa"/>
        <w:tblLayout w:type="fixed"/>
        <w:tblLook w:val="04A0" w:firstRow="1" w:lastRow="0" w:firstColumn="1" w:lastColumn="0" w:noHBand="0" w:noVBand="1"/>
      </w:tblPr>
      <w:tblGrid>
        <w:gridCol w:w="2231"/>
        <w:gridCol w:w="2232"/>
        <w:gridCol w:w="2231"/>
        <w:gridCol w:w="2232"/>
      </w:tblGrid>
      <w:tr w:rsidR="0089738F" w:rsidRPr="002A4728" w14:paraId="75A49D4C" w14:textId="77777777" w:rsidTr="0089738F">
        <w:trPr>
          <w:trHeight w:val="300"/>
        </w:trPr>
        <w:tc>
          <w:tcPr>
            <w:tcW w:w="2231" w:type="dxa"/>
            <w:tcBorders>
              <w:top w:val="single" w:sz="4" w:space="0" w:color="auto"/>
              <w:left w:val="single" w:sz="4" w:space="0" w:color="auto"/>
              <w:bottom w:val="single" w:sz="4" w:space="0" w:color="auto"/>
              <w:right w:val="single" w:sz="4" w:space="0" w:color="auto"/>
            </w:tcBorders>
            <w:noWrap/>
            <w:vAlign w:val="bottom"/>
            <w:hideMark/>
          </w:tcPr>
          <w:p w14:paraId="366AD9AB" w14:textId="77777777" w:rsidR="0089738F" w:rsidRPr="002A4728" w:rsidRDefault="0089738F" w:rsidP="0089738F">
            <w:pPr>
              <w:spacing w:after="0" w:line="240" w:lineRule="auto"/>
              <w:rPr>
                <w:rFonts w:ascii="Calibri" w:eastAsia="Times New Roman" w:hAnsi="Calibri" w:cs="Calibri"/>
                <w:color w:val="000000"/>
                <w:lang w:eastAsia="en-GB"/>
              </w:rPr>
            </w:pPr>
            <w:r w:rsidRPr="002A4728">
              <w:rPr>
                <w:rFonts w:ascii="Calibri" w:eastAsia="Times New Roman" w:hAnsi="Calibri" w:cs="Calibri"/>
                <w:color w:val="000000"/>
                <w:lang w:eastAsia="en-GB"/>
              </w:rPr>
              <w:t> </w:t>
            </w:r>
          </w:p>
        </w:tc>
        <w:tc>
          <w:tcPr>
            <w:tcW w:w="2232" w:type="dxa"/>
            <w:tcBorders>
              <w:top w:val="single" w:sz="4" w:space="0" w:color="auto"/>
              <w:left w:val="nil"/>
              <w:bottom w:val="single" w:sz="4" w:space="0" w:color="auto"/>
              <w:right w:val="single" w:sz="4" w:space="0" w:color="auto"/>
            </w:tcBorders>
            <w:noWrap/>
            <w:vAlign w:val="bottom"/>
            <w:hideMark/>
          </w:tcPr>
          <w:p w14:paraId="3C2D5182" w14:textId="77777777" w:rsidR="0089738F" w:rsidRPr="002A4728" w:rsidRDefault="0089738F" w:rsidP="0089738F">
            <w:pPr>
              <w:spacing w:after="0" w:line="240" w:lineRule="auto"/>
              <w:jc w:val="center"/>
              <w:rPr>
                <w:rFonts w:ascii="Calibri" w:eastAsia="Times New Roman" w:hAnsi="Calibri" w:cs="Calibri"/>
                <w:color w:val="000000"/>
                <w:lang w:eastAsia="en-GB"/>
              </w:rPr>
            </w:pPr>
            <w:r w:rsidRPr="002A4728">
              <w:rPr>
                <w:rFonts w:ascii="Calibri" w:eastAsia="Times New Roman" w:hAnsi="Calibri" w:cs="Calibri"/>
                <w:color w:val="000000"/>
                <w:lang w:eastAsia="en-GB"/>
              </w:rPr>
              <w:t>Male</w:t>
            </w:r>
          </w:p>
        </w:tc>
        <w:tc>
          <w:tcPr>
            <w:tcW w:w="2231" w:type="dxa"/>
            <w:tcBorders>
              <w:top w:val="single" w:sz="4" w:space="0" w:color="auto"/>
              <w:left w:val="nil"/>
              <w:bottom w:val="single" w:sz="4" w:space="0" w:color="auto"/>
              <w:right w:val="single" w:sz="4" w:space="0" w:color="auto"/>
            </w:tcBorders>
            <w:noWrap/>
            <w:vAlign w:val="bottom"/>
            <w:hideMark/>
          </w:tcPr>
          <w:p w14:paraId="319CC0A5" w14:textId="507163B1" w:rsidR="0089738F" w:rsidRPr="002A4728" w:rsidRDefault="0089738F" w:rsidP="0089738F">
            <w:pPr>
              <w:spacing w:after="0" w:line="240" w:lineRule="auto"/>
              <w:jc w:val="center"/>
              <w:rPr>
                <w:rFonts w:ascii="Calibri" w:eastAsia="Times New Roman" w:hAnsi="Calibri" w:cs="Calibri"/>
                <w:color w:val="000000"/>
                <w:lang w:eastAsia="en-GB"/>
              </w:rPr>
            </w:pPr>
            <w:r w:rsidRPr="002A4728">
              <w:rPr>
                <w:rFonts w:ascii="Calibri" w:eastAsia="Times New Roman" w:hAnsi="Calibri" w:cs="Calibri"/>
                <w:color w:val="000000"/>
                <w:lang w:eastAsia="en-GB"/>
              </w:rPr>
              <w:t>Female</w:t>
            </w:r>
          </w:p>
        </w:tc>
        <w:tc>
          <w:tcPr>
            <w:tcW w:w="2232" w:type="dxa"/>
            <w:tcBorders>
              <w:top w:val="single" w:sz="4" w:space="0" w:color="auto"/>
              <w:left w:val="nil"/>
              <w:bottom w:val="single" w:sz="4" w:space="0" w:color="auto"/>
              <w:right w:val="single" w:sz="4" w:space="0" w:color="auto"/>
            </w:tcBorders>
            <w:noWrap/>
            <w:vAlign w:val="bottom"/>
            <w:hideMark/>
          </w:tcPr>
          <w:p w14:paraId="65973A4E" w14:textId="4E47DE11" w:rsidR="0089738F" w:rsidRPr="002A4728" w:rsidRDefault="000F2540" w:rsidP="0089738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Total</w:t>
            </w:r>
          </w:p>
        </w:tc>
      </w:tr>
      <w:tr w:rsidR="002A4728" w:rsidRPr="002A4728" w14:paraId="7E51D276" w14:textId="77777777" w:rsidTr="00A51DA9">
        <w:trPr>
          <w:trHeight w:val="300"/>
        </w:trPr>
        <w:tc>
          <w:tcPr>
            <w:tcW w:w="2231" w:type="dxa"/>
            <w:tcBorders>
              <w:top w:val="nil"/>
              <w:left w:val="single" w:sz="4" w:space="0" w:color="auto"/>
              <w:bottom w:val="single" w:sz="4" w:space="0" w:color="auto"/>
              <w:right w:val="single" w:sz="4" w:space="0" w:color="auto"/>
            </w:tcBorders>
            <w:noWrap/>
            <w:vAlign w:val="bottom"/>
            <w:hideMark/>
          </w:tcPr>
          <w:p w14:paraId="47335A14" w14:textId="77777777" w:rsidR="002A4728" w:rsidRPr="002A4728" w:rsidRDefault="002A4728" w:rsidP="002A4728">
            <w:pPr>
              <w:spacing w:after="0" w:line="240" w:lineRule="auto"/>
              <w:rPr>
                <w:rFonts w:ascii="Calibri" w:eastAsia="Times New Roman" w:hAnsi="Calibri" w:cs="Calibri"/>
                <w:color w:val="000000"/>
                <w:lang w:eastAsia="en-GB"/>
              </w:rPr>
            </w:pPr>
            <w:r w:rsidRPr="002A4728">
              <w:rPr>
                <w:rFonts w:ascii="Calibri" w:eastAsia="Times New Roman" w:hAnsi="Calibri" w:cs="Calibri"/>
                <w:color w:val="000000"/>
                <w:lang w:eastAsia="en-GB"/>
              </w:rPr>
              <w:t>Part-time</w:t>
            </w:r>
          </w:p>
        </w:tc>
        <w:tc>
          <w:tcPr>
            <w:tcW w:w="2232" w:type="dxa"/>
            <w:tcBorders>
              <w:top w:val="nil"/>
              <w:left w:val="nil"/>
              <w:bottom w:val="single" w:sz="4" w:space="0" w:color="auto"/>
              <w:right w:val="single" w:sz="4" w:space="0" w:color="auto"/>
            </w:tcBorders>
            <w:shd w:val="clear" w:color="auto" w:fill="9CC2E5" w:themeFill="accent1" w:themeFillTint="99"/>
            <w:noWrap/>
            <w:vAlign w:val="bottom"/>
            <w:hideMark/>
          </w:tcPr>
          <w:p w14:paraId="181399A5" w14:textId="1A4260AF" w:rsidR="002A4728" w:rsidRPr="002A4728" w:rsidRDefault="0046308C" w:rsidP="002A4728">
            <w:pPr>
              <w:spacing w:after="0" w:line="240" w:lineRule="auto"/>
              <w:jc w:val="center"/>
              <w:rPr>
                <w:rFonts w:ascii="Calibri" w:eastAsia="Times New Roman" w:hAnsi="Calibri" w:cs="Calibri"/>
                <w:color w:val="000000"/>
                <w:lang w:eastAsia="en-GB"/>
              </w:rPr>
            </w:pPr>
            <w:r>
              <w:rPr>
                <w:rFonts w:ascii="Calibri" w:hAnsi="Calibri" w:cs="Calibri"/>
                <w:color w:val="000000"/>
              </w:rPr>
              <w:t>1</w:t>
            </w:r>
            <w:r w:rsidR="00E61032">
              <w:rPr>
                <w:rFonts w:ascii="Calibri" w:hAnsi="Calibri" w:cs="Calibri"/>
                <w:color w:val="000000"/>
              </w:rPr>
              <w:t>7.6</w:t>
            </w:r>
          </w:p>
        </w:tc>
        <w:tc>
          <w:tcPr>
            <w:tcW w:w="2231" w:type="dxa"/>
            <w:tcBorders>
              <w:top w:val="nil"/>
              <w:left w:val="nil"/>
              <w:bottom w:val="single" w:sz="4" w:space="0" w:color="auto"/>
              <w:right w:val="single" w:sz="4" w:space="0" w:color="auto"/>
            </w:tcBorders>
            <w:shd w:val="clear" w:color="auto" w:fill="DEEAF6" w:themeFill="accent1" w:themeFillTint="33"/>
            <w:noWrap/>
            <w:vAlign w:val="bottom"/>
            <w:hideMark/>
          </w:tcPr>
          <w:p w14:paraId="42FA0364" w14:textId="547A8AD5" w:rsidR="002A4728" w:rsidRPr="002A4728" w:rsidRDefault="002A4728" w:rsidP="002A4728">
            <w:pPr>
              <w:spacing w:after="0" w:line="240" w:lineRule="auto"/>
              <w:jc w:val="center"/>
              <w:rPr>
                <w:rFonts w:ascii="Calibri" w:eastAsia="Times New Roman" w:hAnsi="Calibri" w:cs="Calibri"/>
                <w:color w:val="000000"/>
                <w:lang w:eastAsia="en-GB"/>
              </w:rPr>
            </w:pPr>
            <w:r>
              <w:rPr>
                <w:rFonts w:ascii="Calibri" w:hAnsi="Calibri" w:cs="Calibri"/>
                <w:color w:val="000000"/>
              </w:rPr>
              <w:t>2</w:t>
            </w:r>
            <w:r w:rsidR="0046308C">
              <w:rPr>
                <w:rFonts w:ascii="Calibri" w:hAnsi="Calibri" w:cs="Calibri"/>
                <w:color w:val="000000"/>
              </w:rPr>
              <w:t>0.2</w:t>
            </w:r>
          </w:p>
        </w:tc>
        <w:tc>
          <w:tcPr>
            <w:tcW w:w="2232" w:type="dxa"/>
            <w:tcBorders>
              <w:top w:val="nil"/>
              <w:left w:val="nil"/>
              <w:bottom w:val="single" w:sz="4" w:space="0" w:color="auto"/>
              <w:right w:val="single" w:sz="4" w:space="0" w:color="auto"/>
            </w:tcBorders>
            <w:shd w:val="clear" w:color="auto" w:fill="DEEAF6" w:themeFill="accent1" w:themeFillTint="33"/>
            <w:noWrap/>
            <w:vAlign w:val="bottom"/>
            <w:hideMark/>
          </w:tcPr>
          <w:p w14:paraId="0C60F2DD" w14:textId="669083E3" w:rsidR="002A4728" w:rsidRPr="002A4728" w:rsidRDefault="002A4728" w:rsidP="002A4728">
            <w:pPr>
              <w:spacing w:after="0" w:line="240" w:lineRule="auto"/>
              <w:jc w:val="center"/>
              <w:rPr>
                <w:rFonts w:ascii="Calibri" w:eastAsia="Times New Roman" w:hAnsi="Calibri" w:cs="Calibri"/>
                <w:color w:val="000000"/>
                <w:lang w:eastAsia="en-GB"/>
              </w:rPr>
            </w:pPr>
            <w:r>
              <w:rPr>
                <w:rFonts w:ascii="Calibri" w:hAnsi="Calibri" w:cs="Calibri"/>
                <w:color w:val="000000"/>
              </w:rPr>
              <w:t>1</w:t>
            </w:r>
            <w:r w:rsidR="00E61032">
              <w:rPr>
                <w:rFonts w:ascii="Calibri" w:hAnsi="Calibri" w:cs="Calibri"/>
                <w:color w:val="000000"/>
              </w:rPr>
              <w:t>9.9</w:t>
            </w:r>
          </w:p>
        </w:tc>
      </w:tr>
      <w:tr w:rsidR="002A4728" w:rsidRPr="002A4728" w14:paraId="2AC97D76" w14:textId="77777777" w:rsidTr="0089738F">
        <w:trPr>
          <w:trHeight w:val="300"/>
        </w:trPr>
        <w:tc>
          <w:tcPr>
            <w:tcW w:w="2231" w:type="dxa"/>
            <w:tcBorders>
              <w:top w:val="nil"/>
              <w:left w:val="single" w:sz="4" w:space="0" w:color="auto"/>
              <w:bottom w:val="single" w:sz="4" w:space="0" w:color="auto"/>
              <w:right w:val="single" w:sz="4" w:space="0" w:color="auto"/>
            </w:tcBorders>
            <w:noWrap/>
            <w:vAlign w:val="bottom"/>
            <w:hideMark/>
          </w:tcPr>
          <w:p w14:paraId="2403F254" w14:textId="77777777" w:rsidR="002A4728" w:rsidRPr="002A4728" w:rsidRDefault="002A4728" w:rsidP="002A4728">
            <w:pPr>
              <w:spacing w:after="0" w:line="240" w:lineRule="auto"/>
              <w:rPr>
                <w:rFonts w:ascii="Calibri" w:eastAsia="Times New Roman" w:hAnsi="Calibri" w:cs="Calibri"/>
                <w:color w:val="000000"/>
                <w:lang w:eastAsia="en-GB"/>
              </w:rPr>
            </w:pPr>
            <w:r w:rsidRPr="002A4728">
              <w:rPr>
                <w:rFonts w:ascii="Calibri" w:eastAsia="Times New Roman" w:hAnsi="Calibri" w:cs="Calibri"/>
                <w:color w:val="000000"/>
                <w:lang w:eastAsia="en-GB"/>
              </w:rPr>
              <w:t>Full-time</w:t>
            </w:r>
          </w:p>
        </w:tc>
        <w:tc>
          <w:tcPr>
            <w:tcW w:w="2232" w:type="dxa"/>
            <w:tcBorders>
              <w:top w:val="nil"/>
              <w:left w:val="nil"/>
              <w:bottom w:val="single" w:sz="4" w:space="0" w:color="auto"/>
              <w:right w:val="single" w:sz="4" w:space="0" w:color="auto"/>
            </w:tcBorders>
            <w:noWrap/>
            <w:vAlign w:val="bottom"/>
            <w:hideMark/>
          </w:tcPr>
          <w:p w14:paraId="467444ED" w14:textId="7048A67E" w:rsidR="002A4728" w:rsidRPr="002A4728" w:rsidRDefault="0046308C" w:rsidP="002A4728">
            <w:pPr>
              <w:spacing w:after="0" w:line="240" w:lineRule="auto"/>
              <w:jc w:val="center"/>
              <w:rPr>
                <w:rFonts w:ascii="Calibri" w:eastAsia="Times New Roman" w:hAnsi="Calibri" w:cs="Calibri"/>
                <w:color w:val="000000"/>
                <w:lang w:eastAsia="en-GB"/>
              </w:rPr>
            </w:pPr>
            <w:r>
              <w:rPr>
                <w:rFonts w:ascii="Calibri" w:hAnsi="Calibri" w:cs="Calibri"/>
                <w:color w:val="000000"/>
              </w:rPr>
              <w:t>3</w:t>
            </w:r>
            <w:r w:rsidR="00E61032">
              <w:rPr>
                <w:rFonts w:ascii="Calibri" w:hAnsi="Calibri" w:cs="Calibri"/>
                <w:color w:val="000000"/>
              </w:rPr>
              <w:t>9.0</w:t>
            </w:r>
          </w:p>
        </w:tc>
        <w:tc>
          <w:tcPr>
            <w:tcW w:w="2231" w:type="dxa"/>
            <w:tcBorders>
              <w:top w:val="nil"/>
              <w:left w:val="nil"/>
              <w:bottom w:val="single" w:sz="4" w:space="0" w:color="auto"/>
              <w:right w:val="single" w:sz="4" w:space="0" w:color="auto"/>
            </w:tcBorders>
            <w:noWrap/>
            <w:vAlign w:val="bottom"/>
            <w:hideMark/>
          </w:tcPr>
          <w:p w14:paraId="75850BB7" w14:textId="79E53A1C" w:rsidR="002A4728" w:rsidRPr="002A4728" w:rsidRDefault="0046308C" w:rsidP="002A4728">
            <w:pPr>
              <w:spacing w:after="0" w:line="240" w:lineRule="auto"/>
              <w:jc w:val="center"/>
              <w:rPr>
                <w:rFonts w:ascii="Calibri" w:eastAsia="Times New Roman" w:hAnsi="Calibri" w:cs="Calibri"/>
                <w:color w:val="000000"/>
                <w:lang w:eastAsia="en-GB"/>
              </w:rPr>
            </w:pPr>
            <w:r>
              <w:rPr>
                <w:rFonts w:ascii="Calibri" w:hAnsi="Calibri" w:cs="Calibri"/>
                <w:color w:val="000000"/>
              </w:rPr>
              <w:t>37.5</w:t>
            </w:r>
          </w:p>
        </w:tc>
        <w:tc>
          <w:tcPr>
            <w:tcW w:w="2232" w:type="dxa"/>
            <w:tcBorders>
              <w:top w:val="nil"/>
              <w:left w:val="nil"/>
              <w:bottom w:val="single" w:sz="4" w:space="0" w:color="auto"/>
              <w:right w:val="single" w:sz="4" w:space="0" w:color="auto"/>
            </w:tcBorders>
            <w:noWrap/>
            <w:vAlign w:val="bottom"/>
            <w:hideMark/>
          </w:tcPr>
          <w:p w14:paraId="0C1F6099" w14:textId="5F50AF7A" w:rsidR="002A4728" w:rsidRPr="002A4728" w:rsidRDefault="0046308C" w:rsidP="002A4728">
            <w:pPr>
              <w:spacing w:after="0" w:line="240" w:lineRule="auto"/>
              <w:jc w:val="center"/>
              <w:rPr>
                <w:rFonts w:ascii="Calibri" w:eastAsia="Times New Roman" w:hAnsi="Calibri" w:cs="Calibri"/>
                <w:color w:val="000000"/>
                <w:lang w:eastAsia="en-GB"/>
              </w:rPr>
            </w:pPr>
            <w:r>
              <w:rPr>
                <w:rFonts w:ascii="Calibri" w:hAnsi="Calibri" w:cs="Calibri"/>
                <w:color w:val="000000"/>
              </w:rPr>
              <w:t>3</w:t>
            </w:r>
            <w:r w:rsidR="00E61032">
              <w:rPr>
                <w:rFonts w:ascii="Calibri" w:hAnsi="Calibri" w:cs="Calibri"/>
                <w:color w:val="000000"/>
              </w:rPr>
              <w:t>7.6</w:t>
            </w:r>
          </w:p>
        </w:tc>
      </w:tr>
      <w:tr w:rsidR="002A4728" w:rsidRPr="005E2D49" w14:paraId="68B4E861" w14:textId="77777777" w:rsidTr="0089738F">
        <w:trPr>
          <w:trHeight w:val="300"/>
        </w:trPr>
        <w:tc>
          <w:tcPr>
            <w:tcW w:w="2231" w:type="dxa"/>
            <w:tcBorders>
              <w:top w:val="nil"/>
              <w:left w:val="single" w:sz="4" w:space="0" w:color="auto"/>
              <w:bottom w:val="single" w:sz="4" w:space="0" w:color="auto"/>
              <w:right w:val="single" w:sz="4" w:space="0" w:color="auto"/>
            </w:tcBorders>
            <w:noWrap/>
            <w:vAlign w:val="bottom"/>
            <w:hideMark/>
          </w:tcPr>
          <w:p w14:paraId="0EDEF455" w14:textId="77777777" w:rsidR="002A4728" w:rsidRPr="002A4728" w:rsidRDefault="002A4728" w:rsidP="002A4728">
            <w:pPr>
              <w:spacing w:after="0" w:line="240" w:lineRule="auto"/>
              <w:rPr>
                <w:rFonts w:ascii="Calibri" w:eastAsia="Times New Roman" w:hAnsi="Calibri" w:cs="Calibri"/>
                <w:color w:val="000000"/>
                <w:lang w:eastAsia="en-GB"/>
              </w:rPr>
            </w:pPr>
            <w:r w:rsidRPr="002A4728">
              <w:rPr>
                <w:rFonts w:ascii="Calibri" w:eastAsia="Times New Roman" w:hAnsi="Calibri" w:cs="Calibri"/>
                <w:color w:val="000000"/>
                <w:lang w:eastAsia="en-GB"/>
              </w:rPr>
              <w:t>All Employees</w:t>
            </w:r>
          </w:p>
        </w:tc>
        <w:tc>
          <w:tcPr>
            <w:tcW w:w="2232" w:type="dxa"/>
            <w:tcBorders>
              <w:top w:val="nil"/>
              <w:left w:val="nil"/>
              <w:bottom w:val="single" w:sz="4" w:space="0" w:color="auto"/>
              <w:right w:val="single" w:sz="4" w:space="0" w:color="auto"/>
            </w:tcBorders>
            <w:noWrap/>
            <w:vAlign w:val="bottom"/>
            <w:hideMark/>
          </w:tcPr>
          <w:p w14:paraId="1A5019E7" w14:textId="292E492B" w:rsidR="002A4728" w:rsidRPr="002A4728" w:rsidRDefault="002A4728" w:rsidP="002A4728">
            <w:pPr>
              <w:spacing w:after="0" w:line="240" w:lineRule="auto"/>
              <w:jc w:val="center"/>
              <w:rPr>
                <w:rFonts w:ascii="Calibri" w:eastAsia="Times New Roman" w:hAnsi="Calibri" w:cs="Calibri"/>
                <w:color w:val="000000"/>
                <w:lang w:eastAsia="en-GB"/>
              </w:rPr>
            </w:pPr>
            <w:r>
              <w:rPr>
                <w:rFonts w:ascii="Calibri" w:hAnsi="Calibri" w:cs="Calibri"/>
                <w:color w:val="000000"/>
              </w:rPr>
              <w:t>3</w:t>
            </w:r>
            <w:r w:rsidR="0046308C">
              <w:rPr>
                <w:rFonts w:ascii="Calibri" w:hAnsi="Calibri" w:cs="Calibri"/>
                <w:color w:val="000000"/>
              </w:rPr>
              <w:t>7.5</w:t>
            </w:r>
          </w:p>
        </w:tc>
        <w:tc>
          <w:tcPr>
            <w:tcW w:w="2231" w:type="dxa"/>
            <w:tcBorders>
              <w:top w:val="nil"/>
              <w:left w:val="nil"/>
              <w:bottom w:val="single" w:sz="4" w:space="0" w:color="auto"/>
              <w:right w:val="single" w:sz="4" w:space="0" w:color="auto"/>
            </w:tcBorders>
            <w:noWrap/>
            <w:vAlign w:val="bottom"/>
            <w:hideMark/>
          </w:tcPr>
          <w:p w14:paraId="0DFE6F2A" w14:textId="00B42280" w:rsidR="002A4728" w:rsidRPr="002A4728" w:rsidRDefault="002A4728" w:rsidP="002A4728">
            <w:pPr>
              <w:spacing w:after="0" w:line="240" w:lineRule="auto"/>
              <w:jc w:val="center"/>
              <w:rPr>
                <w:rFonts w:ascii="Calibri" w:eastAsia="Times New Roman" w:hAnsi="Calibri" w:cs="Calibri"/>
                <w:color w:val="000000"/>
                <w:lang w:eastAsia="en-GB"/>
              </w:rPr>
            </w:pPr>
            <w:r>
              <w:rPr>
                <w:rFonts w:ascii="Calibri" w:hAnsi="Calibri" w:cs="Calibri"/>
                <w:color w:val="000000"/>
              </w:rPr>
              <w:t>32.</w:t>
            </w:r>
            <w:r w:rsidR="00E61032">
              <w:rPr>
                <w:rFonts w:ascii="Calibri" w:hAnsi="Calibri" w:cs="Calibri"/>
                <w:color w:val="000000"/>
              </w:rPr>
              <w:t>9</w:t>
            </w:r>
          </w:p>
        </w:tc>
        <w:tc>
          <w:tcPr>
            <w:tcW w:w="2232" w:type="dxa"/>
            <w:tcBorders>
              <w:top w:val="nil"/>
              <w:left w:val="nil"/>
              <w:bottom w:val="single" w:sz="4" w:space="0" w:color="auto"/>
              <w:right w:val="single" w:sz="4" w:space="0" w:color="auto"/>
            </w:tcBorders>
            <w:noWrap/>
            <w:vAlign w:val="bottom"/>
            <w:hideMark/>
          </w:tcPr>
          <w:p w14:paraId="74FB533B" w14:textId="3B9AA835" w:rsidR="002A4728" w:rsidRPr="002A4728" w:rsidRDefault="0046308C" w:rsidP="002A4728">
            <w:pPr>
              <w:spacing w:after="0" w:line="240" w:lineRule="auto"/>
              <w:jc w:val="center"/>
              <w:rPr>
                <w:rFonts w:ascii="Calibri" w:eastAsia="Times New Roman" w:hAnsi="Calibri" w:cs="Calibri"/>
                <w:color w:val="000000"/>
                <w:lang w:eastAsia="en-GB"/>
              </w:rPr>
            </w:pPr>
            <w:r>
              <w:rPr>
                <w:rFonts w:ascii="Calibri" w:hAnsi="Calibri" w:cs="Calibri"/>
                <w:color w:val="000000"/>
              </w:rPr>
              <w:t>3</w:t>
            </w:r>
            <w:r w:rsidR="00E61032">
              <w:rPr>
                <w:rFonts w:ascii="Calibri" w:hAnsi="Calibri" w:cs="Calibri"/>
                <w:color w:val="000000"/>
              </w:rPr>
              <w:t>7.3</w:t>
            </w:r>
          </w:p>
        </w:tc>
      </w:tr>
    </w:tbl>
    <w:p w14:paraId="7E2330A0" w14:textId="3EE0BEA0" w:rsidR="00111BAE" w:rsidRPr="002A4728" w:rsidRDefault="000F52DC" w:rsidP="00111BAE">
      <w:pPr>
        <w:rPr>
          <w:i/>
          <w:sz w:val="20"/>
          <w:szCs w:val="20"/>
        </w:rPr>
      </w:pPr>
      <w:r w:rsidRPr="002A4728">
        <w:rPr>
          <w:i/>
          <w:sz w:val="20"/>
          <w:szCs w:val="20"/>
        </w:rPr>
        <w:t xml:space="preserve">Figure </w:t>
      </w:r>
      <w:r w:rsidR="00D837B4" w:rsidRPr="002A4728">
        <w:rPr>
          <w:i/>
          <w:sz w:val="20"/>
          <w:szCs w:val="20"/>
        </w:rPr>
        <w:t>2</w:t>
      </w:r>
      <w:r w:rsidRPr="002A4728">
        <w:rPr>
          <w:i/>
          <w:sz w:val="20"/>
          <w:szCs w:val="20"/>
        </w:rPr>
        <w:t>: Median weekly paid hours by place of work, working pattern and gender in Armagh City, Banbridge and Craigavon Borough 202</w:t>
      </w:r>
      <w:r w:rsidR="0046308C">
        <w:rPr>
          <w:i/>
          <w:sz w:val="20"/>
          <w:szCs w:val="20"/>
        </w:rPr>
        <w:t>5</w:t>
      </w:r>
      <w:r w:rsidRPr="002A4728">
        <w:rPr>
          <w:i/>
          <w:sz w:val="20"/>
          <w:szCs w:val="20"/>
        </w:rPr>
        <w:t>. Source: Annual Survey of Hours and Earnings, NISRA.</w:t>
      </w:r>
      <w:r w:rsidR="00111BAE" w:rsidRPr="002A4728">
        <w:rPr>
          <w:i/>
          <w:sz w:val="20"/>
          <w:szCs w:val="20"/>
        </w:rPr>
        <w:t xml:space="preserve"> Note: </w:t>
      </w:r>
      <w:r w:rsidR="00111BAE" w:rsidRPr="002A4728">
        <w:rPr>
          <w:rFonts w:ascii="Calibri" w:hAnsi="Calibri" w:cs="Calibri"/>
          <w:i/>
          <w:sz w:val="20"/>
          <w:szCs w:val="20"/>
          <w:shd w:val="clear" w:color="auto" w:fill="FFFFFF"/>
        </w:rPr>
        <w:t xml:space="preserve">The colour coding within the tables indicates the quality of each estimate based on the coefficient of variation (CV) of that estimate. The reliability of these estimates is illustrated in the Key.  </w:t>
      </w:r>
    </w:p>
    <w:p w14:paraId="270D5426" w14:textId="77777777" w:rsidR="00111BAE" w:rsidRPr="002A4728" w:rsidRDefault="00111BAE" w:rsidP="00111BAE">
      <w:pPr>
        <w:rPr>
          <w:b/>
          <w:i/>
        </w:rPr>
      </w:pPr>
      <w:r w:rsidRPr="002A4728">
        <w:rPr>
          <w:b/>
          <w:i/>
        </w:rPr>
        <w:t>Key:</w:t>
      </w:r>
    </w:p>
    <w:tbl>
      <w:tblPr>
        <w:tblW w:w="1980" w:type="dxa"/>
        <w:tblLook w:val="04A0" w:firstRow="1" w:lastRow="0" w:firstColumn="1" w:lastColumn="0" w:noHBand="0" w:noVBand="1"/>
      </w:tblPr>
      <w:tblGrid>
        <w:gridCol w:w="1980"/>
      </w:tblGrid>
      <w:tr w:rsidR="00111BAE" w:rsidRPr="002A4728" w14:paraId="5E217D0F" w14:textId="77777777" w:rsidTr="007C4087">
        <w:trPr>
          <w:trHeight w:val="30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4562108B" w14:textId="77777777" w:rsidR="00111BAE" w:rsidRPr="002A4728" w:rsidRDefault="00111BAE" w:rsidP="007C4087">
            <w:pPr>
              <w:spacing w:after="0" w:line="240" w:lineRule="auto"/>
              <w:rPr>
                <w:rFonts w:ascii="Calibri" w:eastAsia="Times New Roman" w:hAnsi="Calibri" w:cs="Calibri"/>
                <w:color w:val="000000"/>
                <w:lang w:eastAsia="en-GB"/>
              </w:rPr>
            </w:pPr>
            <w:r w:rsidRPr="002A4728">
              <w:rPr>
                <w:rFonts w:ascii="Calibri" w:eastAsia="Times New Roman" w:hAnsi="Calibri" w:cs="Calibri"/>
                <w:color w:val="000000"/>
                <w:lang w:eastAsia="en-GB"/>
              </w:rPr>
              <w:t>Precise</w:t>
            </w:r>
          </w:p>
        </w:tc>
      </w:tr>
      <w:tr w:rsidR="00111BAE" w:rsidRPr="002A4728" w14:paraId="15E33442" w14:textId="77777777" w:rsidTr="00A51DA9">
        <w:trPr>
          <w:trHeight w:val="300"/>
        </w:trPr>
        <w:tc>
          <w:tcPr>
            <w:tcW w:w="198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45C79D1D" w14:textId="77777777" w:rsidR="00111BAE" w:rsidRPr="002A4728" w:rsidRDefault="00111BAE" w:rsidP="007C4087">
            <w:pPr>
              <w:spacing w:after="0" w:line="240" w:lineRule="auto"/>
              <w:rPr>
                <w:rFonts w:ascii="Calibri" w:eastAsia="Times New Roman" w:hAnsi="Calibri" w:cs="Calibri"/>
                <w:color w:val="000000"/>
                <w:lang w:eastAsia="en-GB"/>
              </w:rPr>
            </w:pPr>
            <w:r w:rsidRPr="002A4728">
              <w:rPr>
                <w:rFonts w:ascii="Calibri" w:eastAsia="Times New Roman" w:hAnsi="Calibri" w:cs="Calibri"/>
                <w:color w:val="000000"/>
                <w:lang w:eastAsia="en-GB"/>
              </w:rPr>
              <w:t>Reasonably Precise</w:t>
            </w:r>
          </w:p>
        </w:tc>
      </w:tr>
      <w:tr w:rsidR="00111BAE" w:rsidRPr="002A4728" w14:paraId="0892BFA4" w14:textId="77777777" w:rsidTr="00A51DA9">
        <w:trPr>
          <w:trHeight w:val="300"/>
        </w:trPr>
        <w:tc>
          <w:tcPr>
            <w:tcW w:w="1980" w:type="dxa"/>
            <w:tcBorders>
              <w:top w:val="nil"/>
              <w:left w:val="single" w:sz="4" w:space="0" w:color="auto"/>
              <w:bottom w:val="single" w:sz="4" w:space="0" w:color="auto"/>
              <w:right w:val="single" w:sz="4" w:space="0" w:color="auto"/>
            </w:tcBorders>
            <w:shd w:val="clear" w:color="auto" w:fill="9CC2E5" w:themeFill="accent1" w:themeFillTint="99"/>
            <w:noWrap/>
            <w:vAlign w:val="bottom"/>
            <w:hideMark/>
          </w:tcPr>
          <w:p w14:paraId="48588FD5" w14:textId="77777777" w:rsidR="00111BAE" w:rsidRPr="002A4728" w:rsidRDefault="00111BAE" w:rsidP="007C4087">
            <w:pPr>
              <w:spacing w:after="0" w:line="240" w:lineRule="auto"/>
              <w:rPr>
                <w:rFonts w:ascii="Calibri" w:eastAsia="Times New Roman" w:hAnsi="Calibri" w:cs="Calibri"/>
                <w:color w:val="000000"/>
                <w:lang w:eastAsia="en-GB"/>
              </w:rPr>
            </w:pPr>
            <w:r w:rsidRPr="002A4728">
              <w:rPr>
                <w:rFonts w:ascii="Calibri" w:eastAsia="Times New Roman" w:hAnsi="Calibri" w:cs="Calibri"/>
                <w:color w:val="000000"/>
                <w:lang w:eastAsia="en-GB"/>
              </w:rPr>
              <w:t>Acceptable</w:t>
            </w:r>
          </w:p>
        </w:tc>
      </w:tr>
      <w:tr w:rsidR="0093018D" w:rsidRPr="00D76D6D" w14:paraId="288682D5" w14:textId="77777777" w:rsidTr="0093018D">
        <w:trPr>
          <w:trHeight w:val="300"/>
        </w:trPr>
        <w:tc>
          <w:tcPr>
            <w:tcW w:w="1980" w:type="dxa"/>
            <w:tcBorders>
              <w:top w:val="nil"/>
              <w:left w:val="single" w:sz="4" w:space="0" w:color="auto"/>
              <w:bottom w:val="single" w:sz="4" w:space="0" w:color="auto"/>
              <w:right w:val="single" w:sz="4" w:space="0" w:color="auto"/>
            </w:tcBorders>
            <w:noWrap/>
            <w:vAlign w:val="bottom"/>
            <w:hideMark/>
          </w:tcPr>
          <w:p w14:paraId="49504C28" w14:textId="77777777" w:rsidR="0093018D" w:rsidRPr="00814B33" w:rsidRDefault="0093018D" w:rsidP="00F12BAF">
            <w:pPr>
              <w:spacing w:after="0" w:line="240" w:lineRule="auto"/>
              <w:rPr>
                <w:rFonts w:ascii="Calibri" w:eastAsia="Times New Roman" w:hAnsi="Calibri" w:cs="Calibri"/>
                <w:color w:val="000000"/>
                <w:lang w:eastAsia="en-GB"/>
              </w:rPr>
            </w:pPr>
            <w:r w:rsidRPr="00814B33">
              <w:rPr>
                <w:rFonts w:ascii="Calibri" w:eastAsia="Times New Roman" w:hAnsi="Calibri" w:cs="Calibri"/>
                <w:color w:val="000000"/>
                <w:lang w:eastAsia="en-GB"/>
              </w:rPr>
              <w:t>(u) Unreliable</w:t>
            </w:r>
          </w:p>
        </w:tc>
      </w:tr>
    </w:tbl>
    <w:p w14:paraId="1A7C6C99" w14:textId="77777777" w:rsidR="00402AE1" w:rsidRPr="002A4728" w:rsidRDefault="00402AE1" w:rsidP="00111BAE"/>
    <w:p w14:paraId="3D666787" w14:textId="1E452A78" w:rsidR="00D17C66" w:rsidRDefault="00111BAE" w:rsidP="00111BAE">
      <w:r w:rsidRPr="00A51DA9">
        <w:t>When we look at total hours worked by place of residence, the median weekly hours worked for males working part time increases</w:t>
      </w:r>
      <w:r w:rsidR="00E70298">
        <w:t xml:space="preserve"> slightly </w:t>
      </w:r>
      <w:r w:rsidRPr="00A51DA9">
        <w:t xml:space="preserve">while for females the total hours worked </w:t>
      </w:r>
      <w:r w:rsidR="00A51DA9" w:rsidRPr="00A51DA9">
        <w:t>part-time decreases slightly</w:t>
      </w:r>
      <w:r w:rsidRPr="00A51DA9">
        <w:t xml:space="preserve">.  </w:t>
      </w:r>
    </w:p>
    <w:p w14:paraId="53F17550" w14:textId="77777777" w:rsidR="000D494D" w:rsidRPr="00B20531" w:rsidRDefault="000D494D" w:rsidP="00111BAE"/>
    <w:tbl>
      <w:tblPr>
        <w:tblW w:w="8926" w:type="dxa"/>
        <w:tblLayout w:type="fixed"/>
        <w:tblLook w:val="04A0" w:firstRow="1" w:lastRow="0" w:firstColumn="1" w:lastColumn="0" w:noHBand="0" w:noVBand="1"/>
      </w:tblPr>
      <w:tblGrid>
        <w:gridCol w:w="2231"/>
        <w:gridCol w:w="2232"/>
        <w:gridCol w:w="2231"/>
        <w:gridCol w:w="2232"/>
      </w:tblGrid>
      <w:tr w:rsidR="00D17C66" w:rsidRPr="00A51DA9" w14:paraId="0CAAA93E" w14:textId="77777777" w:rsidTr="00637A56">
        <w:trPr>
          <w:trHeight w:val="300"/>
        </w:trPr>
        <w:tc>
          <w:tcPr>
            <w:tcW w:w="2231" w:type="dxa"/>
            <w:tcBorders>
              <w:top w:val="single" w:sz="4" w:space="0" w:color="auto"/>
              <w:left w:val="single" w:sz="4" w:space="0" w:color="auto"/>
              <w:bottom w:val="single" w:sz="4" w:space="0" w:color="auto"/>
              <w:right w:val="single" w:sz="4" w:space="0" w:color="auto"/>
            </w:tcBorders>
            <w:noWrap/>
            <w:vAlign w:val="bottom"/>
            <w:hideMark/>
          </w:tcPr>
          <w:p w14:paraId="2AE01F50" w14:textId="77777777" w:rsidR="00D17C66" w:rsidRPr="00A51DA9" w:rsidRDefault="00D17C66" w:rsidP="00637A56">
            <w:pPr>
              <w:spacing w:after="0" w:line="240" w:lineRule="auto"/>
              <w:rPr>
                <w:rFonts w:ascii="Calibri" w:eastAsia="Times New Roman" w:hAnsi="Calibri" w:cs="Calibri"/>
                <w:color w:val="000000"/>
                <w:lang w:eastAsia="en-GB"/>
              </w:rPr>
            </w:pPr>
            <w:r w:rsidRPr="00A51DA9">
              <w:rPr>
                <w:rFonts w:ascii="Calibri" w:eastAsia="Times New Roman" w:hAnsi="Calibri" w:cs="Calibri"/>
                <w:color w:val="000000"/>
                <w:lang w:eastAsia="en-GB"/>
              </w:rPr>
              <w:lastRenderedPageBreak/>
              <w:t> </w:t>
            </w:r>
          </w:p>
        </w:tc>
        <w:tc>
          <w:tcPr>
            <w:tcW w:w="2232" w:type="dxa"/>
            <w:tcBorders>
              <w:top w:val="single" w:sz="4" w:space="0" w:color="auto"/>
              <w:left w:val="nil"/>
              <w:bottom w:val="single" w:sz="4" w:space="0" w:color="auto"/>
              <w:right w:val="single" w:sz="4" w:space="0" w:color="auto"/>
            </w:tcBorders>
            <w:noWrap/>
            <w:vAlign w:val="bottom"/>
            <w:hideMark/>
          </w:tcPr>
          <w:p w14:paraId="731E1B79" w14:textId="77777777" w:rsidR="00D17C66" w:rsidRPr="00A51DA9" w:rsidRDefault="00D17C66" w:rsidP="00637A56">
            <w:pPr>
              <w:spacing w:after="0" w:line="240" w:lineRule="auto"/>
              <w:jc w:val="center"/>
              <w:rPr>
                <w:rFonts w:ascii="Calibri" w:eastAsia="Times New Roman" w:hAnsi="Calibri" w:cs="Calibri"/>
                <w:color w:val="000000"/>
                <w:lang w:eastAsia="en-GB"/>
              </w:rPr>
            </w:pPr>
            <w:r w:rsidRPr="00A51DA9">
              <w:rPr>
                <w:rFonts w:ascii="Calibri" w:eastAsia="Times New Roman" w:hAnsi="Calibri" w:cs="Calibri"/>
                <w:color w:val="000000"/>
                <w:lang w:eastAsia="en-GB"/>
              </w:rPr>
              <w:t>Male</w:t>
            </w:r>
          </w:p>
        </w:tc>
        <w:tc>
          <w:tcPr>
            <w:tcW w:w="2231" w:type="dxa"/>
            <w:tcBorders>
              <w:top w:val="single" w:sz="4" w:space="0" w:color="auto"/>
              <w:left w:val="nil"/>
              <w:bottom w:val="single" w:sz="4" w:space="0" w:color="auto"/>
              <w:right w:val="single" w:sz="4" w:space="0" w:color="auto"/>
            </w:tcBorders>
            <w:noWrap/>
            <w:vAlign w:val="bottom"/>
            <w:hideMark/>
          </w:tcPr>
          <w:p w14:paraId="6510E1DF" w14:textId="77777777" w:rsidR="00D17C66" w:rsidRPr="00A51DA9" w:rsidRDefault="00D17C66" w:rsidP="00637A56">
            <w:pPr>
              <w:spacing w:after="0" w:line="240" w:lineRule="auto"/>
              <w:jc w:val="center"/>
              <w:rPr>
                <w:rFonts w:ascii="Calibri" w:eastAsia="Times New Roman" w:hAnsi="Calibri" w:cs="Calibri"/>
                <w:color w:val="000000"/>
                <w:lang w:eastAsia="en-GB"/>
              </w:rPr>
            </w:pPr>
            <w:r w:rsidRPr="00A51DA9">
              <w:rPr>
                <w:rFonts w:ascii="Calibri" w:eastAsia="Times New Roman" w:hAnsi="Calibri" w:cs="Calibri"/>
                <w:color w:val="000000"/>
                <w:lang w:eastAsia="en-GB"/>
              </w:rPr>
              <w:t>Female</w:t>
            </w:r>
          </w:p>
        </w:tc>
        <w:tc>
          <w:tcPr>
            <w:tcW w:w="2232" w:type="dxa"/>
            <w:tcBorders>
              <w:top w:val="single" w:sz="4" w:space="0" w:color="auto"/>
              <w:left w:val="nil"/>
              <w:bottom w:val="single" w:sz="4" w:space="0" w:color="auto"/>
              <w:right w:val="single" w:sz="4" w:space="0" w:color="auto"/>
            </w:tcBorders>
            <w:noWrap/>
            <w:vAlign w:val="bottom"/>
            <w:hideMark/>
          </w:tcPr>
          <w:p w14:paraId="53B61E06" w14:textId="77777777" w:rsidR="00D17C66" w:rsidRPr="00A51DA9" w:rsidRDefault="00D17C66" w:rsidP="00637A56">
            <w:pPr>
              <w:spacing w:after="0" w:line="240" w:lineRule="auto"/>
              <w:jc w:val="center"/>
              <w:rPr>
                <w:rFonts w:ascii="Calibri" w:eastAsia="Times New Roman" w:hAnsi="Calibri" w:cs="Calibri"/>
                <w:color w:val="000000"/>
                <w:lang w:eastAsia="en-GB"/>
              </w:rPr>
            </w:pPr>
            <w:r w:rsidRPr="00A51DA9">
              <w:rPr>
                <w:rFonts w:ascii="Calibri" w:eastAsia="Times New Roman" w:hAnsi="Calibri" w:cs="Calibri"/>
                <w:color w:val="000000"/>
                <w:lang w:eastAsia="en-GB"/>
              </w:rPr>
              <w:t>Total</w:t>
            </w:r>
          </w:p>
        </w:tc>
      </w:tr>
      <w:tr w:rsidR="00A51DA9" w:rsidRPr="00A51DA9" w14:paraId="2ED6909D" w14:textId="77777777" w:rsidTr="00A51DA9">
        <w:trPr>
          <w:trHeight w:val="300"/>
        </w:trPr>
        <w:tc>
          <w:tcPr>
            <w:tcW w:w="2231" w:type="dxa"/>
            <w:tcBorders>
              <w:top w:val="nil"/>
              <w:left w:val="single" w:sz="4" w:space="0" w:color="auto"/>
              <w:bottom w:val="single" w:sz="4" w:space="0" w:color="auto"/>
              <w:right w:val="single" w:sz="4" w:space="0" w:color="auto"/>
            </w:tcBorders>
            <w:noWrap/>
            <w:vAlign w:val="bottom"/>
            <w:hideMark/>
          </w:tcPr>
          <w:p w14:paraId="0A2B79EE" w14:textId="77777777" w:rsidR="00A51DA9" w:rsidRPr="00A51DA9" w:rsidRDefault="00A51DA9" w:rsidP="00A51DA9">
            <w:pPr>
              <w:spacing w:after="0" w:line="240" w:lineRule="auto"/>
              <w:rPr>
                <w:rFonts w:ascii="Calibri" w:eastAsia="Times New Roman" w:hAnsi="Calibri" w:cs="Calibri"/>
                <w:color w:val="000000"/>
                <w:lang w:eastAsia="en-GB"/>
              </w:rPr>
            </w:pPr>
            <w:r w:rsidRPr="00A51DA9">
              <w:rPr>
                <w:rFonts w:ascii="Calibri" w:eastAsia="Times New Roman" w:hAnsi="Calibri" w:cs="Calibri"/>
                <w:color w:val="000000"/>
                <w:lang w:eastAsia="en-GB"/>
              </w:rPr>
              <w:t>Part-time</w:t>
            </w:r>
          </w:p>
        </w:tc>
        <w:tc>
          <w:tcPr>
            <w:tcW w:w="2232" w:type="dxa"/>
            <w:tcBorders>
              <w:top w:val="nil"/>
              <w:left w:val="nil"/>
              <w:bottom w:val="single" w:sz="4" w:space="0" w:color="auto"/>
              <w:right w:val="single" w:sz="4" w:space="0" w:color="auto"/>
            </w:tcBorders>
            <w:shd w:val="clear" w:color="auto" w:fill="9CC2E5" w:themeFill="accent1" w:themeFillTint="99"/>
            <w:noWrap/>
            <w:vAlign w:val="bottom"/>
            <w:hideMark/>
          </w:tcPr>
          <w:p w14:paraId="40F16119" w14:textId="261C1257" w:rsidR="00A51DA9" w:rsidRPr="00A51DA9" w:rsidRDefault="00A51DA9" w:rsidP="00A51DA9">
            <w:pPr>
              <w:spacing w:after="0" w:line="240" w:lineRule="auto"/>
              <w:jc w:val="center"/>
              <w:rPr>
                <w:rFonts w:ascii="Calibri" w:eastAsia="Times New Roman" w:hAnsi="Calibri" w:cs="Calibri"/>
                <w:color w:val="000000"/>
                <w:lang w:eastAsia="en-GB"/>
              </w:rPr>
            </w:pPr>
            <w:r w:rsidRPr="00A51DA9">
              <w:rPr>
                <w:rFonts w:ascii="Calibri" w:hAnsi="Calibri" w:cs="Calibri"/>
                <w:color w:val="000000"/>
              </w:rPr>
              <w:t>1</w:t>
            </w:r>
            <w:r w:rsidR="00B20531">
              <w:rPr>
                <w:rFonts w:ascii="Calibri" w:hAnsi="Calibri" w:cs="Calibri"/>
                <w:color w:val="000000"/>
              </w:rPr>
              <w:t>7.8</w:t>
            </w:r>
          </w:p>
        </w:tc>
        <w:tc>
          <w:tcPr>
            <w:tcW w:w="2231" w:type="dxa"/>
            <w:tcBorders>
              <w:top w:val="nil"/>
              <w:left w:val="nil"/>
              <w:bottom w:val="single" w:sz="4" w:space="0" w:color="auto"/>
              <w:right w:val="single" w:sz="4" w:space="0" w:color="auto"/>
            </w:tcBorders>
            <w:shd w:val="clear" w:color="auto" w:fill="DEEAF6" w:themeFill="accent1" w:themeFillTint="33"/>
            <w:noWrap/>
            <w:vAlign w:val="bottom"/>
            <w:hideMark/>
          </w:tcPr>
          <w:p w14:paraId="0726DA6C" w14:textId="123A8B4A" w:rsidR="00A51DA9" w:rsidRPr="00A51DA9" w:rsidRDefault="00A51DA9" w:rsidP="00A51DA9">
            <w:pPr>
              <w:spacing w:after="0" w:line="240" w:lineRule="auto"/>
              <w:jc w:val="center"/>
              <w:rPr>
                <w:rFonts w:ascii="Calibri" w:eastAsia="Times New Roman" w:hAnsi="Calibri" w:cs="Calibri"/>
                <w:color w:val="000000"/>
                <w:lang w:eastAsia="en-GB"/>
              </w:rPr>
            </w:pPr>
            <w:r w:rsidRPr="00A51DA9">
              <w:rPr>
                <w:rFonts w:ascii="Calibri" w:hAnsi="Calibri" w:cs="Calibri"/>
                <w:color w:val="000000"/>
              </w:rPr>
              <w:t>2</w:t>
            </w:r>
            <w:r w:rsidR="00B20531">
              <w:rPr>
                <w:rFonts w:ascii="Calibri" w:hAnsi="Calibri" w:cs="Calibri"/>
                <w:color w:val="000000"/>
              </w:rPr>
              <w:t>0.0</w:t>
            </w:r>
          </w:p>
        </w:tc>
        <w:tc>
          <w:tcPr>
            <w:tcW w:w="2232" w:type="dxa"/>
            <w:tcBorders>
              <w:top w:val="nil"/>
              <w:left w:val="nil"/>
              <w:bottom w:val="single" w:sz="4" w:space="0" w:color="auto"/>
              <w:right w:val="single" w:sz="4" w:space="0" w:color="auto"/>
            </w:tcBorders>
            <w:shd w:val="clear" w:color="auto" w:fill="DEEAF6" w:themeFill="accent1" w:themeFillTint="33"/>
            <w:noWrap/>
            <w:vAlign w:val="bottom"/>
            <w:hideMark/>
          </w:tcPr>
          <w:p w14:paraId="789608A5" w14:textId="2D6804C6" w:rsidR="00A51DA9" w:rsidRPr="00A51DA9" w:rsidRDefault="00B20531" w:rsidP="00A51DA9">
            <w:pPr>
              <w:spacing w:after="0" w:line="240" w:lineRule="auto"/>
              <w:jc w:val="center"/>
              <w:rPr>
                <w:rFonts w:ascii="Calibri" w:eastAsia="Times New Roman" w:hAnsi="Calibri" w:cs="Calibri"/>
                <w:color w:val="000000"/>
                <w:lang w:eastAsia="en-GB"/>
              </w:rPr>
            </w:pPr>
            <w:r>
              <w:rPr>
                <w:rFonts w:ascii="Calibri" w:hAnsi="Calibri" w:cs="Calibri"/>
                <w:color w:val="000000"/>
              </w:rPr>
              <w:t>1</w:t>
            </w:r>
            <w:r w:rsidR="00E70298">
              <w:rPr>
                <w:rFonts w:ascii="Calibri" w:hAnsi="Calibri" w:cs="Calibri"/>
                <w:color w:val="000000"/>
              </w:rPr>
              <w:t>9.5</w:t>
            </w:r>
          </w:p>
        </w:tc>
      </w:tr>
      <w:tr w:rsidR="00A51DA9" w:rsidRPr="00A51DA9" w14:paraId="4C73CC64" w14:textId="77777777" w:rsidTr="00637A56">
        <w:trPr>
          <w:trHeight w:val="300"/>
        </w:trPr>
        <w:tc>
          <w:tcPr>
            <w:tcW w:w="2231" w:type="dxa"/>
            <w:tcBorders>
              <w:top w:val="nil"/>
              <w:left w:val="single" w:sz="4" w:space="0" w:color="auto"/>
              <w:bottom w:val="single" w:sz="4" w:space="0" w:color="auto"/>
              <w:right w:val="single" w:sz="4" w:space="0" w:color="auto"/>
            </w:tcBorders>
            <w:noWrap/>
            <w:vAlign w:val="bottom"/>
            <w:hideMark/>
          </w:tcPr>
          <w:p w14:paraId="78769573" w14:textId="77777777" w:rsidR="00A51DA9" w:rsidRPr="00A51DA9" w:rsidRDefault="00A51DA9" w:rsidP="00A51DA9">
            <w:pPr>
              <w:spacing w:after="0" w:line="240" w:lineRule="auto"/>
              <w:rPr>
                <w:rFonts w:ascii="Calibri" w:eastAsia="Times New Roman" w:hAnsi="Calibri" w:cs="Calibri"/>
                <w:color w:val="000000"/>
                <w:lang w:eastAsia="en-GB"/>
              </w:rPr>
            </w:pPr>
            <w:r w:rsidRPr="00A51DA9">
              <w:rPr>
                <w:rFonts w:ascii="Calibri" w:eastAsia="Times New Roman" w:hAnsi="Calibri" w:cs="Calibri"/>
                <w:color w:val="000000"/>
                <w:lang w:eastAsia="en-GB"/>
              </w:rPr>
              <w:t>Full-time</w:t>
            </w:r>
          </w:p>
        </w:tc>
        <w:tc>
          <w:tcPr>
            <w:tcW w:w="2232" w:type="dxa"/>
            <w:tcBorders>
              <w:top w:val="nil"/>
              <w:left w:val="nil"/>
              <w:bottom w:val="single" w:sz="4" w:space="0" w:color="auto"/>
              <w:right w:val="single" w:sz="4" w:space="0" w:color="auto"/>
            </w:tcBorders>
            <w:noWrap/>
            <w:vAlign w:val="bottom"/>
            <w:hideMark/>
          </w:tcPr>
          <w:p w14:paraId="78504261" w14:textId="7CF3E1BC" w:rsidR="00A51DA9" w:rsidRPr="00A51DA9" w:rsidRDefault="00B20531" w:rsidP="00A51DA9">
            <w:pPr>
              <w:spacing w:after="0" w:line="240" w:lineRule="auto"/>
              <w:jc w:val="center"/>
              <w:rPr>
                <w:rFonts w:ascii="Calibri" w:eastAsia="Times New Roman" w:hAnsi="Calibri" w:cs="Calibri"/>
                <w:color w:val="000000"/>
                <w:lang w:eastAsia="en-GB"/>
              </w:rPr>
            </w:pPr>
            <w:r>
              <w:rPr>
                <w:rFonts w:ascii="Calibri" w:hAnsi="Calibri" w:cs="Calibri"/>
                <w:color w:val="000000"/>
              </w:rPr>
              <w:t>39.0</w:t>
            </w:r>
          </w:p>
        </w:tc>
        <w:tc>
          <w:tcPr>
            <w:tcW w:w="2231" w:type="dxa"/>
            <w:tcBorders>
              <w:top w:val="nil"/>
              <w:left w:val="nil"/>
              <w:bottom w:val="single" w:sz="4" w:space="0" w:color="auto"/>
              <w:right w:val="single" w:sz="4" w:space="0" w:color="auto"/>
            </w:tcBorders>
            <w:noWrap/>
            <w:vAlign w:val="bottom"/>
            <w:hideMark/>
          </w:tcPr>
          <w:p w14:paraId="3A0F68C4" w14:textId="6B1F8FBE" w:rsidR="00A51DA9" w:rsidRPr="00A51DA9" w:rsidRDefault="00A51DA9" w:rsidP="00A51DA9">
            <w:pPr>
              <w:spacing w:after="0" w:line="240" w:lineRule="auto"/>
              <w:jc w:val="center"/>
              <w:rPr>
                <w:rFonts w:ascii="Calibri" w:eastAsia="Times New Roman" w:hAnsi="Calibri" w:cs="Calibri"/>
                <w:color w:val="000000"/>
                <w:lang w:eastAsia="en-GB"/>
              </w:rPr>
            </w:pPr>
            <w:r w:rsidRPr="00A51DA9">
              <w:rPr>
                <w:rFonts w:ascii="Calibri" w:hAnsi="Calibri" w:cs="Calibri"/>
                <w:color w:val="000000"/>
              </w:rPr>
              <w:t>37.5</w:t>
            </w:r>
          </w:p>
        </w:tc>
        <w:tc>
          <w:tcPr>
            <w:tcW w:w="2232" w:type="dxa"/>
            <w:tcBorders>
              <w:top w:val="nil"/>
              <w:left w:val="nil"/>
              <w:bottom w:val="single" w:sz="4" w:space="0" w:color="auto"/>
              <w:right w:val="single" w:sz="4" w:space="0" w:color="auto"/>
            </w:tcBorders>
            <w:noWrap/>
            <w:vAlign w:val="bottom"/>
            <w:hideMark/>
          </w:tcPr>
          <w:p w14:paraId="7C3305D6" w14:textId="3681786E" w:rsidR="00A51DA9" w:rsidRPr="00A51DA9" w:rsidRDefault="00A51DA9" w:rsidP="00A51DA9">
            <w:pPr>
              <w:spacing w:after="0" w:line="240" w:lineRule="auto"/>
              <w:jc w:val="center"/>
              <w:rPr>
                <w:rFonts w:ascii="Calibri" w:eastAsia="Times New Roman" w:hAnsi="Calibri" w:cs="Calibri"/>
                <w:color w:val="000000"/>
                <w:lang w:eastAsia="en-GB"/>
              </w:rPr>
            </w:pPr>
            <w:r w:rsidRPr="00A51DA9">
              <w:rPr>
                <w:rFonts w:ascii="Calibri" w:hAnsi="Calibri" w:cs="Calibri"/>
                <w:color w:val="000000"/>
              </w:rPr>
              <w:t>3</w:t>
            </w:r>
            <w:r w:rsidR="00E70298">
              <w:rPr>
                <w:rFonts w:ascii="Calibri" w:hAnsi="Calibri" w:cs="Calibri"/>
                <w:color w:val="000000"/>
              </w:rPr>
              <w:t>7.5</w:t>
            </w:r>
          </w:p>
        </w:tc>
      </w:tr>
      <w:tr w:rsidR="00A51DA9" w:rsidRPr="005E2D49" w14:paraId="5ECFCAF1" w14:textId="77777777" w:rsidTr="00637A56">
        <w:trPr>
          <w:trHeight w:val="300"/>
        </w:trPr>
        <w:tc>
          <w:tcPr>
            <w:tcW w:w="2231" w:type="dxa"/>
            <w:tcBorders>
              <w:top w:val="nil"/>
              <w:left w:val="single" w:sz="4" w:space="0" w:color="auto"/>
              <w:bottom w:val="single" w:sz="4" w:space="0" w:color="auto"/>
              <w:right w:val="single" w:sz="4" w:space="0" w:color="auto"/>
            </w:tcBorders>
            <w:noWrap/>
            <w:vAlign w:val="bottom"/>
            <w:hideMark/>
          </w:tcPr>
          <w:p w14:paraId="1174F6AA" w14:textId="77777777" w:rsidR="00A51DA9" w:rsidRPr="00A51DA9" w:rsidRDefault="00A51DA9" w:rsidP="00A51DA9">
            <w:pPr>
              <w:spacing w:after="0" w:line="240" w:lineRule="auto"/>
              <w:rPr>
                <w:rFonts w:ascii="Calibri" w:eastAsia="Times New Roman" w:hAnsi="Calibri" w:cs="Calibri"/>
                <w:color w:val="000000"/>
                <w:lang w:eastAsia="en-GB"/>
              </w:rPr>
            </w:pPr>
            <w:r w:rsidRPr="00A51DA9">
              <w:rPr>
                <w:rFonts w:ascii="Calibri" w:eastAsia="Times New Roman" w:hAnsi="Calibri" w:cs="Calibri"/>
                <w:color w:val="000000"/>
                <w:lang w:eastAsia="en-GB"/>
              </w:rPr>
              <w:t>All Employees</w:t>
            </w:r>
          </w:p>
        </w:tc>
        <w:tc>
          <w:tcPr>
            <w:tcW w:w="2232" w:type="dxa"/>
            <w:tcBorders>
              <w:top w:val="nil"/>
              <w:left w:val="nil"/>
              <w:bottom w:val="single" w:sz="4" w:space="0" w:color="auto"/>
              <w:right w:val="single" w:sz="4" w:space="0" w:color="auto"/>
            </w:tcBorders>
            <w:noWrap/>
            <w:vAlign w:val="bottom"/>
            <w:hideMark/>
          </w:tcPr>
          <w:p w14:paraId="4F27A588" w14:textId="405605E1" w:rsidR="00A51DA9" w:rsidRPr="00A51DA9" w:rsidRDefault="00A51DA9" w:rsidP="00A51DA9">
            <w:pPr>
              <w:spacing w:after="0" w:line="240" w:lineRule="auto"/>
              <w:jc w:val="center"/>
              <w:rPr>
                <w:rFonts w:ascii="Calibri" w:eastAsia="Times New Roman" w:hAnsi="Calibri" w:cs="Calibri"/>
                <w:color w:val="000000"/>
                <w:lang w:eastAsia="en-GB"/>
              </w:rPr>
            </w:pPr>
            <w:r w:rsidRPr="00A51DA9">
              <w:rPr>
                <w:rFonts w:ascii="Calibri" w:hAnsi="Calibri" w:cs="Calibri"/>
                <w:color w:val="000000"/>
              </w:rPr>
              <w:t>3</w:t>
            </w:r>
            <w:r w:rsidR="00B20531">
              <w:rPr>
                <w:rFonts w:ascii="Calibri" w:hAnsi="Calibri" w:cs="Calibri"/>
                <w:color w:val="000000"/>
              </w:rPr>
              <w:t>7.8</w:t>
            </w:r>
          </w:p>
        </w:tc>
        <w:tc>
          <w:tcPr>
            <w:tcW w:w="2231" w:type="dxa"/>
            <w:tcBorders>
              <w:top w:val="nil"/>
              <w:left w:val="nil"/>
              <w:bottom w:val="single" w:sz="4" w:space="0" w:color="auto"/>
              <w:right w:val="single" w:sz="4" w:space="0" w:color="auto"/>
            </w:tcBorders>
            <w:noWrap/>
            <w:vAlign w:val="bottom"/>
            <w:hideMark/>
          </w:tcPr>
          <w:p w14:paraId="3F064113" w14:textId="7F4FD6EE" w:rsidR="00A51DA9" w:rsidRPr="00A51DA9" w:rsidRDefault="00A51DA9" w:rsidP="00A51DA9">
            <w:pPr>
              <w:spacing w:after="0" w:line="240" w:lineRule="auto"/>
              <w:jc w:val="center"/>
              <w:rPr>
                <w:rFonts w:ascii="Calibri" w:eastAsia="Times New Roman" w:hAnsi="Calibri" w:cs="Calibri"/>
                <w:color w:val="000000"/>
                <w:lang w:eastAsia="en-GB"/>
              </w:rPr>
            </w:pPr>
            <w:r w:rsidRPr="00A51DA9">
              <w:rPr>
                <w:rFonts w:ascii="Calibri" w:hAnsi="Calibri" w:cs="Calibri"/>
                <w:color w:val="000000"/>
              </w:rPr>
              <w:t>3</w:t>
            </w:r>
            <w:r w:rsidR="00B20531">
              <w:rPr>
                <w:rFonts w:ascii="Calibri" w:hAnsi="Calibri" w:cs="Calibri"/>
                <w:color w:val="000000"/>
              </w:rPr>
              <w:t>3.0</w:t>
            </w:r>
          </w:p>
        </w:tc>
        <w:tc>
          <w:tcPr>
            <w:tcW w:w="2232" w:type="dxa"/>
            <w:tcBorders>
              <w:top w:val="nil"/>
              <w:left w:val="nil"/>
              <w:bottom w:val="single" w:sz="4" w:space="0" w:color="auto"/>
              <w:right w:val="single" w:sz="4" w:space="0" w:color="auto"/>
            </w:tcBorders>
            <w:noWrap/>
            <w:vAlign w:val="bottom"/>
            <w:hideMark/>
          </w:tcPr>
          <w:p w14:paraId="6DFB5A9A" w14:textId="6AAAF1B8" w:rsidR="00A51DA9" w:rsidRPr="00A51DA9" w:rsidRDefault="00B20531" w:rsidP="00A51DA9">
            <w:pPr>
              <w:spacing w:after="0" w:line="240" w:lineRule="auto"/>
              <w:jc w:val="center"/>
              <w:rPr>
                <w:rFonts w:ascii="Calibri" w:eastAsia="Times New Roman" w:hAnsi="Calibri" w:cs="Calibri"/>
                <w:color w:val="000000"/>
                <w:lang w:eastAsia="en-GB"/>
              </w:rPr>
            </w:pPr>
            <w:r>
              <w:rPr>
                <w:rFonts w:ascii="Calibri" w:hAnsi="Calibri" w:cs="Calibri"/>
                <w:color w:val="000000"/>
              </w:rPr>
              <w:t>3</w:t>
            </w:r>
            <w:r w:rsidR="00E70298">
              <w:rPr>
                <w:rFonts w:ascii="Calibri" w:hAnsi="Calibri" w:cs="Calibri"/>
                <w:color w:val="000000"/>
              </w:rPr>
              <w:t>7.3</w:t>
            </w:r>
          </w:p>
        </w:tc>
      </w:tr>
    </w:tbl>
    <w:p w14:paraId="52388795" w14:textId="097354AF" w:rsidR="00D17C66" w:rsidRPr="00A51DA9" w:rsidRDefault="00D17C66" w:rsidP="00D17C66">
      <w:pPr>
        <w:rPr>
          <w:i/>
          <w:sz w:val="20"/>
          <w:szCs w:val="20"/>
        </w:rPr>
      </w:pPr>
      <w:r w:rsidRPr="00A51DA9">
        <w:rPr>
          <w:i/>
          <w:sz w:val="20"/>
          <w:szCs w:val="20"/>
        </w:rPr>
        <w:t>Table 4: Median weekly paid hours by place of residence, working pattern and gender in Armagh City, Banbridge and Craigavon Borough 202</w:t>
      </w:r>
      <w:r w:rsidR="00B20531">
        <w:rPr>
          <w:i/>
          <w:sz w:val="20"/>
          <w:szCs w:val="20"/>
        </w:rPr>
        <w:t>5</w:t>
      </w:r>
      <w:r w:rsidRPr="00A51DA9">
        <w:rPr>
          <w:i/>
          <w:sz w:val="20"/>
          <w:szCs w:val="20"/>
        </w:rPr>
        <w:t xml:space="preserve">. Source: Annual Survey of Hours and Earnings, NISRA. Note: </w:t>
      </w:r>
      <w:r w:rsidRPr="00A51DA9">
        <w:rPr>
          <w:rFonts w:ascii="Calibri" w:hAnsi="Calibri" w:cs="Calibri"/>
          <w:i/>
          <w:sz w:val="20"/>
          <w:szCs w:val="20"/>
          <w:shd w:val="clear" w:color="auto" w:fill="FFFFFF"/>
        </w:rPr>
        <w:t>The colour coding within the tables indicates the quality of each estimate based on the coefficient of variation (CV) of that estimate. The reliability of these estimates is illustrated in the Key</w:t>
      </w:r>
      <w:r w:rsidR="00106920" w:rsidRPr="00A51DA9">
        <w:rPr>
          <w:rFonts w:ascii="Calibri" w:hAnsi="Calibri" w:cs="Calibri"/>
          <w:i/>
          <w:sz w:val="20"/>
          <w:szCs w:val="20"/>
          <w:shd w:val="clear" w:color="auto" w:fill="FFFFFF"/>
        </w:rPr>
        <w:t xml:space="preserve"> above</w:t>
      </w:r>
      <w:r w:rsidRPr="00A51DA9">
        <w:rPr>
          <w:rFonts w:ascii="Calibri" w:hAnsi="Calibri" w:cs="Calibri"/>
          <w:i/>
          <w:sz w:val="20"/>
          <w:szCs w:val="20"/>
          <w:shd w:val="clear" w:color="auto" w:fill="FFFFFF"/>
        </w:rPr>
        <w:t xml:space="preserve">.  </w:t>
      </w:r>
    </w:p>
    <w:p w14:paraId="2DD04B29" w14:textId="77777777" w:rsidR="00D17C66" w:rsidRPr="00A51DA9" w:rsidRDefault="00D17C66" w:rsidP="00111BAE"/>
    <w:p w14:paraId="53F2A15E" w14:textId="77777777" w:rsidR="006554B2" w:rsidRPr="00A51DA9" w:rsidRDefault="00FA7CCE" w:rsidP="00FA7CCE">
      <w:r w:rsidRPr="00A51DA9">
        <w:t>Further information on earnings can be found via the following link:</w:t>
      </w:r>
    </w:p>
    <w:p w14:paraId="1E256665" w14:textId="77777777" w:rsidR="00FA7CCE" w:rsidRPr="00914040" w:rsidRDefault="00FA7CCE" w:rsidP="00FA7CCE">
      <w:hyperlink r:id="rId10" w:history="1">
        <w:r w:rsidRPr="00A51DA9">
          <w:rPr>
            <w:rStyle w:val="Hyperlink"/>
            <w:color w:val="auto"/>
          </w:rPr>
          <w:t>https://www.nisra.gov.uk/statistics/labour-market-and-social-welfare/annual-survey-hours-and-earnings</w:t>
        </w:r>
      </w:hyperlink>
    </w:p>
    <w:p w14:paraId="1BD602F7" w14:textId="77777777" w:rsidR="00FA7CCE" w:rsidRPr="004017B2" w:rsidRDefault="00FA7CCE" w:rsidP="00FA7CCE">
      <w:pPr>
        <w:rPr>
          <w:color w:val="FF0000"/>
        </w:rPr>
      </w:pPr>
    </w:p>
    <w:sectPr w:rsidR="00FA7CCE" w:rsidRPr="004017B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9D2E7" w14:textId="77777777" w:rsidR="004A09AC" w:rsidRDefault="004A09AC" w:rsidP="004A09AC">
      <w:pPr>
        <w:spacing w:after="0" w:line="240" w:lineRule="auto"/>
      </w:pPr>
      <w:r>
        <w:separator/>
      </w:r>
    </w:p>
  </w:endnote>
  <w:endnote w:type="continuationSeparator" w:id="0">
    <w:p w14:paraId="5834E72C" w14:textId="77777777" w:rsidR="004A09AC" w:rsidRDefault="004A09AC" w:rsidP="004A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851193"/>
      <w:docPartObj>
        <w:docPartGallery w:val="Page Numbers (Bottom of Page)"/>
        <w:docPartUnique/>
      </w:docPartObj>
    </w:sdtPr>
    <w:sdtEndPr>
      <w:rPr>
        <w:noProof/>
      </w:rPr>
    </w:sdtEndPr>
    <w:sdtContent>
      <w:p w14:paraId="40A434AA" w14:textId="77777777" w:rsidR="004A09AC" w:rsidRDefault="004A09AC">
        <w:pPr>
          <w:pStyle w:val="Footer"/>
          <w:jc w:val="right"/>
        </w:pPr>
        <w:r>
          <w:fldChar w:fldCharType="begin"/>
        </w:r>
        <w:r>
          <w:instrText xml:space="preserve"> PAGE   \* MERGEFORMAT </w:instrText>
        </w:r>
        <w:r>
          <w:fldChar w:fldCharType="separate"/>
        </w:r>
        <w:r w:rsidR="00897B9F">
          <w:rPr>
            <w:noProof/>
          </w:rPr>
          <w:t>4</w:t>
        </w:r>
        <w:r>
          <w:rPr>
            <w:noProof/>
          </w:rPr>
          <w:fldChar w:fldCharType="end"/>
        </w:r>
      </w:p>
    </w:sdtContent>
  </w:sdt>
  <w:p w14:paraId="76852A42" w14:textId="77777777" w:rsidR="004A09AC" w:rsidRDefault="004A0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A0EC5" w14:textId="77777777" w:rsidR="004A09AC" w:rsidRDefault="004A09AC" w:rsidP="004A09AC">
      <w:pPr>
        <w:spacing w:after="0" w:line="240" w:lineRule="auto"/>
      </w:pPr>
      <w:r>
        <w:separator/>
      </w:r>
    </w:p>
  </w:footnote>
  <w:footnote w:type="continuationSeparator" w:id="0">
    <w:p w14:paraId="2F14BE1C" w14:textId="77777777" w:rsidR="004A09AC" w:rsidRDefault="004A09AC" w:rsidP="004A09AC">
      <w:pPr>
        <w:spacing w:after="0" w:line="240" w:lineRule="auto"/>
      </w:pPr>
      <w:r>
        <w:continuationSeparator/>
      </w:r>
    </w:p>
  </w:footnote>
  <w:footnote w:id="1">
    <w:p w14:paraId="6E421592" w14:textId="77777777" w:rsidR="00A512BF" w:rsidRDefault="00A512BF">
      <w:pPr>
        <w:pStyle w:val="FootnoteText"/>
      </w:pPr>
      <w:r>
        <w:rPr>
          <w:rStyle w:val="FootnoteReference"/>
        </w:rPr>
        <w:footnoteRef/>
      </w:r>
      <w:r>
        <w:t xml:space="preserve"> </w:t>
      </w:r>
      <w:hyperlink r:id="rId1" w:history="1">
        <w:r>
          <w:rPr>
            <w:rStyle w:val="Hyperlink"/>
          </w:rPr>
          <w:t>Employee earnings in Northern Ireland</w:t>
        </w:r>
        <w:r>
          <w:rPr>
            <w:rStyle w:val="Hyperlink"/>
          </w:rPr>
          <w:t xml:space="preserve"> </w:t>
        </w:r>
        <w:r>
          <w:rPr>
            <w:rStyle w:val="Hyperlink"/>
          </w:rPr>
          <w:t>(nisra.gov.uk)</w:t>
        </w:r>
      </w:hyperlink>
    </w:p>
  </w:footnote>
  <w:footnote w:id="2">
    <w:p w14:paraId="761B21AE" w14:textId="71EA36D7" w:rsidR="00C52D28" w:rsidRDefault="00C52D28">
      <w:pPr>
        <w:pStyle w:val="FootnoteText"/>
      </w:pPr>
      <w:r>
        <w:rPr>
          <w:rStyle w:val="FootnoteReference"/>
        </w:rPr>
        <w:footnoteRef/>
      </w:r>
      <w:r>
        <w:t xml:space="preserve"> </w:t>
      </w:r>
      <w:r w:rsidRPr="00C52D28">
        <w:rPr>
          <w:rStyle w:val="Strong"/>
          <w:rFonts w:cstheme="minorHAnsi"/>
          <w:b w:val="0"/>
          <w:bCs w:val="0"/>
          <w:i/>
          <w:iCs/>
        </w:rPr>
        <w:t>Gross weekly pay</w:t>
      </w:r>
      <w:r w:rsidRPr="00C52D28">
        <w:rPr>
          <w:rFonts w:cstheme="minorHAnsi"/>
          <w:b/>
          <w:bCs/>
          <w:i/>
          <w:iCs/>
          <w:shd w:val="clear" w:color="auto" w:fill="EBF2FF"/>
        </w:rPr>
        <w:t> </w:t>
      </w:r>
      <w:r w:rsidRPr="00C52D28">
        <w:rPr>
          <w:rStyle w:val="Strong"/>
          <w:rFonts w:cstheme="minorHAnsi"/>
          <w:b w:val="0"/>
          <w:bCs w:val="0"/>
          <w:i/>
          <w:iCs/>
        </w:rPr>
        <w:t>includes basic pay, overtime pay, commissions, shift premium pay, bonus or incentive pay and allowances, and is before deductions for PAYE, National Insurance, pension schemes, student loan repayments and voluntary deductions.</w:t>
      </w:r>
    </w:p>
  </w:footnote>
  <w:footnote w:id="3">
    <w:p w14:paraId="1BD9FEBC" w14:textId="60572DF9" w:rsidR="00CE7A79" w:rsidRDefault="00CE7A79">
      <w:pPr>
        <w:pStyle w:val="FootnoteText"/>
      </w:pPr>
      <w:r>
        <w:rPr>
          <w:rStyle w:val="FootnoteReference"/>
        </w:rPr>
        <w:footnoteRef/>
      </w:r>
      <w:r>
        <w:t xml:space="preserve"> It is important to note that, although median hourly pay excluding overtime provides a useful comparison of male and female earnings, it is a measure across all jobs and not a measure of the difference in pay between men and women doing the same job</w:t>
      </w:r>
      <w:r w:rsidR="00352008">
        <w:t xml:space="preserve"> (Employee earnings in Northern Ireland, NISRA)</w:t>
      </w:r>
      <w:r>
        <w:t xml:space="preserve">. </w:t>
      </w:r>
    </w:p>
  </w:footnote>
  <w:footnote w:id="4">
    <w:p w14:paraId="217C0D17" w14:textId="58B49A54" w:rsidR="00ED27AB" w:rsidRDefault="00ED27AB">
      <w:pPr>
        <w:pStyle w:val="FootnoteText"/>
      </w:pPr>
      <w:r>
        <w:rPr>
          <w:rStyle w:val="FootnoteReference"/>
        </w:rPr>
        <w:footnoteRef/>
      </w:r>
      <w:r>
        <w:t xml:space="preserve"> </w:t>
      </w:r>
      <w:hyperlink r:id="rId2" w:history="1">
        <w:r w:rsidR="00083335">
          <w:rPr>
            <w:rStyle w:val="Hyperlink"/>
          </w:rPr>
          <w:t>Labour Market Structure 2024, Table 1.4</w:t>
        </w:r>
      </w:hyperlink>
    </w:p>
  </w:footnote>
  <w:footnote w:id="5">
    <w:p w14:paraId="604E4DB2" w14:textId="5FD9F6D2" w:rsidR="00EB680A" w:rsidRDefault="00EB680A">
      <w:pPr>
        <w:pStyle w:val="FootnoteText"/>
      </w:pPr>
      <w:r>
        <w:rPr>
          <w:rStyle w:val="FootnoteReference"/>
        </w:rPr>
        <w:footnoteRef/>
      </w:r>
      <w:r>
        <w:t xml:space="preserve"> </w:t>
      </w:r>
      <w:hyperlink r:id="rId3" w:history="1">
        <w:r w:rsidR="00083335" w:rsidRPr="00083335">
          <w:rPr>
            <w:rStyle w:val="Hyperlink"/>
          </w:rPr>
          <w:t>Employee earnings in Northern Ireland</w:t>
        </w:r>
      </w:hyperlink>
    </w:p>
  </w:footnote>
  <w:footnote w:id="6">
    <w:p w14:paraId="16A7A1E0" w14:textId="47131EC7" w:rsidR="00D322A2" w:rsidRDefault="00D322A2">
      <w:pPr>
        <w:pStyle w:val="FootnoteText"/>
      </w:pPr>
      <w:r>
        <w:rPr>
          <w:rStyle w:val="FootnoteReference"/>
        </w:rPr>
        <w:footnoteRef/>
      </w:r>
      <w:r>
        <w:t xml:space="preserve"> Full-time employee is defined as anyone aged 16 years or over that is directly paid from a business’s payroll for carrying out more than 30 paid hours per week (or 25 or more for the teaching professions).</w:t>
      </w:r>
    </w:p>
    <w:p w14:paraId="1F45515E" w14:textId="07E4244F" w:rsidR="00D322A2" w:rsidRDefault="00D322A2">
      <w:pPr>
        <w:pStyle w:val="FootnoteText"/>
      </w:pPr>
      <w:r>
        <w:t xml:space="preserve">Part-time employee is defined as anyone aged 16 years or over working 30 or less hours per week (or less than 25 for the teaching professions). </w:t>
      </w:r>
    </w:p>
  </w:footnote>
  <w:footnote w:id="7">
    <w:p w14:paraId="7D4291C2" w14:textId="77777777" w:rsidR="006421BE" w:rsidRPr="006421BE" w:rsidRDefault="006421BE" w:rsidP="006421BE">
      <w:pPr>
        <w:rPr>
          <w:rFonts w:cstheme="minorHAnsi"/>
          <w:sz w:val="20"/>
          <w:szCs w:val="20"/>
        </w:rPr>
      </w:pPr>
      <w:r w:rsidRPr="006421BE">
        <w:rPr>
          <w:rStyle w:val="FootnoteReference"/>
          <w:sz w:val="20"/>
          <w:szCs w:val="20"/>
        </w:rPr>
        <w:footnoteRef/>
      </w:r>
      <w:r w:rsidRPr="006421BE">
        <w:rPr>
          <w:sz w:val="20"/>
          <w:szCs w:val="20"/>
        </w:rPr>
        <w:t xml:space="preserve"> </w:t>
      </w:r>
      <w:r w:rsidRPr="006421BE">
        <w:rPr>
          <w:rFonts w:cstheme="minorHAnsi"/>
          <w:sz w:val="20"/>
          <w:szCs w:val="20"/>
        </w:rPr>
        <w:t>The ONS have published some research on poverty and employment transitions in the UK and EU (</w:t>
      </w:r>
      <w:hyperlink r:id="rId4" w:history="1">
        <w:r w:rsidRPr="006421BE">
          <w:rPr>
            <w:rStyle w:val="Hyperlink"/>
            <w:sz w:val="20"/>
            <w:szCs w:val="20"/>
          </w:rPr>
          <w:t>Poverty and employment transitions in the UK and EU - Office for National Statistics</w:t>
        </w:r>
      </w:hyperlink>
      <w:r w:rsidRPr="006421BE">
        <w:rPr>
          <w:rStyle w:val="Hyperlink"/>
          <w:sz w:val="20"/>
          <w:szCs w:val="20"/>
        </w:rPr>
        <w:t xml:space="preserve">) </w:t>
      </w:r>
      <w:r w:rsidRPr="006421BE">
        <w:rPr>
          <w:rFonts w:cstheme="minorHAnsi"/>
          <w:sz w:val="20"/>
          <w:szCs w:val="20"/>
        </w:rPr>
        <w:t xml:space="preserve">which found that those persons taking up full-time jobs (30+ hours per week) are more likely to move out of poverty when entering employment than those who move into part-time employment.  </w:t>
      </w:r>
    </w:p>
    <w:p w14:paraId="4D0D24BE" w14:textId="7DDECCDD" w:rsidR="006421BE" w:rsidRDefault="006421B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A23FD"/>
    <w:multiLevelType w:val="hybridMultilevel"/>
    <w:tmpl w:val="ED1E32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1E32D9"/>
    <w:multiLevelType w:val="multilevel"/>
    <w:tmpl w:val="E654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3796972">
    <w:abstractNumId w:val="0"/>
  </w:num>
  <w:num w:numId="2" w16cid:durableId="961304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26"/>
    <w:rsid w:val="000146FA"/>
    <w:rsid w:val="000310F2"/>
    <w:rsid w:val="0003311F"/>
    <w:rsid w:val="00033C22"/>
    <w:rsid w:val="0003438B"/>
    <w:rsid w:val="00042944"/>
    <w:rsid w:val="00057254"/>
    <w:rsid w:val="00060A49"/>
    <w:rsid w:val="00070176"/>
    <w:rsid w:val="00074117"/>
    <w:rsid w:val="00083335"/>
    <w:rsid w:val="00090DFD"/>
    <w:rsid w:val="00097959"/>
    <w:rsid w:val="000B3433"/>
    <w:rsid w:val="000D494D"/>
    <w:rsid w:val="000D5140"/>
    <w:rsid w:val="000D60B1"/>
    <w:rsid w:val="000E1DF7"/>
    <w:rsid w:val="000F2540"/>
    <w:rsid w:val="000F52DC"/>
    <w:rsid w:val="000F7CC6"/>
    <w:rsid w:val="00102FA1"/>
    <w:rsid w:val="00106920"/>
    <w:rsid w:val="00111BAE"/>
    <w:rsid w:val="001128E3"/>
    <w:rsid w:val="00115196"/>
    <w:rsid w:val="00133884"/>
    <w:rsid w:val="00147DBA"/>
    <w:rsid w:val="00147FEB"/>
    <w:rsid w:val="00151154"/>
    <w:rsid w:val="001618E1"/>
    <w:rsid w:val="0017383A"/>
    <w:rsid w:val="0017770B"/>
    <w:rsid w:val="001838D8"/>
    <w:rsid w:val="001C3CF0"/>
    <w:rsid w:val="001D13FF"/>
    <w:rsid w:val="001E2A52"/>
    <w:rsid w:val="001F1E89"/>
    <w:rsid w:val="002230A5"/>
    <w:rsid w:val="00234B80"/>
    <w:rsid w:val="00236558"/>
    <w:rsid w:val="00252AD2"/>
    <w:rsid w:val="0025735C"/>
    <w:rsid w:val="0026105F"/>
    <w:rsid w:val="00266426"/>
    <w:rsid w:val="002664EE"/>
    <w:rsid w:val="00281F2E"/>
    <w:rsid w:val="00282E28"/>
    <w:rsid w:val="002835AE"/>
    <w:rsid w:val="002A4728"/>
    <w:rsid w:val="002B4ACA"/>
    <w:rsid w:val="002C42A2"/>
    <w:rsid w:val="002F0D57"/>
    <w:rsid w:val="00352008"/>
    <w:rsid w:val="0035318C"/>
    <w:rsid w:val="00394E21"/>
    <w:rsid w:val="003A61F4"/>
    <w:rsid w:val="003B7E99"/>
    <w:rsid w:val="003C5D3D"/>
    <w:rsid w:val="003D37C2"/>
    <w:rsid w:val="003E2090"/>
    <w:rsid w:val="004017B2"/>
    <w:rsid w:val="00402AE1"/>
    <w:rsid w:val="004143B6"/>
    <w:rsid w:val="004172DA"/>
    <w:rsid w:val="0042285A"/>
    <w:rsid w:val="004255CA"/>
    <w:rsid w:val="00447945"/>
    <w:rsid w:val="00460280"/>
    <w:rsid w:val="004619CF"/>
    <w:rsid w:val="0046308C"/>
    <w:rsid w:val="00465ED0"/>
    <w:rsid w:val="00476125"/>
    <w:rsid w:val="00476FDA"/>
    <w:rsid w:val="00481C5E"/>
    <w:rsid w:val="00484183"/>
    <w:rsid w:val="004A09AC"/>
    <w:rsid w:val="004A3513"/>
    <w:rsid w:val="004D4BF7"/>
    <w:rsid w:val="004E6608"/>
    <w:rsid w:val="004E7689"/>
    <w:rsid w:val="004F1EB5"/>
    <w:rsid w:val="00520895"/>
    <w:rsid w:val="005255C4"/>
    <w:rsid w:val="005309DC"/>
    <w:rsid w:val="0053105B"/>
    <w:rsid w:val="00535F2F"/>
    <w:rsid w:val="005379DF"/>
    <w:rsid w:val="00540201"/>
    <w:rsid w:val="00545A12"/>
    <w:rsid w:val="005D3CE9"/>
    <w:rsid w:val="005D48EE"/>
    <w:rsid w:val="005E2D49"/>
    <w:rsid w:val="005E33A2"/>
    <w:rsid w:val="005E4B3F"/>
    <w:rsid w:val="005F5CB6"/>
    <w:rsid w:val="005F716E"/>
    <w:rsid w:val="00633842"/>
    <w:rsid w:val="00634C40"/>
    <w:rsid w:val="006421BE"/>
    <w:rsid w:val="00650558"/>
    <w:rsid w:val="006554B2"/>
    <w:rsid w:val="00663211"/>
    <w:rsid w:val="00667F47"/>
    <w:rsid w:val="00672D0C"/>
    <w:rsid w:val="00677F9C"/>
    <w:rsid w:val="00686BFC"/>
    <w:rsid w:val="00697642"/>
    <w:rsid w:val="00697D72"/>
    <w:rsid w:val="006A1940"/>
    <w:rsid w:val="006B11DF"/>
    <w:rsid w:val="006B7899"/>
    <w:rsid w:val="006C1913"/>
    <w:rsid w:val="006E3D1E"/>
    <w:rsid w:val="006E5C84"/>
    <w:rsid w:val="00751414"/>
    <w:rsid w:val="00780C49"/>
    <w:rsid w:val="00781149"/>
    <w:rsid w:val="007852A9"/>
    <w:rsid w:val="00785588"/>
    <w:rsid w:val="007A0516"/>
    <w:rsid w:val="007A766C"/>
    <w:rsid w:val="007B66B4"/>
    <w:rsid w:val="007C536C"/>
    <w:rsid w:val="007D4B51"/>
    <w:rsid w:val="007F5A4E"/>
    <w:rsid w:val="0080468C"/>
    <w:rsid w:val="00804E78"/>
    <w:rsid w:val="00814B33"/>
    <w:rsid w:val="00820C7D"/>
    <w:rsid w:val="008245F5"/>
    <w:rsid w:val="008305A4"/>
    <w:rsid w:val="00846E35"/>
    <w:rsid w:val="008471F6"/>
    <w:rsid w:val="008474B9"/>
    <w:rsid w:val="00877D62"/>
    <w:rsid w:val="00877E27"/>
    <w:rsid w:val="00881689"/>
    <w:rsid w:val="008864B7"/>
    <w:rsid w:val="0089738F"/>
    <w:rsid w:val="00897A27"/>
    <w:rsid w:val="00897B9F"/>
    <w:rsid w:val="00897F74"/>
    <w:rsid w:val="008A7612"/>
    <w:rsid w:val="008B16C5"/>
    <w:rsid w:val="008B17EA"/>
    <w:rsid w:val="008C1170"/>
    <w:rsid w:val="008D271F"/>
    <w:rsid w:val="008D3DA8"/>
    <w:rsid w:val="008D437D"/>
    <w:rsid w:val="008D6BF5"/>
    <w:rsid w:val="008E2539"/>
    <w:rsid w:val="0090480B"/>
    <w:rsid w:val="00911E0D"/>
    <w:rsid w:val="00914040"/>
    <w:rsid w:val="009221DB"/>
    <w:rsid w:val="00924454"/>
    <w:rsid w:val="009259BB"/>
    <w:rsid w:val="0093018D"/>
    <w:rsid w:val="00931628"/>
    <w:rsid w:val="00937C4D"/>
    <w:rsid w:val="00943671"/>
    <w:rsid w:val="009618DF"/>
    <w:rsid w:val="00964D1E"/>
    <w:rsid w:val="00966F0A"/>
    <w:rsid w:val="009802F7"/>
    <w:rsid w:val="00995CFC"/>
    <w:rsid w:val="00996D7B"/>
    <w:rsid w:val="009A09CB"/>
    <w:rsid w:val="009A72BE"/>
    <w:rsid w:val="009B1046"/>
    <w:rsid w:val="009B36F8"/>
    <w:rsid w:val="009C055C"/>
    <w:rsid w:val="009C0BA6"/>
    <w:rsid w:val="009C1BE6"/>
    <w:rsid w:val="009D0D74"/>
    <w:rsid w:val="009D4059"/>
    <w:rsid w:val="009F4644"/>
    <w:rsid w:val="00A03A02"/>
    <w:rsid w:val="00A20069"/>
    <w:rsid w:val="00A22DBF"/>
    <w:rsid w:val="00A242AA"/>
    <w:rsid w:val="00A502E2"/>
    <w:rsid w:val="00A512BF"/>
    <w:rsid w:val="00A51DA9"/>
    <w:rsid w:val="00A6234E"/>
    <w:rsid w:val="00A62522"/>
    <w:rsid w:val="00A72060"/>
    <w:rsid w:val="00A742DC"/>
    <w:rsid w:val="00A90398"/>
    <w:rsid w:val="00AA51AE"/>
    <w:rsid w:val="00AA6C9F"/>
    <w:rsid w:val="00AB3461"/>
    <w:rsid w:val="00AB5EFF"/>
    <w:rsid w:val="00AE731A"/>
    <w:rsid w:val="00AE7B58"/>
    <w:rsid w:val="00AF4B14"/>
    <w:rsid w:val="00B039B3"/>
    <w:rsid w:val="00B0698E"/>
    <w:rsid w:val="00B10306"/>
    <w:rsid w:val="00B13A30"/>
    <w:rsid w:val="00B15975"/>
    <w:rsid w:val="00B2007F"/>
    <w:rsid w:val="00B20531"/>
    <w:rsid w:val="00B22592"/>
    <w:rsid w:val="00B335F4"/>
    <w:rsid w:val="00B41E6D"/>
    <w:rsid w:val="00B44C19"/>
    <w:rsid w:val="00B5070C"/>
    <w:rsid w:val="00B53430"/>
    <w:rsid w:val="00B555DF"/>
    <w:rsid w:val="00B57401"/>
    <w:rsid w:val="00B62ED8"/>
    <w:rsid w:val="00B658CA"/>
    <w:rsid w:val="00B81E29"/>
    <w:rsid w:val="00B826AB"/>
    <w:rsid w:val="00B93D26"/>
    <w:rsid w:val="00B973A6"/>
    <w:rsid w:val="00BA2E5D"/>
    <w:rsid w:val="00BA4DBA"/>
    <w:rsid w:val="00BA790B"/>
    <w:rsid w:val="00BB2C35"/>
    <w:rsid w:val="00BB35B4"/>
    <w:rsid w:val="00BC354B"/>
    <w:rsid w:val="00BC6748"/>
    <w:rsid w:val="00BE0F32"/>
    <w:rsid w:val="00BF0ADE"/>
    <w:rsid w:val="00BF2EA3"/>
    <w:rsid w:val="00C00FFC"/>
    <w:rsid w:val="00C06B6F"/>
    <w:rsid w:val="00C102D3"/>
    <w:rsid w:val="00C13AD8"/>
    <w:rsid w:val="00C17718"/>
    <w:rsid w:val="00C34915"/>
    <w:rsid w:val="00C52D28"/>
    <w:rsid w:val="00C67759"/>
    <w:rsid w:val="00C70932"/>
    <w:rsid w:val="00C725FB"/>
    <w:rsid w:val="00C76FB1"/>
    <w:rsid w:val="00C80545"/>
    <w:rsid w:val="00C83384"/>
    <w:rsid w:val="00C8466D"/>
    <w:rsid w:val="00C91715"/>
    <w:rsid w:val="00C92A2C"/>
    <w:rsid w:val="00CA0DE5"/>
    <w:rsid w:val="00CB0904"/>
    <w:rsid w:val="00CB3082"/>
    <w:rsid w:val="00CD7187"/>
    <w:rsid w:val="00CE6737"/>
    <w:rsid w:val="00CE7A79"/>
    <w:rsid w:val="00D072FA"/>
    <w:rsid w:val="00D10864"/>
    <w:rsid w:val="00D17C66"/>
    <w:rsid w:val="00D27F3A"/>
    <w:rsid w:val="00D322A2"/>
    <w:rsid w:val="00D54825"/>
    <w:rsid w:val="00D614E5"/>
    <w:rsid w:val="00D628A6"/>
    <w:rsid w:val="00D66284"/>
    <w:rsid w:val="00D76D6D"/>
    <w:rsid w:val="00D7798D"/>
    <w:rsid w:val="00D8294F"/>
    <w:rsid w:val="00D83203"/>
    <w:rsid w:val="00D8336A"/>
    <w:rsid w:val="00D83738"/>
    <w:rsid w:val="00D837B4"/>
    <w:rsid w:val="00D87B67"/>
    <w:rsid w:val="00D90834"/>
    <w:rsid w:val="00DA7B9E"/>
    <w:rsid w:val="00DB185E"/>
    <w:rsid w:val="00DC3686"/>
    <w:rsid w:val="00DD310C"/>
    <w:rsid w:val="00E00F09"/>
    <w:rsid w:val="00E02EE5"/>
    <w:rsid w:val="00E206A4"/>
    <w:rsid w:val="00E26F2B"/>
    <w:rsid w:val="00E47D93"/>
    <w:rsid w:val="00E61032"/>
    <w:rsid w:val="00E62986"/>
    <w:rsid w:val="00E70298"/>
    <w:rsid w:val="00E80D9B"/>
    <w:rsid w:val="00E82939"/>
    <w:rsid w:val="00EB680A"/>
    <w:rsid w:val="00EC3C3A"/>
    <w:rsid w:val="00EC499B"/>
    <w:rsid w:val="00EC6C85"/>
    <w:rsid w:val="00EC7593"/>
    <w:rsid w:val="00ED27AB"/>
    <w:rsid w:val="00ED5FD8"/>
    <w:rsid w:val="00ED7C26"/>
    <w:rsid w:val="00EF138E"/>
    <w:rsid w:val="00F12E5A"/>
    <w:rsid w:val="00F133BC"/>
    <w:rsid w:val="00F35177"/>
    <w:rsid w:val="00F352BE"/>
    <w:rsid w:val="00F40909"/>
    <w:rsid w:val="00F4610A"/>
    <w:rsid w:val="00F56243"/>
    <w:rsid w:val="00F61317"/>
    <w:rsid w:val="00F635CF"/>
    <w:rsid w:val="00F70487"/>
    <w:rsid w:val="00F82B43"/>
    <w:rsid w:val="00F94FBC"/>
    <w:rsid w:val="00FA678D"/>
    <w:rsid w:val="00FA7CCE"/>
    <w:rsid w:val="00FB420D"/>
    <w:rsid w:val="00FC0DDF"/>
    <w:rsid w:val="00FC1BEE"/>
    <w:rsid w:val="00FC5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33AB7"/>
  <w15:docId w15:val="{3D0E82B9-B3AD-4258-95EE-E5A3B515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D26"/>
  </w:style>
  <w:style w:type="paragraph" w:styleId="Heading3">
    <w:name w:val="heading 3"/>
    <w:basedOn w:val="Normal"/>
    <w:link w:val="Heading3Char"/>
    <w:uiPriority w:val="9"/>
    <w:qFormat/>
    <w:rsid w:val="001C3CF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7CCE"/>
    <w:rPr>
      <w:color w:val="0000FF"/>
      <w:u w:val="single"/>
    </w:rPr>
  </w:style>
  <w:style w:type="paragraph" w:styleId="Header">
    <w:name w:val="header"/>
    <w:basedOn w:val="Normal"/>
    <w:link w:val="HeaderChar"/>
    <w:uiPriority w:val="99"/>
    <w:unhideWhenUsed/>
    <w:rsid w:val="004A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9AC"/>
  </w:style>
  <w:style w:type="paragraph" w:styleId="Footer">
    <w:name w:val="footer"/>
    <w:basedOn w:val="Normal"/>
    <w:link w:val="FooterChar"/>
    <w:uiPriority w:val="99"/>
    <w:unhideWhenUsed/>
    <w:rsid w:val="004A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9AC"/>
  </w:style>
  <w:style w:type="paragraph" w:styleId="BalloonText">
    <w:name w:val="Balloon Text"/>
    <w:basedOn w:val="Normal"/>
    <w:link w:val="BalloonTextChar"/>
    <w:uiPriority w:val="99"/>
    <w:semiHidden/>
    <w:unhideWhenUsed/>
    <w:rsid w:val="000331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11F"/>
    <w:rPr>
      <w:rFonts w:ascii="Segoe UI" w:hAnsi="Segoe UI" w:cs="Segoe UI"/>
      <w:sz w:val="18"/>
      <w:szCs w:val="18"/>
    </w:rPr>
  </w:style>
  <w:style w:type="table" w:styleId="GridTable1Light">
    <w:name w:val="Grid Table 1 Light"/>
    <w:basedOn w:val="TableNormal"/>
    <w:uiPriority w:val="46"/>
    <w:rsid w:val="00BA2E5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9140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4040"/>
    <w:rPr>
      <w:sz w:val="20"/>
      <w:szCs w:val="20"/>
    </w:rPr>
  </w:style>
  <w:style w:type="character" w:styleId="FootnoteReference">
    <w:name w:val="footnote reference"/>
    <w:basedOn w:val="DefaultParagraphFont"/>
    <w:uiPriority w:val="99"/>
    <w:semiHidden/>
    <w:unhideWhenUsed/>
    <w:rsid w:val="00914040"/>
    <w:rPr>
      <w:vertAlign w:val="superscript"/>
    </w:rPr>
  </w:style>
  <w:style w:type="paragraph" w:styleId="NormalWeb">
    <w:name w:val="Normal (Web)"/>
    <w:basedOn w:val="Normal"/>
    <w:uiPriority w:val="99"/>
    <w:semiHidden/>
    <w:unhideWhenUsed/>
    <w:rsid w:val="001C3C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1C3CF0"/>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C52D28"/>
    <w:rPr>
      <w:b/>
      <w:bCs/>
    </w:rPr>
  </w:style>
  <w:style w:type="paragraph" w:styleId="ListParagraph">
    <w:name w:val="List Paragraph"/>
    <w:basedOn w:val="Normal"/>
    <w:uiPriority w:val="34"/>
    <w:qFormat/>
    <w:rsid w:val="00C52D28"/>
    <w:pPr>
      <w:ind w:left="720"/>
      <w:contextualSpacing/>
    </w:pPr>
  </w:style>
  <w:style w:type="paragraph" w:styleId="NoSpacing">
    <w:name w:val="No Spacing"/>
    <w:uiPriority w:val="1"/>
    <w:qFormat/>
    <w:rsid w:val="001128E3"/>
    <w:pPr>
      <w:spacing w:after="0" w:line="240" w:lineRule="auto"/>
    </w:pPr>
  </w:style>
  <w:style w:type="character" w:styleId="UnresolvedMention">
    <w:name w:val="Unresolved Mention"/>
    <w:basedOn w:val="DefaultParagraphFont"/>
    <w:uiPriority w:val="99"/>
    <w:semiHidden/>
    <w:unhideWhenUsed/>
    <w:rsid w:val="002C42A2"/>
    <w:rPr>
      <w:color w:val="605E5C"/>
      <w:shd w:val="clear" w:color="auto" w:fill="E1DFDD"/>
    </w:rPr>
  </w:style>
  <w:style w:type="character" w:styleId="FollowedHyperlink">
    <w:name w:val="FollowedHyperlink"/>
    <w:basedOn w:val="DefaultParagraphFont"/>
    <w:uiPriority w:val="99"/>
    <w:semiHidden/>
    <w:unhideWhenUsed/>
    <w:rsid w:val="001511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5214">
      <w:bodyDiv w:val="1"/>
      <w:marLeft w:val="0"/>
      <w:marRight w:val="0"/>
      <w:marTop w:val="0"/>
      <w:marBottom w:val="0"/>
      <w:divBdr>
        <w:top w:val="none" w:sz="0" w:space="0" w:color="auto"/>
        <w:left w:val="none" w:sz="0" w:space="0" w:color="auto"/>
        <w:bottom w:val="none" w:sz="0" w:space="0" w:color="auto"/>
        <w:right w:val="none" w:sz="0" w:space="0" w:color="auto"/>
      </w:divBdr>
    </w:div>
    <w:div w:id="304047431">
      <w:bodyDiv w:val="1"/>
      <w:marLeft w:val="0"/>
      <w:marRight w:val="0"/>
      <w:marTop w:val="0"/>
      <w:marBottom w:val="0"/>
      <w:divBdr>
        <w:top w:val="none" w:sz="0" w:space="0" w:color="auto"/>
        <w:left w:val="none" w:sz="0" w:space="0" w:color="auto"/>
        <w:bottom w:val="none" w:sz="0" w:space="0" w:color="auto"/>
        <w:right w:val="none" w:sz="0" w:space="0" w:color="auto"/>
      </w:divBdr>
    </w:div>
    <w:div w:id="387460402">
      <w:bodyDiv w:val="1"/>
      <w:marLeft w:val="0"/>
      <w:marRight w:val="0"/>
      <w:marTop w:val="0"/>
      <w:marBottom w:val="0"/>
      <w:divBdr>
        <w:top w:val="none" w:sz="0" w:space="0" w:color="auto"/>
        <w:left w:val="none" w:sz="0" w:space="0" w:color="auto"/>
        <w:bottom w:val="none" w:sz="0" w:space="0" w:color="auto"/>
        <w:right w:val="none" w:sz="0" w:space="0" w:color="auto"/>
      </w:divBdr>
    </w:div>
    <w:div w:id="793987638">
      <w:bodyDiv w:val="1"/>
      <w:marLeft w:val="0"/>
      <w:marRight w:val="0"/>
      <w:marTop w:val="0"/>
      <w:marBottom w:val="0"/>
      <w:divBdr>
        <w:top w:val="none" w:sz="0" w:space="0" w:color="auto"/>
        <w:left w:val="none" w:sz="0" w:space="0" w:color="auto"/>
        <w:bottom w:val="none" w:sz="0" w:space="0" w:color="auto"/>
        <w:right w:val="none" w:sz="0" w:space="0" w:color="auto"/>
      </w:divBdr>
    </w:div>
    <w:div w:id="899555357">
      <w:bodyDiv w:val="1"/>
      <w:marLeft w:val="0"/>
      <w:marRight w:val="0"/>
      <w:marTop w:val="0"/>
      <w:marBottom w:val="0"/>
      <w:divBdr>
        <w:top w:val="none" w:sz="0" w:space="0" w:color="auto"/>
        <w:left w:val="none" w:sz="0" w:space="0" w:color="auto"/>
        <w:bottom w:val="none" w:sz="0" w:space="0" w:color="auto"/>
        <w:right w:val="none" w:sz="0" w:space="0" w:color="auto"/>
      </w:divBdr>
    </w:div>
    <w:div w:id="1086225856">
      <w:bodyDiv w:val="1"/>
      <w:marLeft w:val="0"/>
      <w:marRight w:val="0"/>
      <w:marTop w:val="0"/>
      <w:marBottom w:val="0"/>
      <w:divBdr>
        <w:top w:val="none" w:sz="0" w:space="0" w:color="auto"/>
        <w:left w:val="none" w:sz="0" w:space="0" w:color="auto"/>
        <w:bottom w:val="none" w:sz="0" w:space="0" w:color="auto"/>
        <w:right w:val="none" w:sz="0" w:space="0" w:color="auto"/>
      </w:divBdr>
    </w:div>
    <w:div w:id="1183977125">
      <w:bodyDiv w:val="1"/>
      <w:marLeft w:val="0"/>
      <w:marRight w:val="0"/>
      <w:marTop w:val="0"/>
      <w:marBottom w:val="0"/>
      <w:divBdr>
        <w:top w:val="none" w:sz="0" w:space="0" w:color="auto"/>
        <w:left w:val="none" w:sz="0" w:space="0" w:color="auto"/>
        <w:bottom w:val="none" w:sz="0" w:space="0" w:color="auto"/>
        <w:right w:val="none" w:sz="0" w:space="0" w:color="auto"/>
      </w:divBdr>
    </w:div>
    <w:div w:id="1439525481">
      <w:bodyDiv w:val="1"/>
      <w:marLeft w:val="0"/>
      <w:marRight w:val="0"/>
      <w:marTop w:val="0"/>
      <w:marBottom w:val="0"/>
      <w:divBdr>
        <w:top w:val="none" w:sz="0" w:space="0" w:color="auto"/>
        <w:left w:val="none" w:sz="0" w:space="0" w:color="auto"/>
        <w:bottom w:val="none" w:sz="0" w:space="0" w:color="auto"/>
        <w:right w:val="none" w:sz="0" w:space="0" w:color="auto"/>
      </w:divBdr>
    </w:div>
    <w:div w:id="1502626467">
      <w:bodyDiv w:val="1"/>
      <w:marLeft w:val="0"/>
      <w:marRight w:val="0"/>
      <w:marTop w:val="0"/>
      <w:marBottom w:val="0"/>
      <w:divBdr>
        <w:top w:val="none" w:sz="0" w:space="0" w:color="auto"/>
        <w:left w:val="none" w:sz="0" w:space="0" w:color="auto"/>
        <w:bottom w:val="none" w:sz="0" w:space="0" w:color="auto"/>
        <w:right w:val="none" w:sz="0" w:space="0" w:color="auto"/>
      </w:divBdr>
    </w:div>
    <w:div w:id="1514033794">
      <w:bodyDiv w:val="1"/>
      <w:marLeft w:val="0"/>
      <w:marRight w:val="0"/>
      <w:marTop w:val="0"/>
      <w:marBottom w:val="0"/>
      <w:divBdr>
        <w:top w:val="none" w:sz="0" w:space="0" w:color="auto"/>
        <w:left w:val="none" w:sz="0" w:space="0" w:color="auto"/>
        <w:bottom w:val="none" w:sz="0" w:space="0" w:color="auto"/>
        <w:right w:val="none" w:sz="0" w:space="0" w:color="auto"/>
      </w:divBdr>
    </w:div>
    <w:div w:id="1630697742">
      <w:bodyDiv w:val="1"/>
      <w:marLeft w:val="0"/>
      <w:marRight w:val="0"/>
      <w:marTop w:val="0"/>
      <w:marBottom w:val="0"/>
      <w:divBdr>
        <w:top w:val="none" w:sz="0" w:space="0" w:color="auto"/>
        <w:left w:val="none" w:sz="0" w:space="0" w:color="auto"/>
        <w:bottom w:val="none" w:sz="0" w:space="0" w:color="auto"/>
        <w:right w:val="none" w:sz="0" w:space="0" w:color="auto"/>
      </w:divBdr>
    </w:div>
    <w:div w:id="1800800415">
      <w:bodyDiv w:val="1"/>
      <w:marLeft w:val="0"/>
      <w:marRight w:val="0"/>
      <w:marTop w:val="0"/>
      <w:marBottom w:val="0"/>
      <w:divBdr>
        <w:top w:val="none" w:sz="0" w:space="0" w:color="auto"/>
        <w:left w:val="none" w:sz="0" w:space="0" w:color="auto"/>
        <w:bottom w:val="none" w:sz="0" w:space="0" w:color="auto"/>
        <w:right w:val="none" w:sz="0" w:space="0" w:color="auto"/>
      </w:divBdr>
    </w:div>
    <w:div w:id="1869564469">
      <w:bodyDiv w:val="1"/>
      <w:marLeft w:val="0"/>
      <w:marRight w:val="0"/>
      <w:marTop w:val="0"/>
      <w:marBottom w:val="0"/>
      <w:divBdr>
        <w:top w:val="none" w:sz="0" w:space="0" w:color="auto"/>
        <w:left w:val="none" w:sz="0" w:space="0" w:color="auto"/>
        <w:bottom w:val="none" w:sz="0" w:space="0" w:color="auto"/>
        <w:right w:val="none" w:sz="0" w:space="0" w:color="auto"/>
      </w:divBdr>
    </w:div>
    <w:div w:id="1918395762">
      <w:bodyDiv w:val="1"/>
      <w:marLeft w:val="0"/>
      <w:marRight w:val="0"/>
      <w:marTop w:val="0"/>
      <w:marBottom w:val="0"/>
      <w:divBdr>
        <w:top w:val="none" w:sz="0" w:space="0" w:color="auto"/>
        <w:left w:val="none" w:sz="0" w:space="0" w:color="auto"/>
        <w:bottom w:val="none" w:sz="0" w:space="0" w:color="auto"/>
        <w:right w:val="none" w:sz="0" w:space="0" w:color="auto"/>
      </w:divBdr>
    </w:div>
    <w:div w:id="1954822880">
      <w:bodyDiv w:val="1"/>
      <w:marLeft w:val="0"/>
      <w:marRight w:val="0"/>
      <w:marTop w:val="0"/>
      <w:marBottom w:val="0"/>
      <w:divBdr>
        <w:top w:val="none" w:sz="0" w:space="0" w:color="auto"/>
        <w:left w:val="none" w:sz="0" w:space="0" w:color="auto"/>
        <w:bottom w:val="none" w:sz="0" w:space="0" w:color="auto"/>
        <w:right w:val="none" w:sz="0" w:space="0" w:color="auto"/>
      </w:divBdr>
    </w:div>
    <w:div w:id="1989167253">
      <w:bodyDiv w:val="1"/>
      <w:marLeft w:val="0"/>
      <w:marRight w:val="0"/>
      <w:marTop w:val="0"/>
      <w:marBottom w:val="0"/>
      <w:divBdr>
        <w:top w:val="none" w:sz="0" w:space="0" w:color="auto"/>
        <w:left w:val="none" w:sz="0" w:space="0" w:color="auto"/>
        <w:bottom w:val="none" w:sz="0" w:space="0" w:color="auto"/>
        <w:right w:val="none" w:sz="0" w:space="0" w:color="auto"/>
      </w:divBdr>
    </w:div>
    <w:div w:id="2108191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isra.gov.uk/statistics/labour-market-and-social-welfare/annual-survey-hours-and-earnings" TargetMode="External"/><Relationship Id="rId4" Type="http://schemas.openxmlformats.org/officeDocument/2006/relationships/settings" Target="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3" Type="http://schemas.openxmlformats.org/officeDocument/2006/relationships/hyperlink" Target="https://datavis.nisra.gov.uk/economy-and-labour-market/Employee-earnings-NI-2025.html" TargetMode="External"/><Relationship Id="rId2" Type="http://schemas.openxmlformats.org/officeDocument/2006/relationships/hyperlink" Target="https://view.officeapps.live.com/op/view.aspx?src=https%3A%2F%2Fwww.nisra.gov.uk%2Fsystem%2Ffiles%2Fstatistics%2F2025-07%2Flabour-market-structure-2024.xlsx&amp;wdOrigin=BROWSELINK" TargetMode="External"/><Relationship Id="rId1" Type="http://schemas.openxmlformats.org/officeDocument/2006/relationships/hyperlink" Target="https://datavis.nisra.gov.uk/economy-and-labour-market/employee-earnings-NI-2022.html" TargetMode="External"/><Relationship Id="rId4" Type="http://schemas.openxmlformats.org/officeDocument/2006/relationships/hyperlink" Target="https://www.ons.gov.uk/employmentandlabourmarket/peopleinwork/employmentandemployeetypes/articles/povertyandemploymenttransitionsintheukandeu/2015-03-1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Resident of ABC (£)</c:v>
                </c:pt>
              </c:strCache>
            </c:strRef>
          </c:tx>
          <c:spPr>
            <a:ln w="28575" cap="rnd">
              <a:solidFill>
                <a:schemeClr val="accent1"/>
              </a:solidFill>
              <a:round/>
            </a:ln>
            <a:effectLst/>
          </c:spPr>
          <c:marker>
            <c:symbol val="none"/>
          </c:marker>
          <c:dLbls>
            <c:dLbl>
              <c:idx val="0"/>
              <c:layout>
                <c:manualLayout>
                  <c:x val="-7.0173702245552638E-2"/>
                  <c:y val="-3.3700474940632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005C-4A53-B72A-52F8BDA7F675}"/>
                </c:ext>
              </c:extLst>
            </c:dLbl>
            <c:dLbl>
              <c:idx val="1"/>
              <c:delete val="1"/>
              <c:extLst>
                <c:ext xmlns:c15="http://schemas.microsoft.com/office/drawing/2012/chart" uri="{CE6537A1-D6FC-4f65-9D91-7224C49458BB}"/>
                <c:ext xmlns:c16="http://schemas.microsoft.com/office/drawing/2014/chart" uri="{C3380CC4-5D6E-409C-BE32-E72D297353CC}">
                  <c16:uniqueId val="{00000004-005C-4A53-B72A-52F8BDA7F675}"/>
                </c:ext>
              </c:extLst>
            </c:dLbl>
            <c:dLbl>
              <c:idx val="2"/>
              <c:delete val="1"/>
              <c:extLst>
                <c:ext xmlns:c15="http://schemas.microsoft.com/office/drawing/2012/chart" uri="{CE6537A1-D6FC-4f65-9D91-7224C49458BB}"/>
                <c:ext xmlns:c16="http://schemas.microsoft.com/office/drawing/2014/chart" uri="{C3380CC4-5D6E-409C-BE32-E72D297353CC}">
                  <c16:uniqueId val="{00000008-005C-4A53-B72A-52F8BDA7F675}"/>
                </c:ext>
              </c:extLst>
            </c:dLbl>
            <c:dLbl>
              <c:idx val="3"/>
              <c:delete val="1"/>
              <c:extLst>
                <c:ext xmlns:c15="http://schemas.microsoft.com/office/drawing/2012/chart" uri="{CE6537A1-D6FC-4f65-9D91-7224C49458BB}"/>
                <c:ext xmlns:c16="http://schemas.microsoft.com/office/drawing/2014/chart" uri="{C3380CC4-5D6E-409C-BE32-E72D297353CC}">
                  <c16:uniqueId val="{0000000A-005C-4A53-B72A-52F8BDA7F675}"/>
                </c:ext>
              </c:extLst>
            </c:dLbl>
            <c:dLbl>
              <c:idx val="4"/>
              <c:delete val="1"/>
              <c:extLst>
                <c:ext xmlns:c15="http://schemas.microsoft.com/office/drawing/2012/chart" uri="{CE6537A1-D6FC-4f65-9D91-7224C49458BB}"/>
                <c:ext xmlns:c16="http://schemas.microsoft.com/office/drawing/2014/chart" uri="{C3380CC4-5D6E-409C-BE32-E72D297353CC}">
                  <c16:uniqueId val="{0000000C-005C-4A53-B72A-52F8BDA7F675}"/>
                </c:ext>
              </c:extLst>
            </c:dLbl>
            <c:dLbl>
              <c:idx val="5"/>
              <c:delete val="1"/>
              <c:extLst>
                <c:ext xmlns:c15="http://schemas.microsoft.com/office/drawing/2012/chart" uri="{CE6537A1-D6FC-4f65-9D91-7224C49458BB}"/>
                <c:ext xmlns:c16="http://schemas.microsoft.com/office/drawing/2014/chart" uri="{C3380CC4-5D6E-409C-BE32-E72D297353CC}">
                  <c16:uniqueId val="{00000011-005C-4A53-B72A-52F8BDA7F675}"/>
                </c:ext>
              </c:extLst>
            </c:dLbl>
            <c:dLbl>
              <c:idx val="6"/>
              <c:delete val="1"/>
              <c:extLst>
                <c:ext xmlns:c15="http://schemas.microsoft.com/office/drawing/2012/chart" uri="{CE6537A1-D6FC-4f65-9D91-7224C49458BB}"/>
                <c:ext xmlns:c16="http://schemas.microsoft.com/office/drawing/2014/chart" uri="{C3380CC4-5D6E-409C-BE32-E72D297353CC}">
                  <c16:uniqueId val="{00000014-005C-4A53-B72A-52F8BDA7F675}"/>
                </c:ext>
              </c:extLst>
            </c:dLbl>
            <c:dLbl>
              <c:idx val="7"/>
              <c:delete val="1"/>
              <c:extLst>
                <c:ext xmlns:c15="http://schemas.microsoft.com/office/drawing/2012/chart" uri="{CE6537A1-D6FC-4f65-9D91-7224C49458BB}"/>
                <c:ext xmlns:c16="http://schemas.microsoft.com/office/drawing/2014/chart" uri="{C3380CC4-5D6E-409C-BE32-E72D297353CC}">
                  <c16:uniqueId val="{00000017-005C-4A53-B72A-52F8BDA7F675}"/>
                </c:ext>
              </c:extLst>
            </c:dLbl>
            <c:dLbl>
              <c:idx val="8"/>
              <c:delete val="1"/>
              <c:extLst>
                <c:ext xmlns:c15="http://schemas.microsoft.com/office/drawing/2012/chart" uri="{CE6537A1-D6FC-4f65-9D91-7224C49458BB}"/>
                <c:ext xmlns:c16="http://schemas.microsoft.com/office/drawing/2014/chart" uri="{C3380CC4-5D6E-409C-BE32-E72D297353CC}">
                  <c16:uniqueId val="{0000001A-005C-4A53-B72A-52F8BDA7F675}"/>
                </c:ext>
              </c:extLst>
            </c:dLbl>
            <c:dLbl>
              <c:idx val="9"/>
              <c:delete val="1"/>
              <c:extLst>
                <c:ext xmlns:c15="http://schemas.microsoft.com/office/drawing/2012/chart" uri="{CE6537A1-D6FC-4f65-9D91-7224C49458BB}"/>
                <c:ext xmlns:c16="http://schemas.microsoft.com/office/drawing/2014/chart" uri="{C3380CC4-5D6E-409C-BE32-E72D297353CC}">
                  <c16:uniqueId val="{0000001D-005C-4A53-B72A-52F8BDA7F675}"/>
                </c:ext>
              </c:extLst>
            </c:dLbl>
            <c:dLbl>
              <c:idx val="10"/>
              <c:layout>
                <c:manualLayout>
                  <c:x val="-7.0014946048410614E-3"/>
                  <c:y val="2.97915885514310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005C-4A53-B72A-52F8BDA7F675}"/>
                </c:ext>
              </c:extLst>
            </c:dLbl>
            <c:numFmt formatCode="&quot;£&quot;#,##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Sheet1!$B$2:$B$12</c:f>
              <c:numCache>
                <c:formatCode>General</c:formatCode>
                <c:ptCount val="11"/>
                <c:pt idx="0">
                  <c:v>460.1</c:v>
                </c:pt>
                <c:pt idx="1">
                  <c:v>493.2</c:v>
                </c:pt>
                <c:pt idx="2">
                  <c:v>503.2</c:v>
                </c:pt>
                <c:pt idx="3">
                  <c:v>518</c:v>
                </c:pt>
                <c:pt idx="4">
                  <c:v>541.5</c:v>
                </c:pt>
                <c:pt idx="5">
                  <c:v>525.70000000000005</c:v>
                </c:pt>
                <c:pt idx="6">
                  <c:v>574.79999999999995</c:v>
                </c:pt>
                <c:pt idx="7">
                  <c:v>592.20000000000005</c:v>
                </c:pt>
                <c:pt idx="8">
                  <c:v>631.6</c:v>
                </c:pt>
                <c:pt idx="9">
                  <c:v>651.5</c:v>
                </c:pt>
                <c:pt idx="10">
                  <c:v>671</c:v>
                </c:pt>
              </c:numCache>
            </c:numRef>
          </c:val>
          <c:smooth val="0"/>
          <c:extLst>
            <c:ext xmlns:c16="http://schemas.microsoft.com/office/drawing/2014/chart" uri="{C3380CC4-5D6E-409C-BE32-E72D297353CC}">
              <c16:uniqueId val="{00000000-005C-4A53-B72A-52F8BDA7F675}"/>
            </c:ext>
          </c:extLst>
        </c:ser>
        <c:ser>
          <c:idx val="1"/>
          <c:order val="1"/>
          <c:tx>
            <c:strRef>
              <c:f>Sheet1!$C$1</c:f>
              <c:strCache>
                <c:ptCount val="1"/>
                <c:pt idx="0">
                  <c:v>Working in ABC (£)</c:v>
                </c:pt>
              </c:strCache>
            </c:strRef>
          </c:tx>
          <c:spPr>
            <a:ln w="28575" cap="rnd">
              <a:solidFill>
                <a:schemeClr val="accent2"/>
              </a:solidFill>
              <a:prstDash val="dash"/>
              <a:round/>
            </a:ln>
            <a:effectLst/>
          </c:spPr>
          <c:marker>
            <c:symbol val="none"/>
          </c:marker>
          <c:dLbls>
            <c:dLbl>
              <c:idx val="0"/>
              <c:layout>
                <c:manualLayout>
                  <c:x val="-5.8599628171478568E-2"/>
                  <c:y val="1.78868266466691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005C-4A53-B72A-52F8BDA7F675}"/>
                </c:ext>
              </c:extLst>
            </c:dLbl>
            <c:dLbl>
              <c:idx val="1"/>
              <c:delete val="1"/>
              <c:extLst>
                <c:ext xmlns:c15="http://schemas.microsoft.com/office/drawing/2012/chart" uri="{CE6537A1-D6FC-4f65-9D91-7224C49458BB}"/>
                <c:ext xmlns:c16="http://schemas.microsoft.com/office/drawing/2014/chart" uri="{C3380CC4-5D6E-409C-BE32-E72D297353CC}">
                  <c16:uniqueId val="{00000005-005C-4A53-B72A-52F8BDA7F675}"/>
                </c:ext>
              </c:extLst>
            </c:dLbl>
            <c:dLbl>
              <c:idx val="2"/>
              <c:delete val="1"/>
              <c:extLst>
                <c:ext xmlns:c15="http://schemas.microsoft.com/office/drawing/2012/chart" uri="{CE6537A1-D6FC-4f65-9D91-7224C49458BB}"/>
                <c:ext xmlns:c16="http://schemas.microsoft.com/office/drawing/2014/chart" uri="{C3380CC4-5D6E-409C-BE32-E72D297353CC}">
                  <c16:uniqueId val="{00000007-005C-4A53-B72A-52F8BDA7F675}"/>
                </c:ext>
              </c:extLst>
            </c:dLbl>
            <c:dLbl>
              <c:idx val="3"/>
              <c:delete val="1"/>
              <c:extLst>
                <c:ext xmlns:c15="http://schemas.microsoft.com/office/drawing/2012/chart" uri="{CE6537A1-D6FC-4f65-9D91-7224C49458BB}"/>
                <c:ext xmlns:c16="http://schemas.microsoft.com/office/drawing/2014/chart" uri="{C3380CC4-5D6E-409C-BE32-E72D297353CC}">
                  <c16:uniqueId val="{0000000D-005C-4A53-B72A-52F8BDA7F675}"/>
                </c:ext>
              </c:extLst>
            </c:dLbl>
            <c:dLbl>
              <c:idx val="4"/>
              <c:delete val="1"/>
              <c:extLst>
                <c:ext xmlns:c15="http://schemas.microsoft.com/office/drawing/2012/chart" uri="{CE6537A1-D6FC-4f65-9D91-7224C49458BB}"/>
                <c:ext xmlns:c16="http://schemas.microsoft.com/office/drawing/2014/chart" uri="{C3380CC4-5D6E-409C-BE32-E72D297353CC}">
                  <c16:uniqueId val="{0000000E-005C-4A53-B72A-52F8BDA7F675}"/>
                </c:ext>
              </c:extLst>
            </c:dLbl>
            <c:dLbl>
              <c:idx val="5"/>
              <c:delete val="1"/>
              <c:extLst>
                <c:ext xmlns:c15="http://schemas.microsoft.com/office/drawing/2012/chart" uri="{CE6537A1-D6FC-4f65-9D91-7224C49458BB}"/>
                <c:ext xmlns:c16="http://schemas.microsoft.com/office/drawing/2014/chart" uri="{C3380CC4-5D6E-409C-BE32-E72D297353CC}">
                  <c16:uniqueId val="{00000010-005C-4A53-B72A-52F8BDA7F675}"/>
                </c:ext>
              </c:extLst>
            </c:dLbl>
            <c:dLbl>
              <c:idx val="6"/>
              <c:delete val="1"/>
              <c:extLst>
                <c:ext xmlns:c15="http://schemas.microsoft.com/office/drawing/2012/chart" uri="{CE6537A1-D6FC-4f65-9D91-7224C49458BB}"/>
                <c:ext xmlns:c16="http://schemas.microsoft.com/office/drawing/2014/chart" uri="{C3380CC4-5D6E-409C-BE32-E72D297353CC}">
                  <c16:uniqueId val="{00000013-005C-4A53-B72A-52F8BDA7F675}"/>
                </c:ext>
              </c:extLst>
            </c:dLbl>
            <c:dLbl>
              <c:idx val="7"/>
              <c:delete val="1"/>
              <c:extLst>
                <c:ext xmlns:c15="http://schemas.microsoft.com/office/drawing/2012/chart" uri="{CE6537A1-D6FC-4f65-9D91-7224C49458BB}"/>
                <c:ext xmlns:c16="http://schemas.microsoft.com/office/drawing/2014/chart" uri="{C3380CC4-5D6E-409C-BE32-E72D297353CC}">
                  <c16:uniqueId val="{00000015-005C-4A53-B72A-52F8BDA7F675}"/>
                </c:ext>
              </c:extLst>
            </c:dLbl>
            <c:dLbl>
              <c:idx val="8"/>
              <c:delete val="1"/>
              <c:extLst>
                <c:ext xmlns:c15="http://schemas.microsoft.com/office/drawing/2012/chart" uri="{CE6537A1-D6FC-4f65-9D91-7224C49458BB}"/>
                <c:ext xmlns:c16="http://schemas.microsoft.com/office/drawing/2014/chart" uri="{C3380CC4-5D6E-409C-BE32-E72D297353CC}">
                  <c16:uniqueId val="{00000019-005C-4A53-B72A-52F8BDA7F675}"/>
                </c:ext>
              </c:extLst>
            </c:dLbl>
            <c:dLbl>
              <c:idx val="9"/>
              <c:delete val="1"/>
              <c:extLst>
                <c:ext xmlns:c15="http://schemas.microsoft.com/office/drawing/2012/chart" uri="{CE6537A1-D6FC-4f65-9D91-7224C49458BB}"/>
                <c:ext xmlns:c16="http://schemas.microsoft.com/office/drawing/2014/chart" uri="{C3380CC4-5D6E-409C-BE32-E72D297353CC}">
                  <c16:uniqueId val="{0000001C-005C-4A53-B72A-52F8BDA7F675}"/>
                </c:ext>
              </c:extLst>
            </c:dLbl>
            <c:dLbl>
              <c:idx val="10"/>
              <c:layout>
                <c:manualLayout>
                  <c:x val="-5.7050160396617088E-5"/>
                  <c:y val="-2.57639670041245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005C-4A53-B72A-52F8BDA7F675}"/>
                </c:ext>
              </c:extLst>
            </c:dLbl>
            <c:numFmt formatCode="&quot;£&quot;#,##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Sheet1!$C$2:$C$12</c:f>
              <c:numCache>
                <c:formatCode>General</c:formatCode>
                <c:ptCount val="11"/>
                <c:pt idx="0">
                  <c:v>442.9</c:v>
                </c:pt>
                <c:pt idx="1">
                  <c:v>467.4</c:v>
                </c:pt>
                <c:pt idx="2">
                  <c:v>482.7</c:v>
                </c:pt>
                <c:pt idx="3">
                  <c:v>503.5</c:v>
                </c:pt>
                <c:pt idx="4">
                  <c:v>524.20000000000005</c:v>
                </c:pt>
                <c:pt idx="5">
                  <c:v>508.1</c:v>
                </c:pt>
                <c:pt idx="6">
                  <c:v>562.79999999999995</c:v>
                </c:pt>
                <c:pt idx="7">
                  <c:v>592</c:v>
                </c:pt>
                <c:pt idx="8">
                  <c:v>633.79999999999995</c:v>
                </c:pt>
                <c:pt idx="9">
                  <c:v>646.70000000000005</c:v>
                </c:pt>
                <c:pt idx="10">
                  <c:v>675.3</c:v>
                </c:pt>
              </c:numCache>
            </c:numRef>
          </c:val>
          <c:smooth val="0"/>
          <c:extLst>
            <c:ext xmlns:c16="http://schemas.microsoft.com/office/drawing/2014/chart" uri="{C3380CC4-5D6E-409C-BE32-E72D297353CC}">
              <c16:uniqueId val="{00000001-005C-4A53-B72A-52F8BDA7F675}"/>
            </c:ext>
          </c:extLst>
        </c:ser>
        <c:ser>
          <c:idx val="2"/>
          <c:order val="2"/>
          <c:tx>
            <c:strRef>
              <c:f>Sheet1!$D$1</c:f>
              <c:strCache>
                <c:ptCount val="1"/>
                <c:pt idx="0">
                  <c:v>Northern Ireland (£)</c:v>
                </c:pt>
              </c:strCache>
            </c:strRef>
          </c:tx>
          <c:spPr>
            <a:ln w="28575" cap="rnd">
              <a:solidFill>
                <a:schemeClr val="accent3"/>
              </a:solidFill>
              <a:prstDash val="sysDash"/>
              <a:round/>
            </a:ln>
            <a:effectLst/>
          </c:spPr>
          <c:marker>
            <c:symbol val="none"/>
          </c:marker>
          <c:dLbls>
            <c:dLbl>
              <c:idx val="0"/>
              <c:layout>
                <c:manualLayout>
                  <c:x val="-6.7858887430737827E-2"/>
                  <c:y val="-4.56052368453944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005C-4A53-B72A-52F8BDA7F675}"/>
                </c:ext>
              </c:extLst>
            </c:dLbl>
            <c:dLbl>
              <c:idx val="1"/>
              <c:delete val="1"/>
              <c:extLst>
                <c:ext xmlns:c15="http://schemas.microsoft.com/office/drawing/2012/chart" uri="{CE6537A1-D6FC-4f65-9D91-7224C49458BB}"/>
                <c:ext xmlns:c16="http://schemas.microsoft.com/office/drawing/2014/chart" uri="{C3380CC4-5D6E-409C-BE32-E72D297353CC}">
                  <c16:uniqueId val="{00000003-005C-4A53-B72A-52F8BDA7F675}"/>
                </c:ext>
              </c:extLst>
            </c:dLbl>
            <c:dLbl>
              <c:idx val="2"/>
              <c:delete val="1"/>
              <c:extLst>
                <c:ext xmlns:c15="http://schemas.microsoft.com/office/drawing/2012/chart" uri="{CE6537A1-D6FC-4f65-9D91-7224C49458BB}"/>
                <c:ext xmlns:c16="http://schemas.microsoft.com/office/drawing/2014/chart" uri="{C3380CC4-5D6E-409C-BE32-E72D297353CC}">
                  <c16:uniqueId val="{00000006-005C-4A53-B72A-52F8BDA7F675}"/>
                </c:ext>
              </c:extLst>
            </c:dLbl>
            <c:dLbl>
              <c:idx val="3"/>
              <c:delete val="1"/>
              <c:extLst>
                <c:ext xmlns:c15="http://schemas.microsoft.com/office/drawing/2012/chart" uri="{CE6537A1-D6FC-4f65-9D91-7224C49458BB}"/>
                <c:ext xmlns:c16="http://schemas.microsoft.com/office/drawing/2014/chart" uri="{C3380CC4-5D6E-409C-BE32-E72D297353CC}">
                  <c16:uniqueId val="{00000009-005C-4A53-B72A-52F8BDA7F675}"/>
                </c:ext>
              </c:extLst>
            </c:dLbl>
            <c:dLbl>
              <c:idx val="4"/>
              <c:delete val="1"/>
              <c:extLst>
                <c:ext xmlns:c15="http://schemas.microsoft.com/office/drawing/2012/chart" uri="{CE6537A1-D6FC-4f65-9D91-7224C49458BB}"/>
                <c:ext xmlns:c16="http://schemas.microsoft.com/office/drawing/2014/chart" uri="{C3380CC4-5D6E-409C-BE32-E72D297353CC}">
                  <c16:uniqueId val="{0000000B-005C-4A53-B72A-52F8BDA7F675}"/>
                </c:ext>
              </c:extLst>
            </c:dLbl>
            <c:dLbl>
              <c:idx val="5"/>
              <c:delete val="1"/>
              <c:extLst>
                <c:ext xmlns:c15="http://schemas.microsoft.com/office/drawing/2012/chart" uri="{CE6537A1-D6FC-4f65-9D91-7224C49458BB}"/>
                <c:ext xmlns:c16="http://schemas.microsoft.com/office/drawing/2014/chart" uri="{C3380CC4-5D6E-409C-BE32-E72D297353CC}">
                  <c16:uniqueId val="{0000000F-005C-4A53-B72A-52F8BDA7F675}"/>
                </c:ext>
              </c:extLst>
            </c:dLbl>
            <c:dLbl>
              <c:idx val="6"/>
              <c:delete val="1"/>
              <c:extLst>
                <c:ext xmlns:c15="http://schemas.microsoft.com/office/drawing/2012/chart" uri="{CE6537A1-D6FC-4f65-9D91-7224C49458BB}"/>
                <c:ext xmlns:c16="http://schemas.microsoft.com/office/drawing/2014/chart" uri="{C3380CC4-5D6E-409C-BE32-E72D297353CC}">
                  <c16:uniqueId val="{00000012-005C-4A53-B72A-52F8BDA7F675}"/>
                </c:ext>
              </c:extLst>
            </c:dLbl>
            <c:dLbl>
              <c:idx val="7"/>
              <c:delete val="1"/>
              <c:extLst>
                <c:ext xmlns:c15="http://schemas.microsoft.com/office/drawing/2012/chart" uri="{CE6537A1-D6FC-4f65-9D91-7224C49458BB}"/>
                <c:ext xmlns:c16="http://schemas.microsoft.com/office/drawing/2014/chart" uri="{C3380CC4-5D6E-409C-BE32-E72D297353CC}">
                  <c16:uniqueId val="{00000016-005C-4A53-B72A-52F8BDA7F675}"/>
                </c:ext>
              </c:extLst>
            </c:dLbl>
            <c:dLbl>
              <c:idx val="8"/>
              <c:delete val="1"/>
              <c:extLst>
                <c:ext xmlns:c15="http://schemas.microsoft.com/office/drawing/2012/chart" uri="{CE6537A1-D6FC-4f65-9D91-7224C49458BB}"/>
                <c:ext xmlns:c16="http://schemas.microsoft.com/office/drawing/2014/chart" uri="{C3380CC4-5D6E-409C-BE32-E72D297353CC}">
                  <c16:uniqueId val="{00000018-005C-4A53-B72A-52F8BDA7F675}"/>
                </c:ext>
              </c:extLst>
            </c:dLbl>
            <c:dLbl>
              <c:idx val="9"/>
              <c:delete val="1"/>
              <c:extLst>
                <c:ext xmlns:c15="http://schemas.microsoft.com/office/drawing/2012/chart" uri="{CE6537A1-D6FC-4f65-9D91-7224C49458BB}"/>
                <c:ext xmlns:c16="http://schemas.microsoft.com/office/drawing/2014/chart" uri="{C3380CC4-5D6E-409C-BE32-E72D297353CC}">
                  <c16:uniqueId val="{0000001B-005C-4A53-B72A-52F8BDA7F675}"/>
                </c:ext>
              </c:extLst>
            </c:dLbl>
            <c:numFmt formatCode="&quot;£&quot;#,##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Sheet1!$D$2:$D$12</c:f>
              <c:numCache>
                <c:formatCode>General</c:formatCode>
                <c:ptCount val="11"/>
                <c:pt idx="0">
                  <c:v>484.7</c:v>
                </c:pt>
                <c:pt idx="1">
                  <c:v>493.6</c:v>
                </c:pt>
                <c:pt idx="2">
                  <c:v>500</c:v>
                </c:pt>
                <c:pt idx="3">
                  <c:v>517.79999999999995</c:v>
                </c:pt>
                <c:pt idx="4">
                  <c:v>534.5</c:v>
                </c:pt>
                <c:pt idx="5">
                  <c:v>528.70000000000005</c:v>
                </c:pt>
                <c:pt idx="6">
                  <c:v>574.9</c:v>
                </c:pt>
                <c:pt idx="7">
                  <c:v>596.79999999999995</c:v>
                </c:pt>
                <c:pt idx="8">
                  <c:v>638.70000000000005</c:v>
                </c:pt>
                <c:pt idx="9">
                  <c:v>666.1</c:v>
                </c:pt>
                <c:pt idx="10">
                  <c:v>713.1</c:v>
                </c:pt>
              </c:numCache>
            </c:numRef>
          </c:val>
          <c:smooth val="0"/>
          <c:extLst>
            <c:ext xmlns:c16="http://schemas.microsoft.com/office/drawing/2014/chart" uri="{C3380CC4-5D6E-409C-BE32-E72D297353CC}">
              <c16:uniqueId val="{00000002-005C-4A53-B72A-52F8BDA7F675}"/>
            </c:ext>
          </c:extLst>
        </c:ser>
        <c:dLbls>
          <c:dLblPos val="t"/>
          <c:showLegendKey val="0"/>
          <c:showVal val="1"/>
          <c:showCatName val="0"/>
          <c:showSerName val="0"/>
          <c:showPercent val="0"/>
          <c:showBubbleSize val="0"/>
        </c:dLbls>
        <c:smooth val="0"/>
        <c:axId val="1707520304"/>
        <c:axId val="1707515984"/>
      </c:lineChart>
      <c:catAx>
        <c:axId val="1707520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7515984"/>
        <c:crosses val="autoZero"/>
        <c:auto val="1"/>
        <c:lblAlgn val="ctr"/>
        <c:lblOffset val="100"/>
        <c:noMultiLvlLbl val="0"/>
      </c:catAx>
      <c:valAx>
        <c:axId val="1707515984"/>
        <c:scaling>
          <c:orientation val="minMax"/>
          <c:min val="4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7520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Part-Time</c:v>
                </c:pt>
                <c:pt idx="1">
                  <c:v>Full-Time</c:v>
                </c:pt>
                <c:pt idx="2">
                  <c:v>All Employees</c:v>
                </c:pt>
              </c:strCache>
            </c:strRef>
          </c:cat>
          <c:val>
            <c:numRef>
              <c:f>Sheet1!$B$2:$B$4</c:f>
              <c:numCache>
                <c:formatCode>General</c:formatCode>
                <c:ptCount val="3"/>
                <c:pt idx="0">
                  <c:v>17.600000000000001</c:v>
                </c:pt>
                <c:pt idx="1">
                  <c:v>39</c:v>
                </c:pt>
                <c:pt idx="2">
                  <c:v>37.5</c:v>
                </c:pt>
              </c:numCache>
            </c:numRef>
          </c:val>
          <c:extLst>
            <c:ext xmlns:c16="http://schemas.microsoft.com/office/drawing/2014/chart" uri="{C3380CC4-5D6E-409C-BE32-E72D297353CC}">
              <c16:uniqueId val="{00000000-6650-4372-8E88-F146D3D1316A}"/>
            </c:ext>
          </c:extLst>
        </c:ser>
        <c:ser>
          <c:idx val="1"/>
          <c:order val="1"/>
          <c:tx>
            <c:strRef>
              <c:f>Sheet1!$C$1</c:f>
              <c:strCache>
                <c:ptCount val="1"/>
                <c:pt idx="0">
                  <c:v>Female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Part-Time</c:v>
                </c:pt>
                <c:pt idx="1">
                  <c:v>Full-Time</c:v>
                </c:pt>
                <c:pt idx="2">
                  <c:v>All Employees</c:v>
                </c:pt>
              </c:strCache>
            </c:strRef>
          </c:cat>
          <c:val>
            <c:numRef>
              <c:f>Sheet1!$C$2:$C$4</c:f>
              <c:numCache>
                <c:formatCode>General</c:formatCode>
                <c:ptCount val="3"/>
                <c:pt idx="0">
                  <c:v>20.2</c:v>
                </c:pt>
                <c:pt idx="1">
                  <c:v>37.5</c:v>
                </c:pt>
                <c:pt idx="2">
                  <c:v>32.9</c:v>
                </c:pt>
              </c:numCache>
            </c:numRef>
          </c:val>
          <c:extLst>
            <c:ext xmlns:c16="http://schemas.microsoft.com/office/drawing/2014/chart" uri="{C3380CC4-5D6E-409C-BE32-E72D297353CC}">
              <c16:uniqueId val="{00000001-6650-4372-8E88-F146D3D1316A}"/>
            </c:ext>
          </c:extLst>
        </c:ser>
        <c:ser>
          <c:idx val="2"/>
          <c:order val="2"/>
          <c:tx>
            <c:strRef>
              <c:f>Sheet1!$D$1</c:f>
              <c:strCache>
                <c:ptCount val="1"/>
                <c:pt idx="0">
                  <c:v>Total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Part-Time</c:v>
                </c:pt>
                <c:pt idx="1">
                  <c:v>Full-Time</c:v>
                </c:pt>
                <c:pt idx="2">
                  <c:v>All Employees</c:v>
                </c:pt>
              </c:strCache>
            </c:strRef>
          </c:cat>
          <c:val>
            <c:numRef>
              <c:f>Sheet1!$D$2:$D$4</c:f>
              <c:numCache>
                <c:formatCode>General</c:formatCode>
                <c:ptCount val="3"/>
                <c:pt idx="0">
                  <c:v>19.899999999999999</c:v>
                </c:pt>
                <c:pt idx="1">
                  <c:v>37.6</c:v>
                </c:pt>
                <c:pt idx="2">
                  <c:v>37.299999999999997</c:v>
                </c:pt>
              </c:numCache>
            </c:numRef>
          </c:val>
          <c:extLst>
            <c:ext xmlns:c16="http://schemas.microsoft.com/office/drawing/2014/chart" uri="{C3380CC4-5D6E-409C-BE32-E72D297353CC}">
              <c16:uniqueId val="{00000002-6650-4372-8E88-F146D3D1316A}"/>
            </c:ext>
          </c:extLst>
        </c:ser>
        <c:dLbls>
          <c:dLblPos val="inEnd"/>
          <c:showLegendKey val="0"/>
          <c:showVal val="1"/>
          <c:showCatName val="0"/>
          <c:showSerName val="0"/>
          <c:showPercent val="0"/>
          <c:showBubbleSize val="0"/>
        </c:dLbls>
        <c:gapWidth val="219"/>
        <c:axId val="1139326976"/>
        <c:axId val="2057328367"/>
      </c:barChart>
      <c:catAx>
        <c:axId val="1139326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7328367"/>
        <c:crosses val="autoZero"/>
        <c:auto val="1"/>
        <c:lblAlgn val="ctr"/>
        <c:lblOffset val="100"/>
        <c:noMultiLvlLbl val="0"/>
      </c:catAx>
      <c:valAx>
        <c:axId val="2057328367"/>
        <c:scaling>
          <c:orientation val="minMax"/>
        </c:scaling>
        <c:delete val="0"/>
        <c:axPos val="l"/>
        <c:majorGridlines>
          <c:spPr>
            <a:ln w="12700"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Hours Worked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9326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4B1BD-A2B5-436E-9600-189FEA7DF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7</Pages>
  <Words>2004</Words>
  <Characters>10665</Characters>
  <Application>Microsoft Office Word</Application>
  <DocSecurity>0</DocSecurity>
  <Lines>410</Lines>
  <Paragraphs>287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12382</CharactersWithSpaces>
  <SharedDoc>false</SharedDoc>
  <HLinks>
    <vt:vector size="30" baseType="variant">
      <vt:variant>
        <vt:i4>4325405</vt:i4>
      </vt:variant>
      <vt:variant>
        <vt:i4>0</vt:i4>
      </vt:variant>
      <vt:variant>
        <vt:i4>0</vt:i4>
      </vt:variant>
      <vt:variant>
        <vt:i4>5</vt:i4>
      </vt:variant>
      <vt:variant>
        <vt:lpwstr>https://www.nisra.gov.uk/statistics/labour-market-and-social-welfare/annual-survey-hours-and-earnings</vt:lpwstr>
      </vt:variant>
      <vt:variant>
        <vt:lpwstr/>
      </vt:variant>
      <vt:variant>
        <vt:i4>4194377</vt:i4>
      </vt:variant>
      <vt:variant>
        <vt:i4>9</vt:i4>
      </vt:variant>
      <vt:variant>
        <vt:i4>0</vt:i4>
      </vt:variant>
      <vt:variant>
        <vt:i4>5</vt:i4>
      </vt:variant>
      <vt:variant>
        <vt:lpwstr>https://www.ons.gov.uk/employmentandlabourmarket/peopleinwork/employmentandemployeetypes/articles/povertyandemploymenttransitionsintheukandeu/2015-03-10</vt:lpwstr>
      </vt:variant>
      <vt:variant>
        <vt:lpwstr/>
      </vt:variant>
      <vt:variant>
        <vt:i4>1704031</vt:i4>
      </vt:variant>
      <vt:variant>
        <vt:i4>6</vt:i4>
      </vt:variant>
      <vt:variant>
        <vt:i4>0</vt:i4>
      </vt:variant>
      <vt:variant>
        <vt:i4>5</vt:i4>
      </vt:variant>
      <vt:variant>
        <vt:lpwstr>https://datavis.nisra.gov.uk/economy-and-labour-market/Employee-earnings-NI-2024.html</vt:lpwstr>
      </vt:variant>
      <vt:variant>
        <vt:lpwstr/>
      </vt:variant>
      <vt:variant>
        <vt:i4>3604538</vt:i4>
      </vt:variant>
      <vt:variant>
        <vt:i4>3</vt:i4>
      </vt:variant>
      <vt:variant>
        <vt:i4>0</vt:i4>
      </vt:variant>
      <vt:variant>
        <vt:i4>5</vt:i4>
      </vt:variant>
      <vt:variant>
        <vt:lpwstr>https://view.officeapps.live.com/op/view.aspx?src=https%3A%2F%2Fwww.nisra.gov.uk%2Fsystem%2Ffiles%2Fstatistics%2Flabour-market-structure-2023.xlsx&amp;wdOrigin=BROWSELINK</vt:lpwstr>
      </vt:variant>
      <vt:variant>
        <vt:lpwstr/>
      </vt:variant>
      <vt:variant>
        <vt:i4>1835103</vt:i4>
      </vt:variant>
      <vt:variant>
        <vt:i4>0</vt:i4>
      </vt:variant>
      <vt:variant>
        <vt:i4>0</vt:i4>
      </vt:variant>
      <vt:variant>
        <vt:i4>5</vt:i4>
      </vt:variant>
      <vt:variant>
        <vt:lpwstr>https://datavis.nisra.gov.uk/economy-and-labour-market/employee-earnings-NI-2022.html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Gordon</dc:creator>
  <cp:keywords/>
  <dc:description/>
  <cp:lastModifiedBy>Sarah McMillan</cp:lastModifiedBy>
  <cp:revision>13</cp:revision>
  <cp:lastPrinted>2023-12-11T14:11:00Z</cp:lastPrinted>
  <dcterms:created xsi:type="dcterms:W3CDTF">2026-05-05T11:32:00Z</dcterms:created>
  <dcterms:modified xsi:type="dcterms:W3CDTF">2026-05-06T13:38:00Z</dcterms:modified>
</cp:coreProperties>
</file>