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E5861" w14:textId="77777777" w:rsidR="00163756" w:rsidRDefault="00FD1406" w:rsidP="00163756">
      <w:pPr>
        <w:rPr>
          <w:b/>
        </w:rPr>
      </w:pPr>
      <w:r>
        <w:rPr>
          <w:b/>
        </w:rPr>
        <w:t>Town Centre Vacancy Rates</w:t>
      </w:r>
    </w:p>
    <w:p w14:paraId="3A217215" w14:textId="50BA7850" w:rsidR="00163756" w:rsidRDefault="00FD1406" w:rsidP="00163756">
      <w:r>
        <w:t xml:space="preserve">Vacancy rates for non-domestic properties are available for the five main city / town centres in the </w:t>
      </w:r>
      <w:r w:rsidR="00C11AEB">
        <w:t>B</w:t>
      </w:r>
      <w:r>
        <w:t>orough (Armagh, Banbridge, Craigavon, Lurgan and Portadown) and Dromore from the Town Centre Database (using data from Land and Property Services) produced by the Department for Communities.</w:t>
      </w:r>
      <w:r w:rsidR="004239CA">
        <w:t xml:space="preserve"> A property refers to a hereditament which is subject to rates and not individual buildings.</w:t>
      </w:r>
    </w:p>
    <w:p w14:paraId="3022583C" w14:textId="15786D78" w:rsidR="008F7B50" w:rsidRDefault="00936C9E" w:rsidP="00163756">
      <w:r w:rsidRPr="00EB4ADC">
        <w:t xml:space="preserve">As </w:t>
      </w:r>
      <w:proofErr w:type="gramStart"/>
      <w:r w:rsidRPr="00EB4ADC">
        <w:t>at</w:t>
      </w:r>
      <w:proofErr w:type="gramEnd"/>
      <w:r w:rsidRPr="00EB4ADC">
        <w:t xml:space="preserve"> </w:t>
      </w:r>
      <w:r w:rsidR="00DD2CED">
        <w:t>30</w:t>
      </w:r>
      <w:r w:rsidR="00DD2CED" w:rsidRPr="00DD2CED">
        <w:rPr>
          <w:vertAlign w:val="superscript"/>
        </w:rPr>
        <w:t>th</w:t>
      </w:r>
      <w:r w:rsidR="00DD2CED">
        <w:t xml:space="preserve"> April </w:t>
      </w:r>
      <w:r w:rsidR="00354B28">
        <w:t>202</w:t>
      </w:r>
      <w:r w:rsidR="00DD2CED">
        <w:t>5</w:t>
      </w:r>
      <w:r w:rsidR="00FD1406" w:rsidRPr="00EB4ADC">
        <w:t xml:space="preserve">, vacancy rates in the </w:t>
      </w:r>
      <w:r w:rsidR="00C11AEB">
        <w:t>B</w:t>
      </w:r>
      <w:r w:rsidRPr="00EB4ADC">
        <w:t xml:space="preserve">orough varied from </w:t>
      </w:r>
      <w:r w:rsidR="00DD2CED">
        <w:t>7.8</w:t>
      </w:r>
      <w:r w:rsidRPr="00EB4ADC">
        <w:t xml:space="preserve">% in Craigavon to </w:t>
      </w:r>
      <w:r w:rsidR="00DE0A7D">
        <w:t>2</w:t>
      </w:r>
      <w:r w:rsidR="00DD2CED">
        <w:t>3</w:t>
      </w:r>
      <w:r w:rsidR="00FD1406" w:rsidRPr="00EB4ADC">
        <w:t xml:space="preserve">% in Dromore. </w:t>
      </w:r>
      <w:r w:rsidR="00D71F6B" w:rsidRPr="00EB4ADC">
        <w:t xml:space="preserve"> </w:t>
      </w:r>
      <w:r w:rsidR="00FD1406" w:rsidRPr="00EB4ADC">
        <w:t>This compares to a Northern Irela</w:t>
      </w:r>
      <w:r w:rsidRPr="00EB4ADC">
        <w:t xml:space="preserve">nd average vacancy level of </w:t>
      </w:r>
      <w:r w:rsidR="00DD2CED">
        <w:t>23</w:t>
      </w:r>
      <w:r w:rsidR="00FD1406" w:rsidRPr="00EB4ADC">
        <w:t>%.</w:t>
      </w:r>
    </w:p>
    <w:tbl>
      <w:tblPr>
        <w:tblStyle w:val="GridTable1Light"/>
        <w:tblW w:w="8020" w:type="dxa"/>
        <w:tblLook w:val="04A0" w:firstRow="1" w:lastRow="0" w:firstColumn="1" w:lastColumn="0" w:noHBand="0" w:noVBand="1"/>
      </w:tblPr>
      <w:tblGrid>
        <w:gridCol w:w="1780"/>
        <w:gridCol w:w="2080"/>
        <w:gridCol w:w="2080"/>
        <w:gridCol w:w="2080"/>
      </w:tblGrid>
      <w:tr w:rsidR="00354B28" w:rsidRPr="00354B28" w14:paraId="12EAF16E" w14:textId="77777777" w:rsidTr="00354B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noWrap/>
            <w:hideMark/>
          </w:tcPr>
          <w:p w14:paraId="6D18CF67" w14:textId="77777777" w:rsidR="00354B28" w:rsidRPr="00354B28" w:rsidRDefault="00354B28" w:rsidP="00354B2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4B2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240" w:type="dxa"/>
            <w:gridSpan w:val="3"/>
            <w:noWrap/>
            <w:hideMark/>
          </w:tcPr>
          <w:p w14:paraId="6BD985B2" w14:textId="1FCAFB3D" w:rsidR="00354B28" w:rsidRPr="00DD2CED" w:rsidRDefault="00DD2CED" w:rsidP="00DD2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DD2CED">
              <w:rPr>
                <w:rFonts w:ascii="Calibri" w:hAnsi="Calibri" w:cs="Calibri"/>
                <w:color w:val="000000"/>
              </w:rPr>
              <w:t>30th April 2025</w:t>
            </w:r>
          </w:p>
        </w:tc>
      </w:tr>
      <w:tr w:rsidR="00354B28" w:rsidRPr="00354B28" w14:paraId="728D786D" w14:textId="77777777" w:rsidTr="00354B2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noWrap/>
            <w:hideMark/>
          </w:tcPr>
          <w:p w14:paraId="5A3CD4DD" w14:textId="77777777" w:rsidR="00354B28" w:rsidRPr="00354B28" w:rsidRDefault="00354B28" w:rsidP="00354B2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4B2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80" w:type="dxa"/>
            <w:hideMark/>
          </w:tcPr>
          <w:p w14:paraId="6ABEFC32" w14:textId="77777777" w:rsidR="00354B28" w:rsidRPr="00354B28" w:rsidRDefault="00354B28" w:rsidP="00354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54B2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No. of Properties</w:t>
            </w:r>
          </w:p>
        </w:tc>
        <w:tc>
          <w:tcPr>
            <w:tcW w:w="2080" w:type="dxa"/>
            <w:hideMark/>
          </w:tcPr>
          <w:p w14:paraId="3BDE092B" w14:textId="77777777" w:rsidR="00354B28" w:rsidRPr="00354B28" w:rsidRDefault="00354B28" w:rsidP="00354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54B2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No. of Vacant Properties</w:t>
            </w:r>
          </w:p>
        </w:tc>
        <w:tc>
          <w:tcPr>
            <w:tcW w:w="2080" w:type="dxa"/>
            <w:hideMark/>
          </w:tcPr>
          <w:p w14:paraId="50128BE4" w14:textId="77777777" w:rsidR="00354B28" w:rsidRPr="00354B28" w:rsidRDefault="00354B28" w:rsidP="00354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54B2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% of Vacant Properties</w:t>
            </w:r>
          </w:p>
        </w:tc>
      </w:tr>
      <w:tr w:rsidR="00DD2CED" w:rsidRPr="00354B28" w14:paraId="545F3A59" w14:textId="77777777" w:rsidTr="002E01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noWrap/>
            <w:hideMark/>
          </w:tcPr>
          <w:p w14:paraId="3851DC31" w14:textId="77777777" w:rsidR="00DD2CED" w:rsidRPr="00354B28" w:rsidRDefault="00DD2CED" w:rsidP="00DD2CE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4B28">
              <w:rPr>
                <w:rFonts w:ascii="Calibri" w:eastAsia="Times New Roman" w:hAnsi="Calibri" w:cs="Calibri"/>
                <w:color w:val="000000"/>
                <w:lang w:eastAsia="en-GB"/>
              </w:rPr>
              <w:t>Armagh</w:t>
            </w:r>
          </w:p>
        </w:tc>
        <w:tc>
          <w:tcPr>
            <w:tcW w:w="2080" w:type="dxa"/>
            <w:noWrap/>
            <w:vAlign w:val="bottom"/>
            <w:hideMark/>
          </w:tcPr>
          <w:p w14:paraId="37792189" w14:textId="7426AD78" w:rsidR="00DD2CED" w:rsidRPr="00354B28" w:rsidRDefault="00DD2CED" w:rsidP="00DD2C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734</w:t>
            </w:r>
          </w:p>
        </w:tc>
        <w:tc>
          <w:tcPr>
            <w:tcW w:w="2080" w:type="dxa"/>
            <w:noWrap/>
            <w:vAlign w:val="bottom"/>
            <w:hideMark/>
          </w:tcPr>
          <w:p w14:paraId="3D086787" w14:textId="6146ED8B" w:rsidR="00DD2CED" w:rsidRPr="00354B28" w:rsidRDefault="00DD2CED" w:rsidP="00DD2C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129</w:t>
            </w:r>
          </w:p>
        </w:tc>
        <w:tc>
          <w:tcPr>
            <w:tcW w:w="2080" w:type="dxa"/>
            <w:noWrap/>
            <w:vAlign w:val="bottom"/>
            <w:hideMark/>
          </w:tcPr>
          <w:p w14:paraId="067868F5" w14:textId="0BFA648F" w:rsidR="00DD2CED" w:rsidRPr="00354B28" w:rsidRDefault="00DD2CED" w:rsidP="00DD2C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>
              <w:rPr>
                <w:rFonts w:ascii="Calibri" w:hAnsi="Calibri" w:cs="Calibri"/>
                <w:i/>
                <w:iCs/>
              </w:rPr>
              <w:t>17.6%</w:t>
            </w:r>
          </w:p>
        </w:tc>
      </w:tr>
      <w:tr w:rsidR="00DD2CED" w:rsidRPr="00354B28" w14:paraId="1F1B760E" w14:textId="77777777" w:rsidTr="002E01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noWrap/>
            <w:hideMark/>
          </w:tcPr>
          <w:p w14:paraId="644E3CC6" w14:textId="77777777" w:rsidR="00DD2CED" w:rsidRPr="00354B28" w:rsidRDefault="00DD2CED" w:rsidP="00DD2CE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4B28">
              <w:rPr>
                <w:rFonts w:ascii="Calibri" w:eastAsia="Times New Roman" w:hAnsi="Calibri" w:cs="Calibri"/>
                <w:color w:val="000000"/>
                <w:lang w:eastAsia="en-GB"/>
              </w:rPr>
              <w:t>Banbridge</w:t>
            </w:r>
          </w:p>
        </w:tc>
        <w:tc>
          <w:tcPr>
            <w:tcW w:w="2080" w:type="dxa"/>
            <w:noWrap/>
            <w:vAlign w:val="bottom"/>
            <w:hideMark/>
          </w:tcPr>
          <w:p w14:paraId="287E6CF8" w14:textId="6503FD38" w:rsidR="00DD2CED" w:rsidRPr="00354B28" w:rsidRDefault="00DD2CED" w:rsidP="00DD2C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429</w:t>
            </w:r>
          </w:p>
        </w:tc>
        <w:tc>
          <w:tcPr>
            <w:tcW w:w="2080" w:type="dxa"/>
            <w:noWrap/>
            <w:vAlign w:val="bottom"/>
            <w:hideMark/>
          </w:tcPr>
          <w:p w14:paraId="1527354C" w14:textId="2028EDE2" w:rsidR="00DD2CED" w:rsidRPr="00354B28" w:rsidRDefault="00DD2CED" w:rsidP="00DD2C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2080" w:type="dxa"/>
            <w:noWrap/>
            <w:vAlign w:val="bottom"/>
            <w:hideMark/>
          </w:tcPr>
          <w:p w14:paraId="1C3457DD" w14:textId="31946013" w:rsidR="00DD2CED" w:rsidRPr="00354B28" w:rsidRDefault="00DD2CED" w:rsidP="00DD2C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>
              <w:rPr>
                <w:rFonts w:ascii="Calibri" w:hAnsi="Calibri" w:cs="Calibri"/>
                <w:i/>
                <w:iCs/>
              </w:rPr>
              <w:t>14.9%</w:t>
            </w:r>
          </w:p>
        </w:tc>
      </w:tr>
      <w:tr w:rsidR="00DD2CED" w:rsidRPr="00354B28" w14:paraId="3CF7ABD2" w14:textId="77777777" w:rsidTr="002E01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noWrap/>
            <w:hideMark/>
          </w:tcPr>
          <w:p w14:paraId="7B8CB679" w14:textId="77777777" w:rsidR="00DD2CED" w:rsidRPr="00354B28" w:rsidRDefault="00DD2CED" w:rsidP="00DD2CE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4B28">
              <w:rPr>
                <w:rFonts w:ascii="Calibri" w:eastAsia="Times New Roman" w:hAnsi="Calibri" w:cs="Calibri"/>
                <w:color w:val="000000"/>
                <w:lang w:eastAsia="en-GB"/>
              </w:rPr>
              <w:t>Craigavon</w:t>
            </w:r>
          </w:p>
        </w:tc>
        <w:tc>
          <w:tcPr>
            <w:tcW w:w="2080" w:type="dxa"/>
            <w:noWrap/>
            <w:vAlign w:val="bottom"/>
            <w:hideMark/>
          </w:tcPr>
          <w:p w14:paraId="6041336B" w14:textId="587B04CE" w:rsidR="00DD2CED" w:rsidRPr="00354B28" w:rsidRDefault="00DD2CED" w:rsidP="00DD2C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102</w:t>
            </w:r>
          </w:p>
        </w:tc>
        <w:tc>
          <w:tcPr>
            <w:tcW w:w="2080" w:type="dxa"/>
            <w:noWrap/>
            <w:vAlign w:val="bottom"/>
            <w:hideMark/>
          </w:tcPr>
          <w:p w14:paraId="405E8CA1" w14:textId="3D97FDE2" w:rsidR="00DD2CED" w:rsidRPr="00354B28" w:rsidRDefault="00DD2CED" w:rsidP="00DD2C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080" w:type="dxa"/>
            <w:noWrap/>
            <w:vAlign w:val="bottom"/>
            <w:hideMark/>
          </w:tcPr>
          <w:p w14:paraId="0645C087" w14:textId="3E3034B6" w:rsidR="00DD2CED" w:rsidRPr="00354B28" w:rsidRDefault="00DD2CED" w:rsidP="00DD2C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>
              <w:rPr>
                <w:rFonts w:ascii="Calibri" w:hAnsi="Calibri" w:cs="Calibri"/>
                <w:i/>
                <w:iCs/>
              </w:rPr>
              <w:t>7.8%</w:t>
            </w:r>
          </w:p>
        </w:tc>
      </w:tr>
      <w:tr w:rsidR="00DD2CED" w:rsidRPr="00354B28" w14:paraId="67D6C980" w14:textId="77777777" w:rsidTr="002E01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noWrap/>
            <w:hideMark/>
          </w:tcPr>
          <w:p w14:paraId="04877AA6" w14:textId="77777777" w:rsidR="00DD2CED" w:rsidRPr="00354B28" w:rsidRDefault="00DD2CED" w:rsidP="00DD2CE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4B28">
              <w:rPr>
                <w:rFonts w:ascii="Calibri" w:eastAsia="Times New Roman" w:hAnsi="Calibri" w:cs="Calibri"/>
                <w:color w:val="000000"/>
                <w:lang w:eastAsia="en-GB"/>
              </w:rPr>
              <w:t>Dromore</w:t>
            </w:r>
          </w:p>
        </w:tc>
        <w:tc>
          <w:tcPr>
            <w:tcW w:w="2080" w:type="dxa"/>
            <w:noWrap/>
            <w:vAlign w:val="bottom"/>
            <w:hideMark/>
          </w:tcPr>
          <w:p w14:paraId="5C78E03C" w14:textId="225C8E08" w:rsidR="00DD2CED" w:rsidRPr="00354B28" w:rsidRDefault="00DD2CED" w:rsidP="00DD2C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126</w:t>
            </w:r>
          </w:p>
        </w:tc>
        <w:tc>
          <w:tcPr>
            <w:tcW w:w="2080" w:type="dxa"/>
            <w:noWrap/>
            <w:vAlign w:val="bottom"/>
            <w:hideMark/>
          </w:tcPr>
          <w:p w14:paraId="243F44E6" w14:textId="460BF0E1" w:rsidR="00DD2CED" w:rsidRPr="00354B28" w:rsidRDefault="00DD2CED" w:rsidP="00DD2C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2080" w:type="dxa"/>
            <w:noWrap/>
            <w:vAlign w:val="bottom"/>
            <w:hideMark/>
          </w:tcPr>
          <w:p w14:paraId="2A4302FF" w14:textId="431D8835" w:rsidR="00DD2CED" w:rsidRPr="00354B28" w:rsidRDefault="00DD2CED" w:rsidP="00DD2C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>
              <w:rPr>
                <w:rFonts w:ascii="Calibri" w:hAnsi="Calibri" w:cs="Calibri"/>
                <w:i/>
                <w:iCs/>
              </w:rPr>
              <w:t>23.0%</w:t>
            </w:r>
          </w:p>
        </w:tc>
      </w:tr>
      <w:tr w:rsidR="00DD2CED" w:rsidRPr="00354B28" w14:paraId="27A19A2B" w14:textId="77777777" w:rsidTr="002E01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noWrap/>
            <w:hideMark/>
          </w:tcPr>
          <w:p w14:paraId="35FD1DAD" w14:textId="77777777" w:rsidR="00DD2CED" w:rsidRPr="00354B28" w:rsidRDefault="00DD2CED" w:rsidP="00DD2CE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4B28">
              <w:rPr>
                <w:rFonts w:ascii="Calibri" w:eastAsia="Times New Roman" w:hAnsi="Calibri" w:cs="Calibri"/>
                <w:color w:val="000000"/>
                <w:lang w:eastAsia="en-GB"/>
              </w:rPr>
              <w:t>Lurgan</w:t>
            </w:r>
          </w:p>
        </w:tc>
        <w:tc>
          <w:tcPr>
            <w:tcW w:w="2080" w:type="dxa"/>
            <w:noWrap/>
            <w:vAlign w:val="bottom"/>
            <w:hideMark/>
          </w:tcPr>
          <w:p w14:paraId="4A683815" w14:textId="7DFC2109" w:rsidR="00DD2CED" w:rsidRPr="00354B28" w:rsidRDefault="00DD2CED" w:rsidP="00DD2C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501</w:t>
            </w:r>
          </w:p>
        </w:tc>
        <w:tc>
          <w:tcPr>
            <w:tcW w:w="2080" w:type="dxa"/>
            <w:noWrap/>
            <w:vAlign w:val="bottom"/>
            <w:hideMark/>
          </w:tcPr>
          <w:p w14:paraId="1B3C6D59" w14:textId="3ECA1289" w:rsidR="00DD2CED" w:rsidRPr="00354B28" w:rsidRDefault="00DD2CED" w:rsidP="00DD2C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2080" w:type="dxa"/>
            <w:noWrap/>
            <w:vAlign w:val="bottom"/>
            <w:hideMark/>
          </w:tcPr>
          <w:p w14:paraId="783BC280" w14:textId="531E428B" w:rsidR="00DD2CED" w:rsidRPr="00354B28" w:rsidRDefault="00DD2CED" w:rsidP="00DD2C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>
              <w:rPr>
                <w:rFonts w:ascii="Calibri" w:hAnsi="Calibri" w:cs="Calibri"/>
                <w:i/>
                <w:iCs/>
              </w:rPr>
              <w:t>18.8%</w:t>
            </w:r>
          </w:p>
        </w:tc>
      </w:tr>
      <w:tr w:rsidR="00DD2CED" w:rsidRPr="00354B28" w14:paraId="4D63772A" w14:textId="77777777" w:rsidTr="002E01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noWrap/>
            <w:hideMark/>
          </w:tcPr>
          <w:p w14:paraId="7DA42C39" w14:textId="77777777" w:rsidR="00DD2CED" w:rsidRPr="00354B28" w:rsidRDefault="00DD2CED" w:rsidP="00DD2CE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4B28">
              <w:rPr>
                <w:rFonts w:ascii="Calibri" w:eastAsia="Times New Roman" w:hAnsi="Calibri" w:cs="Calibri"/>
                <w:color w:val="000000"/>
                <w:lang w:eastAsia="en-GB"/>
              </w:rPr>
              <w:t>Portadown</w:t>
            </w:r>
          </w:p>
        </w:tc>
        <w:tc>
          <w:tcPr>
            <w:tcW w:w="2080" w:type="dxa"/>
            <w:noWrap/>
            <w:vAlign w:val="bottom"/>
            <w:hideMark/>
          </w:tcPr>
          <w:p w14:paraId="1E418749" w14:textId="4F3B0AAE" w:rsidR="00DD2CED" w:rsidRPr="00354B28" w:rsidRDefault="00DD2CED" w:rsidP="00DD2C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688</w:t>
            </w:r>
          </w:p>
        </w:tc>
        <w:tc>
          <w:tcPr>
            <w:tcW w:w="2080" w:type="dxa"/>
            <w:noWrap/>
            <w:vAlign w:val="bottom"/>
            <w:hideMark/>
          </w:tcPr>
          <w:p w14:paraId="52EFC9AB" w14:textId="0034E1E0" w:rsidR="00DD2CED" w:rsidRPr="00354B28" w:rsidRDefault="00DD2CED" w:rsidP="00DD2C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142</w:t>
            </w:r>
          </w:p>
        </w:tc>
        <w:tc>
          <w:tcPr>
            <w:tcW w:w="2080" w:type="dxa"/>
            <w:noWrap/>
            <w:vAlign w:val="bottom"/>
            <w:hideMark/>
          </w:tcPr>
          <w:p w14:paraId="54189045" w14:textId="69ECCE6E" w:rsidR="00DD2CED" w:rsidRPr="00354B28" w:rsidRDefault="00DD2CED" w:rsidP="00DD2C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>
              <w:rPr>
                <w:rFonts w:ascii="Calibri" w:hAnsi="Calibri" w:cs="Calibri"/>
                <w:i/>
                <w:iCs/>
              </w:rPr>
              <w:t>20.6%</w:t>
            </w:r>
          </w:p>
        </w:tc>
      </w:tr>
      <w:tr w:rsidR="00DD2CED" w:rsidRPr="00354B28" w14:paraId="452D1BD7" w14:textId="77777777" w:rsidTr="002E01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noWrap/>
            <w:hideMark/>
          </w:tcPr>
          <w:p w14:paraId="7BDF66C3" w14:textId="77777777" w:rsidR="00DD2CED" w:rsidRPr="00354B28" w:rsidRDefault="00DD2CED" w:rsidP="00DD2CE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4B2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Northern Ireland </w:t>
            </w:r>
          </w:p>
        </w:tc>
        <w:tc>
          <w:tcPr>
            <w:tcW w:w="2080" w:type="dxa"/>
            <w:noWrap/>
            <w:vAlign w:val="bottom"/>
            <w:hideMark/>
          </w:tcPr>
          <w:p w14:paraId="4476453E" w14:textId="03014FC8" w:rsidR="00DD2CED" w:rsidRPr="00354B28" w:rsidRDefault="00DD2CED" w:rsidP="00DD2C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21,552</w:t>
            </w:r>
          </w:p>
        </w:tc>
        <w:tc>
          <w:tcPr>
            <w:tcW w:w="2080" w:type="dxa"/>
            <w:noWrap/>
            <w:vAlign w:val="bottom"/>
            <w:hideMark/>
          </w:tcPr>
          <w:p w14:paraId="084B45DA" w14:textId="10DC6AE7" w:rsidR="00DD2CED" w:rsidRPr="00354B28" w:rsidRDefault="00DD2CED" w:rsidP="00DD2C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4,959</w:t>
            </w:r>
          </w:p>
        </w:tc>
        <w:tc>
          <w:tcPr>
            <w:tcW w:w="2080" w:type="dxa"/>
            <w:noWrap/>
            <w:vAlign w:val="bottom"/>
            <w:hideMark/>
          </w:tcPr>
          <w:p w14:paraId="4AC36601" w14:textId="10F3C0BA" w:rsidR="00DD2CED" w:rsidRPr="00354B28" w:rsidRDefault="00DD2CED" w:rsidP="00DD2C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23.0%</w:t>
            </w:r>
          </w:p>
        </w:tc>
      </w:tr>
    </w:tbl>
    <w:p w14:paraId="7F33FC4C" w14:textId="3AA99403" w:rsidR="00354B28" w:rsidRDefault="00354B28" w:rsidP="00354B2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Table 1: City/town centre non-domestic property vacancy rates as </w:t>
      </w:r>
      <w:proofErr w:type="gramStart"/>
      <w:r>
        <w:rPr>
          <w:i/>
          <w:sz w:val="20"/>
          <w:szCs w:val="20"/>
        </w:rPr>
        <w:t>at</w:t>
      </w:r>
      <w:proofErr w:type="gramEnd"/>
      <w:r>
        <w:rPr>
          <w:i/>
          <w:sz w:val="20"/>
          <w:szCs w:val="20"/>
        </w:rPr>
        <w:t xml:space="preserve"> </w:t>
      </w:r>
      <w:r w:rsidR="00DD2CED">
        <w:rPr>
          <w:i/>
          <w:sz w:val="20"/>
          <w:szCs w:val="20"/>
        </w:rPr>
        <w:t>30</w:t>
      </w:r>
      <w:r w:rsidR="00DD2CED" w:rsidRPr="00DD2CED">
        <w:rPr>
          <w:i/>
          <w:sz w:val="20"/>
          <w:szCs w:val="20"/>
          <w:vertAlign w:val="superscript"/>
        </w:rPr>
        <w:t>th</w:t>
      </w:r>
      <w:r w:rsidR="00DD2CED">
        <w:rPr>
          <w:i/>
          <w:sz w:val="20"/>
          <w:szCs w:val="20"/>
        </w:rPr>
        <w:t xml:space="preserve"> April 2025</w:t>
      </w:r>
      <w:r w:rsidRPr="002A2185">
        <w:rPr>
          <w:i/>
          <w:sz w:val="20"/>
          <w:szCs w:val="20"/>
        </w:rPr>
        <w:t>. Source:</w:t>
      </w:r>
      <w:r>
        <w:rPr>
          <w:i/>
          <w:sz w:val="20"/>
          <w:szCs w:val="20"/>
        </w:rPr>
        <w:t xml:space="preserve"> Land and Property Services via Town Centre Database, Department for Communities</w:t>
      </w:r>
      <w:r w:rsidRPr="002A2185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</w:t>
      </w:r>
    </w:p>
    <w:p w14:paraId="0253E122" w14:textId="0AAB6585" w:rsidR="008A3B82" w:rsidRDefault="00980495" w:rsidP="00980495">
      <w:pPr>
        <w:rPr>
          <w:i/>
          <w:sz w:val="20"/>
          <w:szCs w:val="20"/>
        </w:rPr>
      </w:pPr>
      <w:r w:rsidRPr="00980495">
        <w:rPr>
          <w:i/>
          <w:sz w:val="20"/>
          <w:szCs w:val="20"/>
        </w:rPr>
        <w:t xml:space="preserve"> </w:t>
      </w:r>
    </w:p>
    <w:p w14:paraId="2E1DF469" w14:textId="46A3B13F" w:rsidR="00980495" w:rsidRDefault="00DD2CED" w:rsidP="00980495">
      <w:pPr>
        <w:rPr>
          <w:i/>
          <w:sz w:val="20"/>
          <w:szCs w:val="20"/>
        </w:rPr>
      </w:pPr>
      <w:r>
        <w:rPr>
          <w:noProof/>
        </w:rPr>
        <w:drawing>
          <wp:inline distT="0" distB="0" distL="0" distR="0" wp14:anchorId="6834C2CF" wp14:editId="48011FE6">
            <wp:extent cx="5731510" cy="2714625"/>
            <wp:effectExtent l="0" t="0" r="2540" b="9525"/>
            <wp:docPr id="85271220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A0B3159-0021-7E88-DB66-A4C86E469C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980495">
        <w:rPr>
          <w:i/>
          <w:sz w:val="20"/>
          <w:szCs w:val="20"/>
        </w:rPr>
        <w:t xml:space="preserve">Figure 1: City/town centre non-domestic property vacancy rates as </w:t>
      </w:r>
      <w:proofErr w:type="gramStart"/>
      <w:r w:rsidR="00980495">
        <w:rPr>
          <w:i/>
          <w:sz w:val="20"/>
          <w:szCs w:val="20"/>
        </w:rPr>
        <w:t>at</w:t>
      </w:r>
      <w:proofErr w:type="gramEnd"/>
      <w:r w:rsidR="0098049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30</w:t>
      </w:r>
      <w:r w:rsidRPr="00DD2CED">
        <w:rPr>
          <w:i/>
          <w:sz w:val="20"/>
          <w:szCs w:val="20"/>
          <w:vertAlign w:val="superscript"/>
        </w:rPr>
        <w:t>th</w:t>
      </w:r>
      <w:r>
        <w:rPr>
          <w:i/>
          <w:sz w:val="20"/>
          <w:szCs w:val="20"/>
        </w:rPr>
        <w:t xml:space="preserve"> April 2025.</w:t>
      </w:r>
      <w:r w:rsidR="00980495" w:rsidRPr="002A2185">
        <w:rPr>
          <w:i/>
          <w:sz w:val="20"/>
          <w:szCs w:val="20"/>
        </w:rPr>
        <w:t xml:space="preserve"> Source:</w:t>
      </w:r>
      <w:r w:rsidR="00980495">
        <w:rPr>
          <w:i/>
          <w:sz w:val="20"/>
          <w:szCs w:val="20"/>
        </w:rPr>
        <w:t xml:space="preserve"> Land and Property Services via Town Centre Database, Department for Communities</w:t>
      </w:r>
      <w:r w:rsidR="00980495" w:rsidRPr="002A2185">
        <w:rPr>
          <w:i/>
          <w:sz w:val="20"/>
          <w:szCs w:val="20"/>
        </w:rPr>
        <w:t>.</w:t>
      </w:r>
      <w:r w:rsidR="00980495">
        <w:rPr>
          <w:i/>
          <w:sz w:val="20"/>
          <w:szCs w:val="20"/>
        </w:rPr>
        <w:t xml:space="preserve"> </w:t>
      </w:r>
    </w:p>
    <w:p w14:paraId="10BFCFE5" w14:textId="34064382" w:rsidR="005C2415" w:rsidRPr="00C33D7C" w:rsidRDefault="001C3C76" w:rsidP="005C2415">
      <w:r>
        <w:t xml:space="preserve">Table 2 presents the vacancy rates in </w:t>
      </w:r>
      <w:r w:rsidR="00DD2CED">
        <w:t>April</w:t>
      </w:r>
      <w:r>
        <w:t xml:space="preserve"> each year between 2016 and 202</w:t>
      </w:r>
      <w:r w:rsidR="00DD2CED">
        <w:t>5</w:t>
      </w:r>
      <w:r>
        <w:t xml:space="preserve">.  </w:t>
      </w:r>
      <w:r w:rsidR="00C51627">
        <w:t xml:space="preserve">Dromore has consistently had the highest vacancy rates </w:t>
      </w:r>
      <w:r w:rsidR="003975ED">
        <w:t xml:space="preserve">although it has fallen </w:t>
      </w:r>
      <w:r w:rsidR="004E798D">
        <w:t xml:space="preserve">by </w:t>
      </w:r>
      <w:r w:rsidR="00DE0A7D">
        <w:t xml:space="preserve">more than </w:t>
      </w:r>
      <w:r w:rsidR="00C11AEB">
        <w:t>7</w:t>
      </w:r>
      <w:r w:rsidR="003975ED">
        <w:t xml:space="preserve"> percentage points between</w:t>
      </w:r>
      <w:r w:rsidR="00DE0A7D">
        <w:t xml:space="preserve"> </w:t>
      </w:r>
      <w:r w:rsidR="00C11AEB">
        <w:t>April</w:t>
      </w:r>
      <w:r w:rsidR="004E798D">
        <w:t xml:space="preserve"> </w:t>
      </w:r>
      <w:r w:rsidR="003975ED">
        <w:t xml:space="preserve">2016 and </w:t>
      </w:r>
      <w:r w:rsidR="00C11AEB">
        <w:t>April 2025</w:t>
      </w:r>
      <w:r w:rsidR="003975ED">
        <w:t xml:space="preserve">.  </w:t>
      </w:r>
      <w:r w:rsidR="00C51627">
        <w:t>Craigavon has maintained the lowest</w:t>
      </w:r>
      <w:r w:rsidR="003975ED">
        <w:t xml:space="preserve"> vacancy rate in the </w:t>
      </w:r>
      <w:r w:rsidR="00C11AEB">
        <w:t>B</w:t>
      </w:r>
      <w:r w:rsidR="003975ED">
        <w:t>orough</w:t>
      </w:r>
      <w:r w:rsidR="00DE0A7D">
        <w:t xml:space="preserve"> throughout the period</w:t>
      </w:r>
      <w:r w:rsidR="003E1B37">
        <w:t xml:space="preserve"> while</w:t>
      </w:r>
      <w:r>
        <w:t xml:space="preserve"> </w:t>
      </w:r>
      <w:r w:rsidR="00C11AEB">
        <w:t>Dromore and Portadown have</w:t>
      </w:r>
      <w:r w:rsidR="003975ED">
        <w:t xml:space="preserve"> experienced the greatest fall in the vacancy rates </w:t>
      </w:r>
      <w:r w:rsidR="00136313">
        <w:t>having</w:t>
      </w:r>
      <w:r w:rsidR="003975ED">
        <w:t xml:space="preserve"> fallen by </w:t>
      </w:r>
      <w:r w:rsidR="00C11AEB">
        <w:t>7.2</w:t>
      </w:r>
      <w:r w:rsidR="003975ED">
        <w:t xml:space="preserve"> </w:t>
      </w:r>
      <w:r w:rsidR="009C0905">
        <w:t xml:space="preserve">percentage points </w:t>
      </w:r>
      <w:r w:rsidR="00C11AEB">
        <w:t xml:space="preserve">respectively </w:t>
      </w:r>
      <w:r w:rsidR="009C0905">
        <w:t xml:space="preserve">between </w:t>
      </w:r>
      <w:r w:rsidR="00C11AEB">
        <w:t>April</w:t>
      </w:r>
      <w:r w:rsidR="004E798D">
        <w:t xml:space="preserve"> </w:t>
      </w:r>
      <w:r w:rsidR="009C0905">
        <w:t xml:space="preserve">2016 and </w:t>
      </w:r>
      <w:r w:rsidR="00C11AEB">
        <w:t xml:space="preserve">April </w:t>
      </w:r>
      <w:r w:rsidR="009C0905">
        <w:t>202</w:t>
      </w:r>
      <w:r w:rsidR="00C11AEB">
        <w:t>5</w:t>
      </w:r>
      <w:r w:rsidR="009C0905">
        <w:t xml:space="preserve">.  </w:t>
      </w:r>
    </w:p>
    <w:tbl>
      <w:tblPr>
        <w:tblStyle w:val="GridTable1Light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1113"/>
        <w:gridCol w:w="1114"/>
        <w:gridCol w:w="1114"/>
        <w:gridCol w:w="1113"/>
        <w:gridCol w:w="1114"/>
        <w:gridCol w:w="1236"/>
        <w:gridCol w:w="1134"/>
      </w:tblGrid>
      <w:tr w:rsidR="009443D3" w:rsidRPr="003E1B37" w14:paraId="74DB49FE" w14:textId="77777777" w:rsidTr="003E1B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9910C19" w14:textId="77777777" w:rsidR="009443D3" w:rsidRPr="003E1B37" w:rsidRDefault="009443D3" w:rsidP="009443D3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3E1B37">
              <w:rPr>
                <w:rFonts w:eastAsia="Times New Roman" w:cstheme="minorHAnsi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1113" w:type="dxa"/>
            <w:noWrap/>
            <w:hideMark/>
          </w:tcPr>
          <w:p w14:paraId="3C89F3B9" w14:textId="01BB34B1" w:rsidR="009443D3" w:rsidRPr="003E1B37" w:rsidRDefault="009443D3" w:rsidP="009443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3E1B37">
              <w:rPr>
                <w:rFonts w:eastAsia="Times New Roman" w:cstheme="minorHAnsi"/>
                <w:sz w:val="20"/>
                <w:szCs w:val="20"/>
                <w:lang w:eastAsia="en-GB"/>
              </w:rPr>
              <w:t>Armagh</w:t>
            </w:r>
          </w:p>
        </w:tc>
        <w:tc>
          <w:tcPr>
            <w:tcW w:w="1114" w:type="dxa"/>
            <w:noWrap/>
            <w:hideMark/>
          </w:tcPr>
          <w:p w14:paraId="1357D57A" w14:textId="05B63F32" w:rsidR="009443D3" w:rsidRPr="003E1B37" w:rsidRDefault="009443D3" w:rsidP="009443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3E1B37">
              <w:rPr>
                <w:rFonts w:eastAsia="Times New Roman" w:cstheme="minorHAnsi"/>
                <w:sz w:val="20"/>
                <w:szCs w:val="20"/>
                <w:lang w:eastAsia="en-GB"/>
              </w:rPr>
              <w:t>Banbridge</w:t>
            </w:r>
          </w:p>
        </w:tc>
        <w:tc>
          <w:tcPr>
            <w:tcW w:w="1114" w:type="dxa"/>
            <w:noWrap/>
            <w:hideMark/>
          </w:tcPr>
          <w:p w14:paraId="2BA577EC" w14:textId="27A9C404" w:rsidR="009443D3" w:rsidRPr="003E1B37" w:rsidRDefault="009443D3" w:rsidP="009443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3E1B37">
              <w:rPr>
                <w:rFonts w:eastAsia="Times New Roman" w:cstheme="minorHAnsi"/>
                <w:sz w:val="20"/>
                <w:szCs w:val="20"/>
                <w:lang w:eastAsia="en-GB"/>
              </w:rPr>
              <w:t>Craigavon</w:t>
            </w:r>
          </w:p>
        </w:tc>
        <w:tc>
          <w:tcPr>
            <w:tcW w:w="1113" w:type="dxa"/>
            <w:noWrap/>
            <w:hideMark/>
          </w:tcPr>
          <w:p w14:paraId="05F660F8" w14:textId="58BFDBA0" w:rsidR="009443D3" w:rsidRPr="003E1B37" w:rsidRDefault="009443D3" w:rsidP="009443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3E1B37">
              <w:rPr>
                <w:rFonts w:eastAsia="Times New Roman" w:cstheme="minorHAnsi"/>
                <w:sz w:val="20"/>
                <w:szCs w:val="20"/>
                <w:lang w:eastAsia="en-GB"/>
              </w:rPr>
              <w:t>Dromore</w:t>
            </w:r>
          </w:p>
        </w:tc>
        <w:tc>
          <w:tcPr>
            <w:tcW w:w="1114" w:type="dxa"/>
            <w:noWrap/>
            <w:hideMark/>
          </w:tcPr>
          <w:p w14:paraId="57F2C177" w14:textId="4E8E20DD" w:rsidR="009443D3" w:rsidRPr="003E1B37" w:rsidRDefault="009443D3" w:rsidP="009443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3E1B37">
              <w:rPr>
                <w:rFonts w:eastAsia="Times New Roman" w:cstheme="minorHAnsi"/>
                <w:sz w:val="20"/>
                <w:szCs w:val="20"/>
                <w:lang w:eastAsia="en-GB"/>
              </w:rPr>
              <w:t>Lurgan</w:t>
            </w:r>
          </w:p>
        </w:tc>
        <w:tc>
          <w:tcPr>
            <w:tcW w:w="1236" w:type="dxa"/>
            <w:noWrap/>
            <w:hideMark/>
          </w:tcPr>
          <w:p w14:paraId="16F4D4FD" w14:textId="072145ED" w:rsidR="009443D3" w:rsidRPr="003E1B37" w:rsidRDefault="009443D3" w:rsidP="009443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3E1B37">
              <w:rPr>
                <w:rFonts w:eastAsia="Times New Roman" w:cstheme="minorHAnsi"/>
                <w:sz w:val="20"/>
                <w:szCs w:val="20"/>
                <w:lang w:eastAsia="en-GB"/>
              </w:rPr>
              <w:t>Portadown</w:t>
            </w:r>
          </w:p>
        </w:tc>
        <w:tc>
          <w:tcPr>
            <w:tcW w:w="1134" w:type="dxa"/>
            <w:noWrap/>
            <w:hideMark/>
          </w:tcPr>
          <w:p w14:paraId="499BB0D2" w14:textId="7B03073E" w:rsidR="009443D3" w:rsidRPr="003E1B37" w:rsidRDefault="009443D3" w:rsidP="009443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3E1B37">
              <w:rPr>
                <w:rFonts w:eastAsia="Times New Roman" w:cstheme="minorHAnsi"/>
                <w:sz w:val="20"/>
                <w:szCs w:val="20"/>
                <w:lang w:eastAsia="en-GB"/>
              </w:rPr>
              <w:t>Northern Ireland</w:t>
            </w:r>
          </w:p>
        </w:tc>
      </w:tr>
      <w:tr w:rsidR="00C33D7C" w:rsidRPr="003E1B37" w14:paraId="1BF2FE35" w14:textId="77777777" w:rsidTr="003E1B3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bottom"/>
            <w:hideMark/>
          </w:tcPr>
          <w:p w14:paraId="359BF967" w14:textId="7C709721" w:rsidR="00C33D7C" w:rsidRPr="00C33D7C" w:rsidRDefault="00C33D7C" w:rsidP="00C33D7C">
            <w:pPr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30 April 2025</w:t>
            </w:r>
          </w:p>
        </w:tc>
        <w:tc>
          <w:tcPr>
            <w:tcW w:w="1113" w:type="dxa"/>
            <w:noWrap/>
            <w:vAlign w:val="bottom"/>
            <w:hideMark/>
          </w:tcPr>
          <w:p w14:paraId="3BBBBCE9" w14:textId="16FC4769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17.6%</w:t>
            </w:r>
          </w:p>
        </w:tc>
        <w:tc>
          <w:tcPr>
            <w:tcW w:w="1114" w:type="dxa"/>
            <w:noWrap/>
            <w:vAlign w:val="bottom"/>
            <w:hideMark/>
          </w:tcPr>
          <w:p w14:paraId="2C4AFDFA" w14:textId="7451C1D5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14.9%</w:t>
            </w:r>
          </w:p>
        </w:tc>
        <w:tc>
          <w:tcPr>
            <w:tcW w:w="1114" w:type="dxa"/>
            <w:noWrap/>
            <w:vAlign w:val="bottom"/>
            <w:hideMark/>
          </w:tcPr>
          <w:p w14:paraId="53FE36A9" w14:textId="544BEA91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7.8%</w:t>
            </w:r>
          </w:p>
        </w:tc>
        <w:tc>
          <w:tcPr>
            <w:tcW w:w="1113" w:type="dxa"/>
            <w:noWrap/>
            <w:vAlign w:val="bottom"/>
            <w:hideMark/>
          </w:tcPr>
          <w:p w14:paraId="5A83DF3D" w14:textId="6BC58373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23.0%</w:t>
            </w:r>
          </w:p>
        </w:tc>
        <w:tc>
          <w:tcPr>
            <w:tcW w:w="1114" w:type="dxa"/>
            <w:noWrap/>
            <w:vAlign w:val="bottom"/>
            <w:hideMark/>
          </w:tcPr>
          <w:p w14:paraId="10180BF1" w14:textId="1A53EBA1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18.8%</w:t>
            </w:r>
          </w:p>
        </w:tc>
        <w:tc>
          <w:tcPr>
            <w:tcW w:w="1236" w:type="dxa"/>
            <w:noWrap/>
            <w:vAlign w:val="bottom"/>
            <w:hideMark/>
          </w:tcPr>
          <w:p w14:paraId="058EDBCB" w14:textId="65E20CE8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20.6%</w:t>
            </w:r>
          </w:p>
        </w:tc>
        <w:tc>
          <w:tcPr>
            <w:tcW w:w="1134" w:type="dxa"/>
            <w:noWrap/>
            <w:vAlign w:val="bottom"/>
            <w:hideMark/>
          </w:tcPr>
          <w:p w14:paraId="5492B9E9" w14:textId="65C3FF6B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23.0%</w:t>
            </w:r>
          </w:p>
        </w:tc>
      </w:tr>
      <w:tr w:rsidR="00C33D7C" w:rsidRPr="003E1B37" w14:paraId="659EF0B6" w14:textId="77777777" w:rsidTr="003E1B3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bottom"/>
            <w:hideMark/>
          </w:tcPr>
          <w:p w14:paraId="5372F58E" w14:textId="1C40E74C" w:rsidR="00C33D7C" w:rsidRPr="00C33D7C" w:rsidRDefault="00C33D7C" w:rsidP="00C33D7C">
            <w:pPr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30 April 2024</w:t>
            </w:r>
          </w:p>
        </w:tc>
        <w:tc>
          <w:tcPr>
            <w:tcW w:w="1113" w:type="dxa"/>
            <w:noWrap/>
            <w:vAlign w:val="bottom"/>
            <w:hideMark/>
          </w:tcPr>
          <w:p w14:paraId="7C431D1A" w14:textId="79AF2CAB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16.4%</w:t>
            </w:r>
          </w:p>
        </w:tc>
        <w:tc>
          <w:tcPr>
            <w:tcW w:w="1114" w:type="dxa"/>
            <w:noWrap/>
            <w:vAlign w:val="bottom"/>
            <w:hideMark/>
          </w:tcPr>
          <w:p w14:paraId="35C06A74" w14:textId="651522CD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16.4%</w:t>
            </w:r>
          </w:p>
        </w:tc>
        <w:tc>
          <w:tcPr>
            <w:tcW w:w="1114" w:type="dxa"/>
            <w:noWrap/>
            <w:vAlign w:val="bottom"/>
            <w:hideMark/>
          </w:tcPr>
          <w:p w14:paraId="31C0AF4B" w14:textId="4BE7F595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7.9%</w:t>
            </w:r>
          </w:p>
        </w:tc>
        <w:tc>
          <w:tcPr>
            <w:tcW w:w="1113" w:type="dxa"/>
            <w:noWrap/>
            <w:vAlign w:val="bottom"/>
            <w:hideMark/>
          </w:tcPr>
          <w:p w14:paraId="4811B134" w14:textId="52BBFC5F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24.4%</w:t>
            </w:r>
          </w:p>
        </w:tc>
        <w:tc>
          <w:tcPr>
            <w:tcW w:w="1114" w:type="dxa"/>
            <w:noWrap/>
            <w:vAlign w:val="bottom"/>
            <w:hideMark/>
          </w:tcPr>
          <w:p w14:paraId="69C7F360" w14:textId="3AAF35D1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21.1%</w:t>
            </w:r>
          </w:p>
        </w:tc>
        <w:tc>
          <w:tcPr>
            <w:tcW w:w="1236" w:type="dxa"/>
            <w:noWrap/>
            <w:vAlign w:val="bottom"/>
            <w:hideMark/>
          </w:tcPr>
          <w:p w14:paraId="36D0A1C3" w14:textId="02352246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21.0%</w:t>
            </w:r>
          </w:p>
        </w:tc>
        <w:tc>
          <w:tcPr>
            <w:tcW w:w="1134" w:type="dxa"/>
            <w:noWrap/>
            <w:vAlign w:val="bottom"/>
            <w:hideMark/>
          </w:tcPr>
          <w:p w14:paraId="7CDA814A" w14:textId="38962C0F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22.4%</w:t>
            </w:r>
          </w:p>
        </w:tc>
      </w:tr>
      <w:tr w:rsidR="00C33D7C" w:rsidRPr="003E1B37" w14:paraId="6734AF60" w14:textId="77777777" w:rsidTr="003E1B3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bottom"/>
            <w:hideMark/>
          </w:tcPr>
          <w:p w14:paraId="63040908" w14:textId="4BFC7D15" w:rsidR="00C33D7C" w:rsidRPr="00C33D7C" w:rsidRDefault="00C33D7C" w:rsidP="00C33D7C">
            <w:pPr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30 April 2023</w:t>
            </w:r>
          </w:p>
        </w:tc>
        <w:tc>
          <w:tcPr>
            <w:tcW w:w="1113" w:type="dxa"/>
            <w:noWrap/>
            <w:vAlign w:val="bottom"/>
            <w:hideMark/>
          </w:tcPr>
          <w:p w14:paraId="2CDB73EA" w14:textId="2586074D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17.5%</w:t>
            </w:r>
          </w:p>
        </w:tc>
        <w:tc>
          <w:tcPr>
            <w:tcW w:w="1114" w:type="dxa"/>
            <w:noWrap/>
            <w:vAlign w:val="bottom"/>
            <w:hideMark/>
          </w:tcPr>
          <w:p w14:paraId="79FAA315" w14:textId="3099DBD8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16.5%</w:t>
            </w:r>
          </w:p>
        </w:tc>
        <w:tc>
          <w:tcPr>
            <w:tcW w:w="1114" w:type="dxa"/>
            <w:noWrap/>
            <w:vAlign w:val="bottom"/>
            <w:hideMark/>
          </w:tcPr>
          <w:p w14:paraId="1F4F5CFC" w14:textId="53B405FE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10.8%</w:t>
            </w:r>
          </w:p>
        </w:tc>
        <w:tc>
          <w:tcPr>
            <w:tcW w:w="1113" w:type="dxa"/>
            <w:noWrap/>
            <w:vAlign w:val="bottom"/>
            <w:hideMark/>
          </w:tcPr>
          <w:p w14:paraId="42AEE8DE" w14:textId="68F5BAF1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25.2%</w:t>
            </w:r>
          </w:p>
        </w:tc>
        <w:tc>
          <w:tcPr>
            <w:tcW w:w="1114" w:type="dxa"/>
            <w:noWrap/>
            <w:vAlign w:val="bottom"/>
            <w:hideMark/>
          </w:tcPr>
          <w:p w14:paraId="4B2864C4" w14:textId="5EB5DA9D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20.1%</w:t>
            </w:r>
          </w:p>
        </w:tc>
        <w:tc>
          <w:tcPr>
            <w:tcW w:w="1236" w:type="dxa"/>
            <w:noWrap/>
            <w:vAlign w:val="bottom"/>
            <w:hideMark/>
          </w:tcPr>
          <w:p w14:paraId="67AE7E0E" w14:textId="233FA2F6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20.6%</w:t>
            </w:r>
          </w:p>
        </w:tc>
        <w:tc>
          <w:tcPr>
            <w:tcW w:w="1134" w:type="dxa"/>
            <w:noWrap/>
            <w:vAlign w:val="bottom"/>
            <w:hideMark/>
          </w:tcPr>
          <w:p w14:paraId="2C26CA89" w14:textId="609F954A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22.4%</w:t>
            </w:r>
          </w:p>
        </w:tc>
      </w:tr>
      <w:tr w:rsidR="00C33D7C" w:rsidRPr="003E1B37" w14:paraId="01525E70" w14:textId="77777777" w:rsidTr="003E1B3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bottom"/>
            <w:hideMark/>
          </w:tcPr>
          <w:p w14:paraId="24D4526B" w14:textId="5EAFDF5D" w:rsidR="00C33D7C" w:rsidRPr="00C33D7C" w:rsidRDefault="00C33D7C" w:rsidP="00C33D7C">
            <w:pPr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30 April 2022</w:t>
            </w:r>
          </w:p>
        </w:tc>
        <w:tc>
          <w:tcPr>
            <w:tcW w:w="1113" w:type="dxa"/>
            <w:noWrap/>
            <w:vAlign w:val="bottom"/>
            <w:hideMark/>
          </w:tcPr>
          <w:p w14:paraId="006A9782" w14:textId="7EB104D2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21.2%</w:t>
            </w:r>
          </w:p>
        </w:tc>
        <w:tc>
          <w:tcPr>
            <w:tcW w:w="1114" w:type="dxa"/>
            <w:noWrap/>
            <w:vAlign w:val="bottom"/>
            <w:hideMark/>
          </w:tcPr>
          <w:p w14:paraId="14431864" w14:textId="36416F64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16.0%</w:t>
            </w:r>
          </w:p>
        </w:tc>
        <w:tc>
          <w:tcPr>
            <w:tcW w:w="1114" w:type="dxa"/>
            <w:noWrap/>
            <w:vAlign w:val="bottom"/>
            <w:hideMark/>
          </w:tcPr>
          <w:p w14:paraId="6D0B76B7" w14:textId="4C86E7FA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8.9%</w:t>
            </w:r>
          </w:p>
        </w:tc>
        <w:tc>
          <w:tcPr>
            <w:tcW w:w="1113" w:type="dxa"/>
            <w:noWrap/>
            <w:vAlign w:val="bottom"/>
            <w:hideMark/>
          </w:tcPr>
          <w:p w14:paraId="6BD62D45" w14:textId="7D86DFC2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25.4%</w:t>
            </w:r>
          </w:p>
        </w:tc>
        <w:tc>
          <w:tcPr>
            <w:tcW w:w="1114" w:type="dxa"/>
            <w:noWrap/>
            <w:vAlign w:val="bottom"/>
            <w:hideMark/>
          </w:tcPr>
          <w:p w14:paraId="1293B01F" w14:textId="3B5B7DAE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22.1%</w:t>
            </w:r>
          </w:p>
        </w:tc>
        <w:tc>
          <w:tcPr>
            <w:tcW w:w="1236" w:type="dxa"/>
            <w:noWrap/>
            <w:vAlign w:val="bottom"/>
            <w:hideMark/>
          </w:tcPr>
          <w:p w14:paraId="46D85912" w14:textId="2A310EDE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21.1%</w:t>
            </w:r>
          </w:p>
        </w:tc>
        <w:tc>
          <w:tcPr>
            <w:tcW w:w="1134" w:type="dxa"/>
            <w:noWrap/>
            <w:vAlign w:val="bottom"/>
            <w:hideMark/>
          </w:tcPr>
          <w:p w14:paraId="74DDF023" w14:textId="1BD86079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23.7%</w:t>
            </w:r>
          </w:p>
        </w:tc>
      </w:tr>
      <w:tr w:rsidR="00C33D7C" w:rsidRPr="003E1B37" w14:paraId="73723D93" w14:textId="77777777" w:rsidTr="003E1B3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bottom"/>
            <w:hideMark/>
          </w:tcPr>
          <w:p w14:paraId="5CD3CDFA" w14:textId="4921A1E9" w:rsidR="00C33D7C" w:rsidRPr="00C33D7C" w:rsidRDefault="00C33D7C" w:rsidP="00C33D7C">
            <w:pPr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30 April 2021</w:t>
            </w:r>
          </w:p>
        </w:tc>
        <w:tc>
          <w:tcPr>
            <w:tcW w:w="1113" w:type="dxa"/>
            <w:noWrap/>
            <w:vAlign w:val="bottom"/>
            <w:hideMark/>
          </w:tcPr>
          <w:p w14:paraId="4491D81F" w14:textId="74093EDC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22.6%</w:t>
            </w:r>
          </w:p>
        </w:tc>
        <w:tc>
          <w:tcPr>
            <w:tcW w:w="1114" w:type="dxa"/>
            <w:noWrap/>
            <w:vAlign w:val="bottom"/>
            <w:hideMark/>
          </w:tcPr>
          <w:p w14:paraId="2A1CF11C" w14:textId="7A01ACF5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15.9%</w:t>
            </w:r>
          </w:p>
        </w:tc>
        <w:tc>
          <w:tcPr>
            <w:tcW w:w="1114" w:type="dxa"/>
            <w:noWrap/>
            <w:vAlign w:val="bottom"/>
            <w:hideMark/>
          </w:tcPr>
          <w:p w14:paraId="335A7C77" w14:textId="37A5F512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10.0%</w:t>
            </w:r>
          </w:p>
        </w:tc>
        <w:tc>
          <w:tcPr>
            <w:tcW w:w="1113" w:type="dxa"/>
            <w:noWrap/>
            <w:vAlign w:val="bottom"/>
            <w:hideMark/>
          </w:tcPr>
          <w:p w14:paraId="3165AB09" w14:textId="3DBDD62F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27.1%</w:t>
            </w:r>
          </w:p>
        </w:tc>
        <w:tc>
          <w:tcPr>
            <w:tcW w:w="1114" w:type="dxa"/>
            <w:noWrap/>
            <w:vAlign w:val="bottom"/>
            <w:hideMark/>
          </w:tcPr>
          <w:p w14:paraId="245F4EE3" w14:textId="2D2DA0A2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22.5%</w:t>
            </w:r>
          </w:p>
        </w:tc>
        <w:tc>
          <w:tcPr>
            <w:tcW w:w="1236" w:type="dxa"/>
            <w:noWrap/>
            <w:vAlign w:val="bottom"/>
            <w:hideMark/>
          </w:tcPr>
          <w:p w14:paraId="77623367" w14:textId="017C21CE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21.7%</w:t>
            </w:r>
          </w:p>
        </w:tc>
        <w:tc>
          <w:tcPr>
            <w:tcW w:w="1134" w:type="dxa"/>
            <w:noWrap/>
            <w:vAlign w:val="bottom"/>
            <w:hideMark/>
          </w:tcPr>
          <w:p w14:paraId="0D5AE790" w14:textId="604BF7A5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24.3%</w:t>
            </w:r>
          </w:p>
        </w:tc>
      </w:tr>
      <w:tr w:rsidR="00C33D7C" w:rsidRPr="003E1B37" w14:paraId="21F96414" w14:textId="77777777" w:rsidTr="003E1B3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bottom"/>
            <w:hideMark/>
          </w:tcPr>
          <w:p w14:paraId="18F725A5" w14:textId="0ADD342B" w:rsidR="00C33D7C" w:rsidRPr="00C33D7C" w:rsidRDefault="00C33D7C" w:rsidP="00C33D7C">
            <w:pPr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17 May 2020</w:t>
            </w:r>
          </w:p>
        </w:tc>
        <w:tc>
          <w:tcPr>
            <w:tcW w:w="1113" w:type="dxa"/>
            <w:noWrap/>
            <w:vAlign w:val="bottom"/>
            <w:hideMark/>
          </w:tcPr>
          <w:p w14:paraId="5C6BDCEB" w14:textId="6C0210D6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21.7%</w:t>
            </w:r>
          </w:p>
        </w:tc>
        <w:tc>
          <w:tcPr>
            <w:tcW w:w="1114" w:type="dxa"/>
            <w:noWrap/>
            <w:vAlign w:val="bottom"/>
            <w:hideMark/>
          </w:tcPr>
          <w:p w14:paraId="31070321" w14:textId="6DFAD8DE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18.0%</w:t>
            </w:r>
          </w:p>
        </w:tc>
        <w:tc>
          <w:tcPr>
            <w:tcW w:w="1114" w:type="dxa"/>
            <w:noWrap/>
            <w:vAlign w:val="bottom"/>
            <w:hideMark/>
          </w:tcPr>
          <w:p w14:paraId="750FE812" w14:textId="08A015A3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8.7%</w:t>
            </w:r>
          </w:p>
        </w:tc>
        <w:tc>
          <w:tcPr>
            <w:tcW w:w="1113" w:type="dxa"/>
            <w:noWrap/>
            <w:vAlign w:val="bottom"/>
            <w:hideMark/>
          </w:tcPr>
          <w:p w14:paraId="7E46E7A2" w14:textId="1CF3F9B0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27.4%</w:t>
            </w:r>
          </w:p>
        </w:tc>
        <w:tc>
          <w:tcPr>
            <w:tcW w:w="1114" w:type="dxa"/>
            <w:noWrap/>
            <w:vAlign w:val="bottom"/>
            <w:hideMark/>
          </w:tcPr>
          <w:p w14:paraId="01311DAD" w14:textId="685E7257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23.0%</w:t>
            </w:r>
          </w:p>
        </w:tc>
        <w:tc>
          <w:tcPr>
            <w:tcW w:w="1236" w:type="dxa"/>
            <w:noWrap/>
            <w:vAlign w:val="bottom"/>
            <w:hideMark/>
          </w:tcPr>
          <w:p w14:paraId="544C3802" w14:textId="09405548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22.3%</w:t>
            </w:r>
          </w:p>
        </w:tc>
        <w:tc>
          <w:tcPr>
            <w:tcW w:w="1134" w:type="dxa"/>
            <w:noWrap/>
            <w:vAlign w:val="bottom"/>
            <w:hideMark/>
          </w:tcPr>
          <w:p w14:paraId="0B0D8D7B" w14:textId="1EFA81F2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24.1%</w:t>
            </w:r>
          </w:p>
        </w:tc>
      </w:tr>
      <w:tr w:rsidR="00C33D7C" w:rsidRPr="003E1B37" w14:paraId="0F808293" w14:textId="77777777" w:rsidTr="003E1B3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bottom"/>
            <w:hideMark/>
          </w:tcPr>
          <w:p w14:paraId="732D06EE" w14:textId="44E8E193" w:rsidR="00C33D7C" w:rsidRPr="00C33D7C" w:rsidRDefault="00C33D7C" w:rsidP="00C33D7C">
            <w:pPr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30 April 2019</w:t>
            </w:r>
          </w:p>
        </w:tc>
        <w:tc>
          <w:tcPr>
            <w:tcW w:w="1113" w:type="dxa"/>
            <w:noWrap/>
            <w:vAlign w:val="bottom"/>
            <w:hideMark/>
          </w:tcPr>
          <w:p w14:paraId="216FBD2B" w14:textId="0E1A4B4F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22.9%</w:t>
            </w:r>
          </w:p>
        </w:tc>
        <w:tc>
          <w:tcPr>
            <w:tcW w:w="1114" w:type="dxa"/>
            <w:noWrap/>
            <w:vAlign w:val="bottom"/>
            <w:hideMark/>
          </w:tcPr>
          <w:p w14:paraId="56B8D2E4" w14:textId="085836B4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20.1%</w:t>
            </w:r>
          </w:p>
        </w:tc>
        <w:tc>
          <w:tcPr>
            <w:tcW w:w="1114" w:type="dxa"/>
            <w:noWrap/>
            <w:vAlign w:val="bottom"/>
            <w:hideMark/>
          </w:tcPr>
          <w:p w14:paraId="0B7F5E7B" w14:textId="55763ED8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5.9%</w:t>
            </w:r>
          </w:p>
        </w:tc>
        <w:tc>
          <w:tcPr>
            <w:tcW w:w="1113" w:type="dxa"/>
            <w:noWrap/>
            <w:vAlign w:val="bottom"/>
            <w:hideMark/>
          </w:tcPr>
          <w:p w14:paraId="30584C82" w14:textId="5772D9E1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28.0%</w:t>
            </w:r>
          </w:p>
        </w:tc>
        <w:tc>
          <w:tcPr>
            <w:tcW w:w="1114" w:type="dxa"/>
            <w:noWrap/>
            <w:vAlign w:val="bottom"/>
            <w:hideMark/>
          </w:tcPr>
          <w:p w14:paraId="467BD711" w14:textId="421CC919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26.0%</w:t>
            </w:r>
          </w:p>
        </w:tc>
        <w:tc>
          <w:tcPr>
            <w:tcW w:w="1236" w:type="dxa"/>
            <w:noWrap/>
            <w:vAlign w:val="bottom"/>
            <w:hideMark/>
          </w:tcPr>
          <w:p w14:paraId="17F677BA" w14:textId="05A6C558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25.7%</w:t>
            </w:r>
          </w:p>
        </w:tc>
        <w:tc>
          <w:tcPr>
            <w:tcW w:w="1134" w:type="dxa"/>
            <w:noWrap/>
            <w:vAlign w:val="bottom"/>
            <w:hideMark/>
          </w:tcPr>
          <w:p w14:paraId="655BD829" w14:textId="540C5CEF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25.0%</w:t>
            </w:r>
          </w:p>
        </w:tc>
      </w:tr>
      <w:tr w:rsidR="00C33D7C" w:rsidRPr="003E1B37" w14:paraId="6D915990" w14:textId="77777777" w:rsidTr="003E1B3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bottom"/>
            <w:hideMark/>
          </w:tcPr>
          <w:p w14:paraId="28B96010" w14:textId="759C55D8" w:rsidR="00C33D7C" w:rsidRPr="00C33D7C" w:rsidRDefault="00C33D7C" w:rsidP="00C33D7C">
            <w:pPr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30 April 2018</w:t>
            </w:r>
          </w:p>
        </w:tc>
        <w:tc>
          <w:tcPr>
            <w:tcW w:w="1113" w:type="dxa"/>
            <w:noWrap/>
            <w:vAlign w:val="bottom"/>
            <w:hideMark/>
          </w:tcPr>
          <w:p w14:paraId="6AA71A54" w14:textId="60162945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sz w:val="21"/>
                <w:szCs w:val="21"/>
              </w:rPr>
              <w:t>22.8%</w:t>
            </w:r>
          </w:p>
        </w:tc>
        <w:tc>
          <w:tcPr>
            <w:tcW w:w="1114" w:type="dxa"/>
            <w:noWrap/>
            <w:vAlign w:val="bottom"/>
            <w:hideMark/>
          </w:tcPr>
          <w:p w14:paraId="27AA0486" w14:textId="4AC5BBAA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sz w:val="21"/>
                <w:szCs w:val="21"/>
              </w:rPr>
              <w:t>20.8%</w:t>
            </w:r>
          </w:p>
        </w:tc>
        <w:tc>
          <w:tcPr>
            <w:tcW w:w="1114" w:type="dxa"/>
            <w:noWrap/>
            <w:vAlign w:val="bottom"/>
            <w:hideMark/>
          </w:tcPr>
          <w:p w14:paraId="407C53C2" w14:textId="5F8B03EA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sz w:val="21"/>
                <w:szCs w:val="21"/>
              </w:rPr>
              <w:t>5.4%</w:t>
            </w:r>
          </w:p>
        </w:tc>
        <w:tc>
          <w:tcPr>
            <w:tcW w:w="1113" w:type="dxa"/>
            <w:noWrap/>
            <w:vAlign w:val="bottom"/>
            <w:hideMark/>
          </w:tcPr>
          <w:p w14:paraId="7CA61376" w14:textId="7C31C20B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sz w:val="21"/>
                <w:szCs w:val="21"/>
              </w:rPr>
              <w:t>29.1%</w:t>
            </w:r>
          </w:p>
        </w:tc>
        <w:tc>
          <w:tcPr>
            <w:tcW w:w="1114" w:type="dxa"/>
            <w:noWrap/>
            <w:vAlign w:val="bottom"/>
            <w:hideMark/>
          </w:tcPr>
          <w:p w14:paraId="0A459BD8" w14:textId="1664F829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sz w:val="21"/>
                <w:szCs w:val="21"/>
              </w:rPr>
              <w:t>25.3%</w:t>
            </w:r>
          </w:p>
        </w:tc>
        <w:tc>
          <w:tcPr>
            <w:tcW w:w="1236" w:type="dxa"/>
            <w:noWrap/>
            <w:vAlign w:val="bottom"/>
            <w:hideMark/>
          </w:tcPr>
          <w:p w14:paraId="2B785841" w14:textId="6731095C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sz w:val="21"/>
                <w:szCs w:val="21"/>
              </w:rPr>
              <w:t>25.7%</w:t>
            </w:r>
          </w:p>
        </w:tc>
        <w:tc>
          <w:tcPr>
            <w:tcW w:w="1134" w:type="dxa"/>
            <w:noWrap/>
            <w:vAlign w:val="bottom"/>
            <w:hideMark/>
          </w:tcPr>
          <w:p w14:paraId="42DE8496" w14:textId="5C17961A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  <w:lang w:eastAsia="en-GB"/>
              </w:rPr>
            </w:pPr>
            <w:r w:rsidRPr="00C33D7C">
              <w:rPr>
                <w:rFonts w:ascii="Calibri" w:hAnsi="Calibri" w:cs="Calibri"/>
                <w:b/>
                <w:bCs/>
                <w:sz w:val="21"/>
                <w:szCs w:val="21"/>
              </w:rPr>
              <w:t>25.3%</w:t>
            </w:r>
          </w:p>
        </w:tc>
      </w:tr>
      <w:tr w:rsidR="00C33D7C" w:rsidRPr="003E1B37" w14:paraId="5F8A2B83" w14:textId="77777777" w:rsidTr="003E1B3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bottom"/>
          </w:tcPr>
          <w:p w14:paraId="0DCF9D40" w14:textId="0FE637AB" w:rsidR="00C33D7C" w:rsidRPr="00C33D7C" w:rsidRDefault="00C33D7C" w:rsidP="00C33D7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07 May 2017</w:t>
            </w:r>
          </w:p>
        </w:tc>
        <w:tc>
          <w:tcPr>
            <w:tcW w:w="1113" w:type="dxa"/>
            <w:noWrap/>
            <w:vAlign w:val="bottom"/>
          </w:tcPr>
          <w:p w14:paraId="70D05F90" w14:textId="0DF254E5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C33D7C">
              <w:rPr>
                <w:rFonts w:ascii="Calibri" w:hAnsi="Calibri" w:cs="Calibri"/>
                <w:sz w:val="21"/>
                <w:szCs w:val="21"/>
              </w:rPr>
              <w:t>22.0%</w:t>
            </w:r>
          </w:p>
        </w:tc>
        <w:tc>
          <w:tcPr>
            <w:tcW w:w="1114" w:type="dxa"/>
            <w:noWrap/>
            <w:vAlign w:val="bottom"/>
          </w:tcPr>
          <w:p w14:paraId="04EF03D0" w14:textId="24AF8A64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C33D7C">
              <w:rPr>
                <w:rFonts w:ascii="Calibri" w:hAnsi="Calibri" w:cs="Calibri"/>
                <w:sz w:val="21"/>
                <w:szCs w:val="21"/>
              </w:rPr>
              <w:t>22.1%</w:t>
            </w:r>
          </w:p>
        </w:tc>
        <w:tc>
          <w:tcPr>
            <w:tcW w:w="1114" w:type="dxa"/>
            <w:noWrap/>
            <w:vAlign w:val="bottom"/>
          </w:tcPr>
          <w:p w14:paraId="6071F6A3" w14:textId="7D5CF6D1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C33D7C">
              <w:rPr>
                <w:rFonts w:ascii="Calibri" w:hAnsi="Calibri" w:cs="Calibri"/>
                <w:sz w:val="21"/>
                <w:szCs w:val="21"/>
              </w:rPr>
              <w:t>10.5%</w:t>
            </w:r>
          </w:p>
        </w:tc>
        <w:tc>
          <w:tcPr>
            <w:tcW w:w="1113" w:type="dxa"/>
            <w:noWrap/>
            <w:vAlign w:val="bottom"/>
          </w:tcPr>
          <w:p w14:paraId="0F0FAE46" w14:textId="72759D9E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C33D7C">
              <w:rPr>
                <w:rFonts w:ascii="Calibri" w:hAnsi="Calibri" w:cs="Calibri"/>
                <w:sz w:val="21"/>
                <w:szCs w:val="21"/>
              </w:rPr>
              <w:t>29.5%</w:t>
            </w:r>
          </w:p>
        </w:tc>
        <w:tc>
          <w:tcPr>
            <w:tcW w:w="1114" w:type="dxa"/>
            <w:noWrap/>
            <w:vAlign w:val="bottom"/>
          </w:tcPr>
          <w:p w14:paraId="679D6BD9" w14:textId="252CB39B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C33D7C">
              <w:rPr>
                <w:rFonts w:ascii="Calibri" w:hAnsi="Calibri" w:cs="Calibri"/>
                <w:sz w:val="21"/>
                <w:szCs w:val="21"/>
              </w:rPr>
              <w:t>24.2%</w:t>
            </w:r>
          </w:p>
        </w:tc>
        <w:tc>
          <w:tcPr>
            <w:tcW w:w="1236" w:type="dxa"/>
            <w:noWrap/>
            <w:vAlign w:val="bottom"/>
          </w:tcPr>
          <w:p w14:paraId="1D3F5B6C" w14:textId="3EF308DE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C33D7C">
              <w:rPr>
                <w:rFonts w:ascii="Calibri" w:hAnsi="Calibri" w:cs="Calibri"/>
                <w:sz w:val="21"/>
                <w:szCs w:val="21"/>
              </w:rPr>
              <w:t>25.6%</w:t>
            </w:r>
          </w:p>
        </w:tc>
        <w:tc>
          <w:tcPr>
            <w:tcW w:w="1134" w:type="dxa"/>
            <w:noWrap/>
            <w:vAlign w:val="bottom"/>
          </w:tcPr>
          <w:p w14:paraId="22A2EDD1" w14:textId="0CA7F209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33D7C">
              <w:rPr>
                <w:rFonts w:ascii="Calibri" w:hAnsi="Calibri" w:cs="Calibri"/>
                <w:b/>
                <w:bCs/>
                <w:sz w:val="21"/>
                <w:szCs w:val="21"/>
              </w:rPr>
              <w:t>24.2%</w:t>
            </w:r>
          </w:p>
        </w:tc>
      </w:tr>
      <w:tr w:rsidR="00C33D7C" w:rsidRPr="003E1B37" w14:paraId="7C0765C3" w14:textId="77777777" w:rsidTr="003E1B3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bottom"/>
          </w:tcPr>
          <w:p w14:paraId="688D4D02" w14:textId="21FCFE64" w:rsidR="00C33D7C" w:rsidRPr="00C33D7C" w:rsidRDefault="00C33D7C" w:rsidP="00C33D7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30 April 2016</w:t>
            </w:r>
          </w:p>
        </w:tc>
        <w:tc>
          <w:tcPr>
            <w:tcW w:w="1113" w:type="dxa"/>
            <w:noWrap/>
            <w:vAlign w:val="bottom"/>
          </w:tcPr>
          <w:p w14:paraId="0FD02CC2" w14:textId="01B801DF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23.6%</w:t>
            </w:r>
          </w:p>
        </w:tc>
        <w:tc>
          <w:tcPr>
            <w:tcW w:w="1114" w:type="dxa"/>
            <w:noWrap/>
            <w:vAlign w:val="bottom"/>
          </w:tcPr>
          <w:p w14:paraId="4051B896" w14:textId="0B2C7CB1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20.7%</w:t>
            </w:r>
          </w:p>
        </w:tc>
        <w:tc>
          <w:tcPr>
            <w:tcW w:w="1114" w:type="dxa"/>
            <w:noWrap/>
            <w:vAlign w:val="bottom"/>
          </w:tcPr>
          <w:p w14:paraId="1A232F7B" w14:textId="44B83A04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6.3%</w:t>
            </w:r>
          </w:p>
        </w:tc>
        <w:tc>
          <w:tcPr>
            <w:tcW w:w="1113" w:type="dxa"/>
            <w:noWrap/>
            <w:vAlign w:val="bottom"/>
          </w:tcPr>
          <w:p w14:paraId="52E1451E" w14:textId="6A968043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30.2%</w:t>
            </w:r>
          </w:p>
        </w:tc>
        <w:tc>
          <w:tcPr>
            <w:tcW w:w="1114" w:type="dxa"/>
            <w:noWrap/>
            <w:vAlign w:val="bottom"/>
          </w:tcPr>
          <w:p w14:paraId="27257C06" w14:textId="2AC36C93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25.5%</w:t>
            </w:r>
          </w:p>
        </w:tc>
        <w:tc>
          <w:tcPr>
            <w:tcW w:w="1236" w:type="dxa"/>
            <w:noWrap/>
            <w:vAlign w:val="bottom"/>
          </w:tcPr>
          <w:p w14:paraId="6413A9C6" w14:textId="2628FBE6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C33D7C">
              <w:rPr>
                <w:rFonts w:ascii="Calibri" w:hAnsi="Calibri" w:cs="Calibri"/>
                <w:color w:val="000000"/>
                <w:sz w:val="21"/>
                <w:szCs w:val="21"/>
              </w:rPr>
              <w:t>27.8%</w:t>
            </w:r>
          </w:p>
        </w:tc>
        <w:tc>
          <w:tcPr>
            <w:tcW w:w="1134" w:type="dxa"/>
            <w:noWrap/>
            <w:vAlign w:val="bottom"/>
          </w:tcPr>
          <w:p w14:paraId="61650897" w14:textId="0D547EC0" w:rsidR="00C33D7C" w:rsidRPr="00C33D7C" w:rsidRDefault="00C33D7C" w:rsidP="00C33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33D7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24.8%</w:t>
            </w:r>
          </w:p>
        </w:tc>
      </w:tr>
    </w:tbl>
    <w:p w14:paraId="48705CA9" w14:textId="14DF39A1" w:rsidR="009443D3" w:rsidRDefault="009443D3" w:rsidP="00956354">
      <w:r>
        <w:rPr>
          <w:i/>
          <w:sz w:val="20"/>
          <w:szCs w:val="20"/>
        </w:rPr>
        <w:t xml:space="preserve">Table 2: City/town centre non-domestic property vacancy rates between </w:t>
      </w:r>
      <w:r w:rsidR="00C33D7C">
        <w:rPr>
          <w:i/>
          <w:sz w:val="20"/>
          <w:szCs w:val="20"/>
        </w:rPr>
        <w:t>30</w:t>
      </w:r>
      <w:r w:rsidR="00C33D7C" w:rsidRPr="00C33D7C">
        <w:rPr>
          <w:i/>
          <w:sz w:val="20"/>
          <w:szCs w:val="20"/>
          <w:vertAlign w:val="superscript"/>
        </w:rPr>
        <w:t>th</w:t>
      </w:r>
      <w:r w:rsidR="00C33D7C">
        <w:rPr>
          <w:i/>
          <w:sz w:val="20"/>
          <w:szCs w:val="20"/>
        </w:rPr>
        <w:t xml:space="preserve"> April</w:t>
      </w:r>
      <w:r w:rsidR="00A24783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2016 and </w:t>
      </w:r>
      <w:r w:rsidR="00A24783">
        <w:rPr>
          <w:i/>
          <w:sz w:val="20"/>
          <w:szCs w:val="20"/>
        </w:rPr>
        <w:t>3</w:t>
      </w:r>
      <w:r w:rsidR="00C33D7C">
        <w:rPr>
          <w:i/>
          <w:sz w:val="20"/>
          <w:szCs w:val="20"/>
        </w:rPr>
        <w:t>0</w:t>
      </w:r>
      <w:r w:rsidR="00C33D7C" w:rsidRPr="00C33D7C">
        <w:rPr>
          <w:i/>
          <w:sz w:val="20"/>
          <w:szCs w:val="20"/>
          <w:vertAlign w:val="superscript"/>
        </w:rPr>
        <w:t>th</w:t>
      </w:r>
      <w:r w:rsidR="00C33D7C">
        <w:rPr>
          <w:i/>
          <w:sz w:val="20"/>
          <w:szCs w:val="20"/>
        </w:rPr>
        <w:t xml:space="preserve"> April</w:t>
      </w:r>
      <w:r w:rsidR="00A24783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202</w:t>
      </w:r>
      <w:r w:rsidR="00C33D7C">
        <w:rPr>
          <w:i/>
          <w:sz w:val="20"/>
          <w:szCs w:val="20"/>
        </w:rPr>
        <w:t>5</w:t>
      </w:r>
      <w:r w:rsidRPr="002A2185">
        <w:rPr>
          <w:i/>
          <w:sz w:val="20"/>
          <w:szCs w:val="20"/>
        </w:rPr>
        <w:t>. Source:</w:t>
      </w:r>
      <w:r>
        <w:rPr>
          <w:i/>
          <w:sz w:val="20"/>
          <w:szCs w:val="20"/>
        </w:rPr>
        <w:t xml:space="preserve"> Land and Property Services via Town Centre Database, Department for Communities</w:t>
      </w:r>
      <w:r w:rsidRPr="002A2185">
        <w:rPr>
          <w:i/>
          <w:sz w:val="20"/>
          <w:szCs w:val="20"/>
        </w:rPr>
        <w:t>.</w:t>
      </w:r>
    </w:p>
    <w:p w14:paraId="1D0DEA38" w14:textId="77777777" w:rsidR="009443D3" w:rsidRDefault="009443D3" w:rsidP="00956354"/>
    <w:p w14:paraId="48F6F2E0" w14:textId="3E444C11" w:rsidR="0002582D" w:rsidRDefault="00C51627" w:rsidP="00AA2364">
      <w:r>
        <w:t xml:space="preserve">Of the 41 towns and cities contained within the Town Centre </w:t>
      </w:r>
      <w:r w:rsidR="00936C9E">
        <w:t xml:space="preserve">Database, Dromore </w:t>
      </w:r>
      <w:r w:rsidR="0002582D">
        <w:t xml:space="preserve">currently </w:t>
      </w:r>
      <w:r w:rsidR="00936C9E">
        <w:t xml:space="preserve">has the </w:t>
      </w:r>
      <w:r w:rsidR="00C33D7C">
        <w:t>sixth</w:t>
      </w:r>
      <w:r w:rsidR="00936C9E">
        <w:t xml:space="preserve"> </w:t>
      </w:r>
      <w:r>
        <w:t>highest</w:t>
      </w:r>
      <w:r w:rsidR="00AA2364">
        <w:t xml:space="preserve"> non-domestic property vacancy rate</w:t>
      </w:r>
      <w:r w:rsidR="004E798D">
        <w:t xml:space="preserve"> as </w:t>
      </w:r>
      <w:proofErr w:type="gramStart"/>
      <w:r w:rsidR="004E798D">
        <w:t>at</w:t>
      </w:r>
      <w:proofErr w:type="gramEnd"/>
      <w:r w:rsidR="004E798D">
        <w:t xml:space="preserve"> </w:t>
      </w:r>
      <w:r w:rsidR="00C33D7C">
        <w:t>30</w:t>
      </w:r>
      <w:r w:rsidR="00C33D7C" w:rsidRPr="00C33D7C">
        <w:rPr>
          <w:vertAlign w:val="superscript"/>
        </w:rPr>
        <w:t>th</w:t>
      </w:r>
      <w:r w:rsidR="00C33D7C">
        <w:t xml:space="preserve"> April 2025</w:t>
      </w:r>
      <w:r>
        <w:t xml:space="preserve">. </w:t>
      </w:r>
      <w:r w:rsidR="00B445E3">
        <w:t xml:space="preserve"> </w:t>
      </w:r>
      <w:r w:rsidR="00936C9E">
        <w:t>Portadown</w:t>
      </w:r>
      <w:r w:rsidR="00663F9F">
        <w:t xml:space="preserve"> </w:t>
      </w:r>
      <w:r w:rsidR="00A24783">
        <w:t xml:space="preserve">is currently the </w:t>
      </w:r>
      <w:r w:rsidR="00F27F82">
        <w:t>thirteenth</w:t>
      </w:r>
      <w:r w:rsidR="00663F9F">
        <w:t xml:space="preserve"> </w:t>
      </w:r>
      <w:r w:rsidR="00A24783">
        <w:t>highest while</w:t>
      </w:r>
      <w:r w:rsidR="00AA2364">
        <w:t xml:space="preserve"> Craigavon has the</w:t>
      </w:r>
      <w:r w:rsidR="00936C9E">
        <w:t xml:space="preserve"> </w:t>
      </w:r>
      <w:r w:rsidR="0002582D">
        <w:t>second</w:t>
      </w:r>
      <w:r w:rsidR="00AA2364">
        <w:t xml:space="preserve"> lowest vacancy rate of the 41 towns and cities</w:t>
      </w:r>
      <w:r w:rsidR="00663F9F">
        <w:t xml:space="preserve"> at </w:t>
      </w:r>
      <w:r w:rsidR="00C33D7C">
        <w:t>7.8</w:t>
      </w:r>
      <w:r w:rsidR="00663F9F">
        <w:t>%</w:t>
      </w:r>
      <w:r w:rsidR="00AA2364">
        <w:t>.</w:t>
      </w:r>
      <w:r w:rsidR="00CA23AC">
        <w:t xml:space="preserve"> </w:t>
      </w:r>
      <w:r w:rsidR="0002582D">
        <w:t xml:space="preserve"> The town centre vacancy rates in all towns and cities in the Borough, except Dromore, fall below the Northern Ireland average. </w:t>
      </w:r>
    </w:p>
    <w:p w14:paraId="5D4DE07D" w14:textId="5DAD9218" w:rsidR="00AA2364" w:rsidRPr="00AA2364" w:rsidRDefault="00C33D7C" w:rsidP="00AA2364">
      <w:r>
        <w:rPr>
          <w:noProof/>
        </w:rPr>
        <w:drawing>
          <wp:inline distT="0" distB="0" distL="0" distR="0" wp14:anchorId="7AE7E209" wp14:editId="6E31846E">
            <wp:extent cx="5731510" cy="3519170"/>
            <wp:effectExtent l="0" t="0" r="2540" b="5080"/>
            <wp:docPr id="132575298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EAF3412-DDCF-2D7F-A6EC-36EBE933481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C07F07">
        <w:rPr>
          <w:i/>
          <w:sz w:val="20"/>
          <w:szCs w:val="20"/>
        </w:rPr>
        <w:t xml:space="preserve">Figure 2: </w:t>
      </w:r>
      <w:r w:rsidR="00AA2364">
        <w:rPr>
          <w:i/>
          <w:sz w:val="20"/>
          <w:szCs w:val="20"/>
        </w:rPr>
        <w:t>City/town centre non-domestic</w:t>
      </w:r>
      <w:r w:rsidR="007D43A5">
        <w:rPr>
          <w:i/>
          <w:sz w:val="20"/>
          <w:szCs w:val="20"/>
        </w:rPr>
        <w:t xml:space="preserve"> property vacancy rates as </w:t>
      </w:r>
      <w:proofErr w:type="gramStart"/>
      <w:r w:rsidR="007D43A5">
        <w:rPr>
          <w:i/>
          <w:sz w:val="20"/>
          <w:szCs w:val="20"/>
        </w:rPr>
        <w:t>at</w:t>
      </w:r>
      <w:proofErr w:type="gramEnd"/>
      <w:r w:rsidR="007D43A5">
        <w:rPr>
          <w:i/>
          <w:sz w:val="20"/>
          <w:szCs w:val="20"/>
        </w:rPr>
        <w:t xml:space="preserve"> </w:t>
      </w:r>
      <w:r w:rsidR="00C11AEB">
        <w:rPr>
          <w:i/>
          <w:sz w:val="20"/>
          <w:szCs w:val="20"/>
        </w:rPr>
        <w:t>30</w:t>
      </w:r>
      <w:r w:rsidR="00C11AEB" w:rsidRPr="00C11AEB">
        <w:rPr>
          <w:i/>
          <w:sz w:val="20"/>
          <w:szCs w:val="20"/>
          <w:vertAlign w:val="superscript"/>
        </w:rPr>
        <w:t>th</w:t>
      </w:r>
      <w:r w:rsidR="00C11AEB">
        <w:rPr>
          <w:i/>
          <w:sz w:val="20"/>
          <w:szCs w:val="20"/>
        </w:rPr>
        <w:t xml:space="preserve"> April</w:t>
      </w:r>
      <w:r w:rsidR="00A24783">
        <w:rPr>
          <w:i/>
          <w:sz w:val="20"/>
          <w:szCs w:val="20"/>
        </w:rPr>
        <w:t xml:space="preserve"> </w:t>
      </w:r>
      <w:r w:rsidR="0002582D">
        <w:rPr>
          <w:i/>
          <w:sz w:val="20"/>
          <w:szCs w:val="20"/>
        </w:rPr>
        <w:t>202</w:t>
      </w:r>
      <w:r w:rsidR="00C11AEB">
        <w:rPr>
          <w:i/>
          <w:sz w:val="20"/>
          <w:szCs w:val="20"/>
        </w:rPr>
        <w:t>5</w:t>
      </w:r>
      <w:r w:rsidR="00AA2364" w:rsidRPr="002A2185">
        <w:rPr>
          <w:i/>
          <w:sz w:val="20"/>
          <w:szCs w:val="20"/>
        </w:rPr>
        <w:t>. Source:</w:t>
      </w:r>
      <w:r w:rsidR="00AA2364">
        <w:rPr>
          <w:i/>
          <w:sz w:val="20"/>
          <w:szCs w:val="20"/>
        </w:rPr>
        <w:t xml:space="preserve"> Land and Property Services via Town Centre Database, Department for Communities</w:t>
      </w:r>
      <w:r w:rsidR="00AA2364" w:rsidRPr="002A2185">
        <w:rPr>
          <w:i/>
          <w:sz w:val="20"/>
          <w:szCs w:val="20"/>
        </w:rPr>
        <w:t>.</w:t>
      </w:r>
      <w:r w:rsidR="00AA2364">
        <w:rPr>
          <w:i/>
          <w:sz w:val="20"/>
          <w:szCs w:val="20"/>
        </w:rPr>
        <w:t xml:space="preserve"> </w:t>
      </w:r>
    </w:p>
    <w:p w14:paraId="0FA9FF11" w14:textId="77777777" w:rsidR="00AA2364" w:rsidRDefault="00AA2364" w:rsidP="00956354">
      <w:r>
        <w:t>Further information on town centre vacancy rates can be found via the following link:</w:t>
      </w:r>
    </w:p>
    <w:p w14:paraId="07AAF8FC" w14:textId="77777777" w:rsidR="00C51627" w:rsidRPr="00956354" w:rsidRDefault="00AA2364" w:rsidP="00956354">
      <w:hyperlink r:id="rId8" w:history="1">
        <w:r>
          <w:rPr>
            <w:rStyle w:val="Hyperlink"/>
          </w:rPr>
          <w:t>https://www.communities-ni.gov.uk/publications/town-centre-database</w:t>
        </w:r>
      </w:hyperlink>
    </w:p>
    <w:sectPr w:rsidR="00C51627" w:rsidRPr="0095635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2A512" w14:textId="77777777" w:rsidR="00C07F07" w:rsidRDefault="00C07F07" w:rsidP="00C07F07">
      <w:pPr>
        <w:spacing w:after="0" w:line="240" w:lineRule="auto"/>
      </w:pPr>
      <w:r>
        <w:separator/>
      </w:r>
    </w:p>
  </w:endnote>
  <w:endnote w:type="continuationSeparator" w:id="0">
    <w:p w14:paraId="6096D57F" w14:textId="77777777" w:rsidR="00C07F07" w:rsidRDefault="00C07F07" w:rsidP="00C0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13154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4ADAEB" w14:textId="77777777" w:rsidR="00C07F07" w:rsidRDefault="00C07F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3C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BD47B5" w14:textId="77777777" w:rsidR="00C07F07" w:rsidRDefault="00C07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86874" w14:textId="77777777" w:rsidR="00C07F07" w:rsidRDefault="00C07F07" w:rsidP="00C07F07">
      <w:pPr>
        <w:spacing w:after="0" w:line="240" w:lineRule="auto"/>
      </w:pPr>
      <w:r>
        <w:separator/>
      </w:r>
    </w:p>
  </w:footnote>
  <w:footnote w:type="continuationSeparator" w:id="0">
    <w:p w14:paraId="543F0768" w14:textId="77777777" w:rsidR="00C07F07" w:rsidRDefault="00C07F07" w:rsidP="00C07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756"/>
    <w:rsid w:val="0002582D"/>
    <w:rsid w:val="00053D6F"/>
    <w:rsid w:val="00095AEC"/>
    <w:rsid w:val="000D3FA8"/>
    <w:rsid w:val="0011217B"/>
    <w:rsid w:val="00133F7C"/>
    <w:rsid w:val="00136313"/>
    <w:rsid w:val="00163756"/>
    <w:rsid w:val="00164911"/>
    <w:rsid w:val="001C3C76"/>
    <w:rsid w:val="00255460"/>
    <w:rsid w:val="00260F55"/>
    <w:rsid w:val="0027097C"/>
    <w:rsid w:val="003471C0"/>
    <w:rsid w:val="00354B28"/>
    <w:rsid w:val="0035789F"/>
    <w:rsid w:val="00374AD9"/>
    <w:rsid w:val="003975ED"/>
    <w:rsid w:val="003B1F7B"/>
    <w:rsid w:val="003E1B37"/>
    <w:rsid w:val="004137D6"/>
    <w:rsid w:val="004172DA"/>
    <w:rsid w:val="004239CA"/>
    <w:rsid w:val="004E798D"/>
    <w:rsid w:val="00521FC0"/>
    <w:rsid w:val="00595145"/>
    <w:rsid w:val="005A6091"/>
    <w:rsid w:val="005A6B8B"/>
    <w:rsid w:val="005C2415"/>
    <w:rsid w:val="005D4F3B"/>
    <w:rsid w:val="005F615D"/>
    <w:rsid w:val="00663F9F"/>
    <w:rsid w:val="007D43A5"/>
    <w:rsid w:val="00802D52"/>
    <w:rsid w:val="00807126"/>
    <w:rsid w:val="008A3B82"/>
    <w:rsid w:val="008C1BA5"/>
    <w:rsid w:val="008F7B50"/>
    <w:rsid w:val="00936C9E"/>
    <w:rsid w:val="009443D3"/>
    <w:rsid w:val="00956354"/>
    <w:rsid w:val="00980495"/>
    <w:rsid w:val="009C0905"/>
    <w:rsid w:val="00A02E53"/>
    <w:rsid w:val="00A24783"/>
    <w:rsid w:val="00A61EAC"/>
    <w:rsid w:val="00AA2364"/>
    <w:rsid w:val="00AB0D40"/>
    <w:rsid w:val="00AF041A"/>
    <w:rsid w:val="00B445E3"/>
    <w:rsid w:val="00C07F07"/>
    <w:rsid w:val="00C11AEB"/>
    <w:rsid w:val="00C33D7C"/>
    <w:rsid w:val="00C51627"/>
    <w:rsid w:val="00CA23AC"/>
    <w:rsid w:val="00D11E50"/>
    <w:rsid w:val="00D44BA1"/>
    <w:rsid w:val="00D47A51"/>
    <w:rsid w:val="00D71F6B"/>
    <w:rsid w:val="00DD2CED"/>
    <w:rsid w:val="00DD44F4"/>
    <w:rsid w:val="00DE0A7D"/>
    <w:rsid w:val="00DF6D63"/>
    <w:rsid w:val="00E60A23"/>
    <w:rsid w:val="00EB4ADC"/>
    <w:rsid w:val="00ED387B"/>
    <w:rsid w:val="00F05DE3"/>
    <w:rsid w:val="00F2398A"/>
    <w:rsid w:val="00F27F82"/>
    <w:rsid w:val="00F72D45"/>
    <w:rsid w:val="00FA37E3"/>
    <w:rsid w:val="00FD1406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561EC"/>
  <w15:chartTrackingRefBased/>
  <w15:docId w15:val="{02E1B8DA-A8E0-42A4-A4F1-3F0DD5E4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23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7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F07"/>
  </w:style>
  <w:style w:type="paragraph" w:styleId="Footer">
    <w:name w:val="footer"/>
    <w:basedOn w:val="Normal"/>
    <w:link w:val="FooterChar"/>
    <w:uiPriority w:val="99"/>
    <w:unhideWhenUsed/>
    <w:rsid w:val="00C07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F07"/>
  </w:style>
  <w:style w:type="character" w:styleId="FollowedHyperlink">
    <w:name w:val="FollowedHyperlink"/>
    <w:basedOn w:val="DefaultParagraphFont"/>
    <w:uiPriority w:val="99"/>
    <w:semiHidden/>
    <w:unhideWhenUsed/>
    <w:rsid w:val="0011217B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D71F6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25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unities-ni.gov.uk/publications/town-centre-database" TargetMode="Externa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abc-svr-17\ABC-Banbridgelegacy\community_planning\2.%20Cmty%20&amp;%20Strat%20Planning%20JD\DATA%20ANALYST\2.%20Statistics%20for%20Website\Economy%20and%20Labour%20Market\Updates\2025\Town%20Centre%20Vacancy%20Rates%20180825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c-svr-17\ABC-Banbridgelegacy\community_planning\2.%20Cmty%20&amp;%20Strat%20Planning%20JD\DATA%20ANALYST\2.%20Statistics%20for%20Website\Economy%20and%20Labour%20Market\Updates\2025\Town%20Centre%20Vacancy%20Rates%20180825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'300425 Tables'!$C$13</c:f>
              <c:strCache>
                <c:ptCount val="1"/>
                <c:pt idx="0">
                  <c:v>% of Vacant Properties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'300425 Tables'!$B$14:$B$19</c:f>
              <c:strCache>
                <c:ptCount val="6"/>
                <c:pt idx="0">
                  <c:v>Dromore</c:v>
                </c:pt>
                <c:pt idx="1">
                  <c:v>Portadown</c:v>
                </c:pt>
                <c:pt idx="2">
                  <c:v>Lurgan</c:v>
                </c:pt>
                <c:pt idx="3">
                  <c:v>Armagh</c:v>
                </c:pt>
                <c:pt idx="4">
                  <c:v>Banbridge</c:v>
                </c:pt>
                <c:pt idx="5">
                  <c:v>Craigavon</c:v>
                </c:pt>
              </c:strCache>
            </c:strRef>
          </c:cat>
          <c:val>
            <c:numRef>
              <c:f>'300425 Tables'!$C$14:$C$19</c:f>
              <c:numCache>
                <c:formatCode>0.0%</c:formatCode>
                <c:ptCount val="6"/>
                <c:pt idx="0">
                  <c:v>0.23015873015873015</c:v>
                </c:pt>
                <c:pt idx="1">
                  <c:v>0.20639534883720931</c:v>
                </c:pt>
                <c:pt idx="2">
                  <c:v>0.18762475049900199</c:v>
                </c:pt>
                <c:pt idx="3">
                  <c:v>0.17574931880108993</c:v>
                </c:pt>
                <c:pt idx="4">
                  <c:v>0.14918414918414918</c:v>
                </c:pt>
                <c:pt idx="5">
                  <c:v>7.8431372549019607E-2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74-40CF-A083-A54D68BFE8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1962918703"/>
        <c:axId val="1"/>
      </c:barChart>
      <c:catAx>
        <c:axId val="19629187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62918703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'300425 Tables'!$P$43</c:f>
              <c:strCache>
                <c:ptCount val="1"/>
                <c:pt idx="0">
                  <c:v>% of Vacant Properties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5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FED2-4991-AC8A-23AF31B96CE6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FED2-4991-AC8A-23AF31B96CE6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FED2-4991-AC8A-23AF31B96CE6}"/>
              </c:ext>
            </c:extLst>
          </c:dPt>
          <c:dPt>
            <c:idx val="20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FED2-4991-AC8A-23AF31B96CE6}"/>
              </c:ext>
            </c:extLst>
          </c:dPt>
          <c:dPt>
            <c:idx val="24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FED2-4991-AC8A-23AF31B96CE6}"/>
              </c:ext>
            </c:extLst>
          </c:dPt>
          <c:dPt>
            <c:idx val="33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FED2-4991-AC8A-23AF31B96CE6}"/>
              </c:ext>
            </c:extLst>
          </c:dPt>
          <c:dPt>
            <c:idx val="40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FED2-4991-AC8A-23AF31B96CE6}"/>
              </c:ext>
            </c:extLst>
          </c:dPt>
          <c:cat>
            <c:strRef>
              <c:f>'300425 Tables'!$O$44:$O$85</c:f>
              <c:strCache>
                <c:ptCount val="42"/>
                <c:pt idx="0">
                  <c:v>BELFAST CITY</c:v>
                </c:pt>
                <c:pt idx="1">
                  <c:v>RANDALSTOWN</c:v>
                </c:pt>
                <c:pt idx="2">
                  <c:v>COALISLAND</c:v>
                </c:pt>
                <c:pt idx="3">
                  <c:v>KILKEEL</c:v>
                </c:pt>
                <c:pt idx="4">
                  <c:v>STRABANE</c:v>
                </c:pt>
                <c:pt idx="5">
                  <c:v>DROMORE</c:v>
                </c:pt>
                <c:pt idx="6">
                  <c:v>NORTHERN IRELAND</c:v>
                </c:pt>
                <c:pt idx="7">
                  <c:v>DOWNPATRICK</c:v>
                </c:pt>
                <c:pt idx="8">
                  <c:v>COLERAINE</c:v>
                </c:pt>
                <c:pt idx="9">
                  <c:v>LARNE</c:v>
                </c:pt>
                <c:pt idx="10">
                  <c:v>BANGOR</c:v>
                </c:pt>
                <c:pt idx="11">
                  <c:v>NEWTOWNARDS</c:v>
                </c:pt>
                <c:pt idx="12">
                  <c:v>NEWRY</c:v>
                </c:pt>
                <c:pt idx="13">
                  <c:v>PORTADOWN</c:v>
                </c:pt>
                <c:pt idx="14">
                  <c:v>ANTRIM</c:v>
                </c:pt>
                <c:pt idx="15">
                  <c:v>DUNGANNON</c:v>
                </c:pt>
                <c:pt idx="16">
                  <c:v>BALLYMONEY</c:v>
                </c:pt>
                <c:pt idx="17">
                  <c:v>OMAGH</c:v>
                </c:pt>
                <c:pt idx="18">
                  <c:v>DERRY</c:v>
                </c:pt>
                <c:pt idx="19">
                  <c:v>CRUMLIN</c:v>
                </c:pt>
                <c:pt idx="20">
                  <c:v>LURGAN</c:v>
                </c:pt>
                <c:pt idx="21">
                  <c:v>WARRENPOINT / BURREN</c:v>
                </c:pt>
                <c:pt idx="22">
                  <c:v>COOKSTOWN</c:v>
                </c:pt>
                <c:pt idx="23">
                  <c:v>LISBURN CITY</c:v>
                </c:pt>
                <c:pt idx="24">
                  <c:v>ARMAGH</c:v>
                </c:pt>
                <c:pt idx="25">
                  <c:v>BALLYCASTLE</c:v>
                </c:pt>
                <c:pt idx="26">
                  <c:v>LIMAVADY</c:v>
                </c:pt>
                <c:pt idx="27">
                  <c:v>ENNISKILLEN</c:v>
                </c:pt>
                <c:pt idx="28">
                  <c:v>BALLYNAHINCH</c:v>
                </c:pt>
                <c:pt idx="29">
                  <c:v>PORTSTEWART</c:v>
                </c:pt>
                <c:pt idx="30">
                  <c:v>BALLYMENA</c:v>
                </c:pt>
                <c:pt idx="31">
                  <c:v>COMBER</c:v>
                </c:pt>
                <c:pt idx="32">
                  <c:v>CARRICKFERGUS</c:v>
                </c:pt>
                <c:pt idx="33">
                  <c:v>BANBRIDGE</c:v>
                </c:pt>
                <c:pt idx="34">
                  <c:v>DONAGHADEE</c:v>
                </c:pt>
                <c:pt idx="35">
                  <c:v>MAGHERAFELT</c:v>
                </c:pt>
                <c:pt idx="36">
                  <c:v>PORTRUSH</c:v>
                </c:pt>
                <c:pt idx="37">
                  <c:v>BALLYCLARE</c:v>
                </c:pt>
                <c:pt idx="38">
                  <c:v>NEWCASTLE</c:v>
                </c:pt>
                <c:pt idx="39">
                  <c:v>HOLYWOOD</c:v>
                </c:pt>
                <c:pt idx="40">
                  <c:v>CRAIGAVON</c:v>
                </c:pt>
                <c:pt idx="41">
                  <c:v>CARRYDUFF</c:v>
                </c:pt>
              </c:strCache>
            </c:strRef>
          </c:cat>
          <c:val>
            <c:numRef>
              <c:f>'300425 Tables'!$P$44:$P$85</c:f>
              <c:numCache>
                <c:formatCode>0.0%</c:formatCode>
                <c:ptCount val="42"/>
                <c:pt idx="0">
                  <c:v>0.35071340496741238</c:v>
                </c:pt>
                <c:pt idx="1">
                  <c:v>0.2868217054263566</c:v>
                </c:pt>
                <c:pt idx="2">
                  <c:v>0.27407407407407408</c:v>
                </c:pt>
                <c:pt idx="3">
                  <c:v>0.24352331606217617</c:v>
                </c:pt>
                <c:pt idx="4">
                  <c:v>0.23579545454545456</c:v>
                </c:pt>
                <c:pt idx="5">
                  <c:v>0.23015873015873015</c:v>
                </c:pt>
                <c:pt idx="6">
                  <c:v>0.2300946547884187</c:v>
                </c:pt>
                <c:pt idx="7">
                  <c:v>0.22758620689655173</c:v>
                </c:pt>
                <c:pt idx="8">
                  <c:v>0.22206303724928367</c:v>
                </c:pt>
                <c:pt idx="9">
                  <c:v>0.21963824289405684</c:v>
                </c:pt>
                <c:pt idx="10">
                  <c:v>0.21771771771771772</c:v>
                </c:pt>
                <c:pt idx="11">
                  <c:v>0.20934579439252338</c:v>
                </c:pt>
                <c:pt idx="12">
                  <c:v>0.20850622406639005</c:v>
                </c:pt>
                <c:pt idx="13">
                  <c:v>0.20639534883720931</c:v>
                </c:pt>
                <c:pt idx="14">
                  <c:v>0.20529801324503311</c:v>
                </c:pt>
                <c:pt idx="15">
                  <c:v>0.20416666666666666</c:v>
                </c:pt>
                <c:pt idx="16">
                  <c:v>0.19565217391304349</c:v>
                </c:pt>
                <c:pt idx="17">
                  <c:v>0.19469026548672566</c:v>
                </c:pt>
                <c:pt idx="18">
                  <c:v>0.19286966686148452</c:v>
                </c:pt>
                <c:pt idx="19">
                  <c:v>0.19</c:v>
                </c:pt>
                <c:pt idx="20">
                  <c:v>0.18762475049900199</c:v>
                </c:pt>
                <c:pt idx="21">
                  <c:v>0.18556701030927836</c:v>
                </c:pt>
                <c:pt idx="22">
                  <c:v>0.18527918781725888</c:v>
                </c:pt>
                <c:pt idx="23">
                  <c:v>0.18239795918367346</c:v>
                </c:pt>
                <c:pt idx="24">
                  <c:v>0.17574931880108993</c:v>
                </c:pt>
                <c:pt idx="25">
                  <c:v>0.17499999999999999</c:v>
                </c:pt>
                <c:pt idx="26">
                  <c:v>0.17421602787456447</c:v>
                </c:pt>
                <c:pt idx="27">
                  <c:v>0.17164179104477612</c:v>
                </c:pt>
                <c:pt idx="28">
                  <c:v>0.17032967032967034</c:v>
                </c:pt>
                <c:pt idx="29">
                  <c:v>0.16666666666666666</c:v>
                </c:pt>
                <c:pt idx="30">
                  <c:v>0.16312997347480107</c:v>
                </c:pt>
                <c:pt idx="31">
                  <c:v>0.16279069767441862</c:v>
                </c:pt>
                <c:pt idx="32">
                  <c:v>0.14983713355048861</c:v>
                </c:pt>
                <c:pt idx="33">
                  <c:v>0.14918414918414918</c:v>
                </c:pt>
                <c:pt idx="34">
                  <c:v>0.1440677966101695</c:v>
                </c:pt>
                <c:pt idx="35">
                  <c:v>0.12655086848635236</c:v>
                </c:pt>
                <c:pt idx="36">
                  <c:v>0.12213740458015267</c:v>
                </c:pt>
                <c:pt idx="37">
                  <c:v>0.10194174757281553</c:v>
                </c:pt>
                <c:pt idx="38">
                  <c:v>0.10176991150442478</c:v>
                </c:pt>
                <c:pt idx="39">
                  <c:v>8.5245901639344257E-2</c:v>
                </c:pt>
                <c:pt idx="40">
                  <c:v>7.8431372549019607E-2</c:v>
                </c:pt>
                <c:pt idx="41">
                  <c:v>4.2553191489361701E-2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FED2-4991-AC8A-23AF31B96C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7"/>
        <c:axId val="661879759"/>
        <c:axId val="661880239"/>
      </c:barChart>
      <c:catAx>
        <c:axId val="6618797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1880239"/>
        <c:crosses val="autoZero"/>
        <c:auto val="1"/>
        <c:lblAlgn val="ctr"/>
        <c:lblOffset val="100"/>
        <c:tickLblSkip val="1"/>
        <c:noMultiLvlLbl val="0"/>
      </c:catAx>
      <c:valAx>
        <c:axId val="6618802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187975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Gordon</dc:creator>
  <cp:keywords/>
  <dc:description/>
  <cp:lastModifiedBy>Jessica Bennett</cp:lastModifiedBy>
  <cp:revision>4</cp:revision>
  <cp:lastPrinted>2025-08-19T08:21:00Z</cp:lastPrinted>
  <dcterms:created xsi:type="dcterms:W3CDTF">2025-08-18T13:36:00Z</dcterms:created>
  <dcterms:modified xsi:type="dcterms:W3CDTF">2025-08-19T09:12:00Z</dcterms:modified>
</cp:coreProperties>
</file>