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99C8" w14:textId="77777777" w:rsidR="00565089" w:rsidRPr="006F3392" w:rsidRDefault="00B656CA">
      <w:pPr>
        <w:rPr>
          <w:b/>
        </w:rPr>
      </w:pPr>
      <w:r w:rsidRPr="006F3392">
        <w:rPr>
          <w:b/>
        </w:rPr>
        <w:t>Planning Applications</w:t>
      </w:r>
    </w:p>
    <w:p w14:paraId="7BE76EE9" w14:textId="77777777" w:rsidR="002D5D2C" w:rsidRPr="006F3392" w:rsidRDefault="002D5D2C" w:rsidP="00F53A94">
      <w:r w:rsidRPr="006F3392">
        <w:t>The Planning Act (Northern Ireland) 2011 sets out the legislative framework for development management in Northern Ireland and provides that, from 1</w:t>
      </w:r>
      <w:r w:rsidRPr="006F3392">
        <w:rPr>
          <w:vertAlign w:val="superscript"/>
        </w:rPr>
        <w:t>st</w:t>
      </w:r>
      <w:r w:rsidRPr="006F3392">
        <w:t xml:space="preserve"> April 2015, councils largely have responsibility for this planning function. </w:t>
      </w:r>
    </w:p>
    <w:p w14:paraId="7896D801" w14:textId="7B688770" w:rsidR="00F53A94" w:rsidRDefault="004E54C8" w:rsidP="00F53A94">
      <w:r w:rsidRPr="006F3392">
        <w:t xml:space="preserve">During </w:t>
      </w:r>
      <w:r w:rsidR="006F3392" w:rsidRPr="006F3392">
        <w:t>202</w:t>
      </w:r>
      <w:r w:rsidR="00EC1051">
        <w:t>4</w:t>
      </w:r>
      <w:r w:rsidR="00B11DB9">
        <w:t>/2</w:t>
      </w:r>
      <w:r w:rsidR="00EC1051">
        <w:t>5</w:t>
      </w:r>
      <w:r w:rsidR="00F53A94" w:rsidRPr="006F3392">
        <w:t xml:space="preserve"> Armagh City, Banbridge and Craigavon Borough Council </w:t>
      </w:r>
      <w:r w:rsidR="00CF6911" w:rsidRPr="006F3392">
        <w:t xml:space="preserve">(ABC Council) </w:t>
      </w:r>
      <w:r w:rsidR="00112884">
        <w:t xml:space="preserve">received a total of </w:t>
      </w:r>
      <w:r w:rsidR="00EC1051">
        <w:t>1,011</w:t>
      </w:r>
      <w:r w:rsidRPr="006F3392">
        <w:t xml:space="preserve"> planning applications, </w:t>
      </w:r>
      <w:r w:rsidR="00112884">
        <w:t>a</w:t>
      </w:r>
      <w:r w:rsidR="00EC1051">
        <w:t>n increase</w:t>
      </w:r>
      <w:r w:rsidR="006F3392" w:rsidRPr="006F3392">
        <w:t xml:space="preserve"> of </w:t>
      </w:r>
      <w:r w:rsidR="008B319C">
        <w:t>a</w:t>
      </w:r>
      <w:r w:rsidR="00EC1051">
        <w:t>pproximately 5</w:t>
      </w:r>
      <w:r w:rsidRPr="006F3392">
        <w:t>% on 20</w:t>
      </w:r>
      <w:r w:rsidR="00112884">
        <w:t>2</w:t>
      </w:r>
      <w:r w:rsidR="00EC1051">
        <w:t>3</w:t>
      </w:r>
      <w:r w:rsidR="00112884">
        <w:t>/2</w:t>
      </w:r>
      <w:r w:rsidR="00EC1051">
        <w:t>4</w:t>
      </w:r>
      <w:r w:rsidR="008B319C">
        <w:t xml:space="preserve"> </w:t>
      </w:r>
      <w:r w:rsidRPr="006F3392">
        <w:t>(</w:t>
      </w:r>
      <w:r w:rsidR="00EC1051">
        <w:t>963</w:t>
      </w:r>
      <w:r w:rsidR="00112884">
        <w:t xml:space="preserve"> </w:t>
      </w:r>
      <w:r w:rsidR="00F53A94" w:rsidRPr="006F3392">
        <w:t>applications).</w:t>
      </w:r>
      <w:r w:rsidR="002144CB" w:rsidRPr="006F3392">
        <w:t xml:space="preserve"> </w:t>
      </w:r>
      <w:r w:rsidR="00112884">
        <w:t xml:space="preserve"> </w:t>
      </w:r>
      <w:r w:rsidR="0076114B">
        <w:t>T</w:t>
      </w:r>
      <w:r w:rsidR="002144CB" w:rsidRPr="006F3392">
        <w:t>he number</w:t>
      </w:r>
      <w:r w:rsidRPr="006F3392">
        <w:t xml:space="preserve"> of applications decided in 20</w:t>
      </w:r>
      <w:r w:rsidR="006F3392" w:rsidRPr="006F3392">
        <w:t>2</w:t>
      </w:r>
      <w:r w:rsidR="00EC1051">
        <w:t>4</w:t>
      </w:r>
      <w:r w:rsidR="006F3392" w:rsidRPr="006F3392">
        <w:t>/2</w:t>
      </w:r>
      <w:r w:rsidR="00EC1051">
        <w:t>5</w:t>
      </w:r>
      <w:r w:rsidRPr="006F3392">
        <w:t xml:space="preserve"> </w:t>
      </w:r>
      <w:r w:rsidR="00EC1051">
        <w:t>de</w:t>
      </w:r>
      <w:r w:rsidR="00B11DB9">
        <w:t xml:space="preserve">creased by </w:t>
      </w:r>
      <w:r w:rsidR="00EC1051">
        <w:t>almost 15</w:t>
      </w:r>
      <w:r w:rsidR="00B11DB9">
        <w:t>% from 1,</w:t>
      </w:r>
      <w:r w:rsidR="00EC1051">
        <w:t>086</w:t>
      </w:r>
      <w:r w:rsidR="00112884">
        <w:t xml:space="preserve"> in </w:t>
      </w:r>
      <w:r w:rsidR="002144CB" w:rsidRPr="006F3392">
        <w:t>20</w:t>
      </w:r>
      <w:r w:rsidR="00B11DB9">
        <w:t>2</w:t>
      </w:r>
      <w:r w:rsidR="00EC1051">
        <w:t>3</w:t>
      </w:r>
      <w:r w:rsidR="00B11DB9">
        <w:t>/2</w:t>
      </w:r>
      <w:r w:rsidR="00EC1051">
        <w:t>4</w:t>
      </w:r>
      <w:r w:rsidR="00B11DB9">
        <w:t xml:space="preserve"> to </w:t>
      </w:r>
      <w:r w:rsidR="00EC1051">
        <w:t>927</w:t>
      </w:r>
      <w:r w:rsidR="00B11DB9">
        <w:t xml:space="preserve"> in 202</w:t>
      </w:r>
      <w:r w:rsidR="00EC1051">
        <w:t>4</w:t>
      </w:r>
      <w:r w:rsidR="00B11DB9">
        <w:t>/2</w:t>
      </w:r>
      <w:r w:rsidR="00EC1051">
        <w:t>5</w:t>
      </w:r>
      <w:r w:rsidR="00B11DB9">
        <w:t xml:space="preserve">. </w:t>
      </w:r>
      <w:r w:rsidR="00112884">
        <w:t xml:space="preserve"> T</w:t>
      </w:r>
      <w:r w:rsidR="006F3392">
        <w:t xml:space="preserve">he number of applications approved </w:t>
      </w:r>
      <w:r w:rsidR="00112884">
        <w:t xml:space="preserve">also </w:t>
      </w:r>
      <w:r w:rsidR="00EC1051">
        <w:t>de</w:t>
      </w:r>
      <w:r w:rsidR="008B319C">
        <w:t>creased by</w:t>
      </w:r>
      <w:r w:rsidR="009A7A4B">
        <w:t xml:space="preserve"> </w:t>
      </w:r>
      <w:r w:rsidR="00EC1051">
        <w:t>14.3</w:t>
      </w:r>
      <w:r w:rsidR="009A7A4B">
        <w:t xml:space="preserve">% </w:t>
      </w:r>
      <w:r w:rsidR="00112884">
        <w:t>in 202</w:t>
      </w:r>
      <w:r w:rsidR="00EC1051">
        <w:t>4</w:t>
      </w:r>
      <w:r w:rsidR="00112884">
        <w:t>/2</w:t>
      </w:r>
      <w:r w:rsidR="00EC1051">
        <w:t>5</w:t>
      </w:r>
      <w:r w:rsidR="00112884">
        <w:t xml:space="preserve"> </w:t>
      </w:r>
      <w:r w:rsidR="009A7A4B">
        <w:t>to</w:t>
      </w:r>
      <w:r w:rsidRPr="006F3392">
        <w:t xml:space="preserve"> </w:t>
      </w:r>
      <w:r w:rsidR="00EC1051">
        <w:t>861</w:t>
      </w:r>
      <w:r w:rsidR="002144CB" w:rsidRPr="006F3392">
        <w:t xml:space="preserve"> ap</w:t>
      </w:r>
      <w:r w:rsidRPr="006F3392">
        <w:t>plications</w:t>
      </w:r>
      <w:r w:rsidR="006F3392">
        <w:t xml:space="preserve">.  A total of </w:t>
      </w:r>
      <w:r w:rsidR="00EC1051">
        <w:t>74</w:t>
      </w:r>
      <w:r w:rsidR="006F3392">
        <w:t xml:space="preserve"> applications were withdrawn in 202</w:t>
      </w:r>
      <w:r w:rsidR="00EC1051">
        <w:t>4</w:t>
      </w:r>
      <w:r w:rsidR="006F3392">
        <w:t>/2</w:t>
      </w:r>
      <w:r w:rsidR="00EC1051">
        <w:t>5</w:t>
      </w:r>
      <w:r w:rsidR="008B319C">
        <w:t>, 3</w:t>
      </w:r>
      <w:r w:rsidR="00EC1051">
        <w:t>2 more</w:t>
      </w:r>
      <w:r w:rsidR="008B319C">
        <w:t xml:space="preserve"> than the previous year</w:t>
      </w:r>
      <w:r w:rsidR="006F3392">
        <w:t>.</w:t>
      </w:r>
    </w:p>
    <w:tbl>
      <w:tblPr>
        <w:tblStyle w:val="GridTable1Light"/>
        <w:tblW w:w="7800" w:type="dxa"/>
        <w:tblLook w:val="04A0" w:firstRow="1" w:lastRow="0" w:firstColumn="1" w:lastColumn="0" w:noHBand="0" w:noVBand="1"/>
        <w:tblCaption w:val="All planning applications in Armagh City, Banbridge and Craigavon Borough 2015/16 to 2021/22."/>
      </w:tblPr>
      <w:tblGrid>
        <w:gridCol w:w="1560"/>
        <w:gridCol w:w="1560"/>
        <w:gridCol w:w="1560"/>
        <w:gridCol w:w="1560"/>
        <w:gridCol w:w="1560"/>
      </w:tblGrid>
      <w:tr w:rsidR="00112884" w:rsidRPr="00112884" w14:paraId="5975B55B" w14:textId="77777777" w:rsidTr="005C27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4DE985D7" w14:textId="77777777" w:rsidR="00112884" w:rsidRPr="00112884" w:rsidRDefault="00112884" w:rsidP="00112884">
            <w:pPr>
              <w:jc w:val="center"/>
              <w:rPr>
                <w:rFonts w:ascii="Calibri" w:eastAsia="Times New Roman" w:hAnsi="Calibri" w:cs="Calibri"/>
                <w:color w:val="000000"/>
                <w:lang w:eastAsia="en-GB"/>
              </w:rPr>
            </w:pPr>
            <w:r w:rsidRPr="00112884">
              <w:rPr>
                <w:rFonts w:ascii="Calibri" w:eastAsia="Times New Roman" w:hAnsi="Calibri" w:cs="Calibri"/>
                <w:color w:val="000000"/>
                <w:lang w:eastAsia="en-GB"/>
              </w:rPr>
              <w:t> All Applications</w:t>
            </w:r>
          </w:p>
        </w:tc>
        <w:tc>
          <w:tcPr>
            <w:tcW w:w="1560" w:type="dxa"/>
            <w:noWrap/>
            <w:hideMark/>
          </w:tcPr>
          <w:p w14:paraId="12C05D1A"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Received</w:t>
            </w:r>
          </w:p>
        </w:tc>
        <w:tc>
          <w:tcPr>
            <w:tcW w:w="1560" w:type="dxa"/>
            <w:noWrap/>
            <w:hideMark/>
          </w:tcPr>
          <w:p w14:paraId="78C079AC"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Decided</w:t>
            </w:r>
          </w:p>
        </w:tc>
        <w:tc>
          <w:tcPr>
            <w:tcW w:w="1560" w:type="dxa"/>
            <w:noWrap/>
            <w:hideMark/>
          </w:tcPr>
          <w:p w14:paraId="0B08A36A"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Approved</w:t>
            </w:r>
          </w:p>
        </w:tc>
        <w:tc>
          <w:tcPr>
            <w:tcW w:w="1560" w:type="dxa"/>
            <w:noWrap/>
            <w:hideMark/>
          </w:tcPr>
          <w:p w14:paraId="6571CA95"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Withdrawn</w:t>
            </w:r>
          </w:p>
        </w:tc>
      </w:tr>
      <w:tr w:rsidR="00112884" w:rsidRPr="00112884" w14:paraId="4292248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13BB4E3C" w14:textId="77777777" w:rsidR="00112884" w:rsidRPr="008B319C" w:rsidRDefault="00112884" w:rsidP="008B319C">
            <w:pPr>
              <w:pStyle w:val="NoSpacing"/>
              <w:jc w:val="center"/>
              <w:rPr>
                <w:rFonts w:cstheme="minorHAnsi"/>
                <w:lang w:eastAsia="en-GB"/>
              </w:rPr>
            </w:pPr>
            <w:r w:rsidRPr="008B319C">
              <w:rPr>
                <w:rFonts w:cstheme="minorHAnsi"/>
                <w:lang w:eastAsia="en-GB"/>
              </w:rPr>
              <w:t>2015/16</w:t>
            </w:r>
          </w:p>
        </w:tc>
        <w:tc>
          <w:tcPr>
            <w:tcW w:w="1560" w:type="dxa"/>
            <w:noWrap/>
            <w:hideMark/>
          </w:tcPr>
          <w:p w14:paraId="13B5160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1,251</w:t>
            </w:r>
          </w:p>
        </w:tc>
        <w:tc>
          <w:tcPr>
            <w:tcW w:w="1560" w:type="dxa"/>
            <w:noWrap/>
            <w:hideMark/>
          </w:tcPr>
          <w:p w14:paraId="251B20A0"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1,215</w:t>
            </w:r>
          </w:p>
        </w:tc>
        <w:tc>
          <w:tcPr>
            <w:tcW w:w="1560" w:type="dxa"/>
            <w:noWrap/>
            <w:hideMark/>
          </w:tcPr>
          <w:p w14:paraId="1CBF6D4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1,148</w:t>
            </w:r>
          </w:p>
        </w:tc>
        <w:tc>
          <w:tcPr>
            <w:tcW w:w="1560" w:type="dxa"/>
            <w:noWrap/>
            <w:hideMark/>
          </w:tcPr>
          <w:p w14:paraId="76D0C7E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32</w:t>
            </w:r>
          </w:p>
        </w:tc>
      </w:tr>
      <w:tr w:rsidR="00112884" w:rsidRPr="00112884" w14:paraId="42C020ED"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7B909560" w14:textId="77777777" w:rsidR="00112884" w:rsidRPr="008B319C" w:rsidRDefault="00112884" w:rsidP="008B319C">
            <w:pPr>
              <w:pStyle w:val="NoSpacing"/>
              <w:jc w:val="center"/>
              <w:rPr>
                <w:rFonts w:cstheme="minorHAnsi"/>
                <w:lang w:eastAsia="en-GB"/>
              </w:rPr>
            </w:pPr>
            <w:r w:rsidRPr="008B319C">
              <w:rPr>
                <w:rFonts w:cstheme="minorHAnsi"/>
                <w:lang w:eastAsia="en-GB"/>
              </w:rPr>
              <w:t>2016/17</w:t>
            </w:r>
          </w:p>
        </w:tc>
        <w:tc>
          <w:tcPr>
            <w:tcW w:w="1560" w:type="dxa"/>
            <w:noWrap/>
            <w:hideMark/>
          </w:tcPr>
          <w:p w14:paraId="74BF7C82"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1,383</w:t>
            </w:r>
          </w:p>
        </w:tc>
        <w:tc>
          <w:tcPr>
            <w:tcW w:w="1560" w:type="dxa"/>
            <w:noWrap/>
            <w:hideMark/>
          </w:tcPr>
          <w:p w14:paraId="71187226"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1,423</w:t>
            </w:r>
          </w:p>
        </w:tc>
        <w:tc>
          <w:tcPr>
            <w:tcW w:w="1560" w:type="dxa"/>
            <w:noWrap/>
            <w:hideMark/>
          </w:tcPr>
          <w:p w14:paraId="51DFFD6F"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1,358</w:t>
            </w:r>
          </w:p>
        </w:tc>
        <w:tc>
          <w:tcPr>
            <w:tcW w:w="1560" w:type="dxa"/>
            <w:noWrap/>
            <w:hideMark/>
          </w:tcPr>
          <w:p w14:paraId="190A7F3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58</w:t>
            </w:r>
          </w:p>
        </w:tc>
      </w:tr>
      <w:tr w:rsidR="00112884" w:rsidRPr="00112884" w14:paraId="755740D4"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5FBBEECD" w14:textId="77777777" w:rsidR="00112884" w:rsidRPr="008B319C" w:rsidRDefault="00112884" w:rsidP="008B319C">
            <w:pPr>
              <w:pStyle w:val="NoSpacing"/>
              <w:jc w:val="center"/>
              <w:rPr>
                <w:rFonts w:cstheme="minorHAnsi"/>
                <w:lang w:eastAsia="en-GB"/>
              </w:rPr>
            </w:pPr>
            <w:r w:rsidRPr="008B319C">
              <w:rPr>
                <w:rFonts w:cstheme="minorHAnsi"/>
                <w:lang w:eastAsia="en-GB"/>
              </w:rPr>
              <w:t>2017/18</w:t>
            </w:r>
          </w:p>
        </w:tc>
        <w:tc>
          <w:tcPr>
            <w:tcW w:w="1560" w:type="dxa"/>
            <w:noWrap/>
            <w:hideMark/>
          </w:tcPr>
          <w:p w14:paraId="47C50BF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1,331</w:t>
            </w:r>
          </w:p>
        </w:tc>
        <w:tc>
          <w:tcPr>
            <w:tcW w:w="1560" w:type="dxa"/>
            <w:noWrap/>
            <w:hideMark/>
          </w:tcPr>
          <w:p w14:paraId="6D69906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1,123</w:t>
            </w:r>
          </w:p>
        </w:tc>
        <w:tc>
          <w:tcPr>
            <w:tcW w:w="1560" w:type="dxa"/>
            <w:noWrap/>
            <w:hideMark/>
          </w:tcPr>
          <w:p w14:paraId="05D5685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1,076</w:t>
            </w:r>
          </w:p>
        </w:tc>
        <w:tc>
          <w:tcPr>
            <w:tcW w:w="1560" w:type="dxa"/>
            <w:noWrap/>
            <w:hideMark/>
          </w:tcPr>
          <w:p w14:paraId="67103F3F"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71</w:t>
            </w:r>
          </w:p>
        </w:tc>
      </w:tr>
      <w:tr w:rsidR="00112884" w:rsidRPr="00112884" w14:paraId="106EBE0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2F5F0944" w14:textId="77777777" w:rsidR="00112884" w:rsidRPr="008B319C" w:rsidRDefault="00112884" w:rsidP="008B319C">
            <w:pPr>
              <w:pStyle w:val="NoSpacing"/>
              <w:jc w:val="center"/>
              <w:rPr>
                <w:rFonts w:cstheme="minorHAnsi"/>
                <w:lang w:eastAsia="en-GB"/>
              </w:rPr>
            </w:pPr>
            <w:r w:rsidRPr="008B319C">
              <w:rPr>
                <w:rFonts w:cstheme="minorHAnsi"/>
                <w:lang w:eastAsia="en-GB"/>
              </w:rPr>
              <w:t>2018/19</w:t>
            </w:r>
          </w:p>
        </w:tc>
        <w:tc>
          <w:tcPr>
            <w:tcW w:w="1560" w:type="dxa"/>
            <w:noWrap/>
            <w:hideMark/>
          </w:tcPr>
          <w:p w14:paraId="6BF3401B"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1,348</w:t>
            </w:r>
          </w:p>
        </w:tc>
        <w:tc>
          <w:tcPr>
            <w:tcW w:w="1560" w:type="dxa"/>
            <w:noWrap/>
            <w:hideMark/>
          </w:tcPr>
          <w:p w14:paraId="6DEF33C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1,244</w:t>
            </w:r>
          </w:p>
        </w:tc>
        <w:tc>
          <w:tcPr>
            <w:tcW w:w="1560" w:type="dxa"/>
            <w:noWrap/>
            <w:hideMark/>
          </w:tcPr>
          <w:p w14:paraId="0CA36A8A"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1,189</w:t>
            </w:r>
          </w:p>
        </w:tc>
        <w:tc>
          <w:tcPr>
            <w:tcW w:w="1560" w:type="dxa"/>
            <w:noWrap/>
            <w:hideMark/>
          </w:tcPr>
          <w:p w14:paraId="743AD79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78</w:t>
            </w:r>
          </w:p>
        </w:tc>
      </w:tr>
      <w:tr w:rsidR="00112884" w:rsidRPr="00112884" w14:paraId="6E48D935"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037D4002" w14:textId="77777777" w:rsidR="00112884" w:rsidRPr="008B319C" w:rsidRDefault="00112884" w:rsidP="008B319C">
            <w:pPr>
              <w:pStyle w:val="NoSpacing"/>
              <w:jc w:val="center"/>
              <w:rPr>
                <w:rFonts w:cstheme="minorHAnsi"/>
                <w:lang w:eastAsia="en-GB"/>
              </w:rPr>
            </w:pPr>
            <w:r w:rsidRPr="008B319C">
              <w:rPr>
                <w:rFonts w:cstheme="minorHAnsi"/>
                <w:lang w:eastAsia="en-GB"/>
              </w:rPr>
              <w:t>2019/20</w:t>
            </w:r>
          </w:p>
        </w:tc>
        <w:tc>
          <w:tcPr>
            <w:tcW w:w="1560" w:type="dxa"/>
            <w:noWrap/>
            <w:hideMark/>
          </w:tcPr>
          <w:p w14:paraId="770D2CF1"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1,263</w:t>
            </w:r>
          </w:p>
        </w:tc>
        <w:tc>
          <w:tcPr>
            <w:tcW w:w="1560" w:type="dxa"/>
            <w:noWrap/>
            <w:hideMark/>
          </w:tcPr>
          <w:p w14:paraId="4F821DC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1,132</w:t>
            </w:r>
          </w:p>
        </w:tc>
        <w:tc>
          <w:tcPr>
            <w:tcW w:w="1560" w:type="dxa"/>
            <w:noWrap/>
            <w:hideMark/>
          </w:tcPr>
          <w:p w14:paraId="4DBE0BE0"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1,081</w:t>
            </w:r>
          </w:p>
        </w:tc>
        <w:tc>
          <w:tcPr>
            <w:tcW w:w="1560" w:type="dxa"/>
            <w:noWrap/>
            <w:hideMark/>
          </w:tcPr>
          <w:p w14:paraId="0EDA7861"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14:paraId="5E428666"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7BC1BA64" w14:textId="77777777" w:rsidR="00112884" w:rsidRPr="008B319C" w:rsidRDefault="00112884" w:rsidP="008B319C">
            <w:pPr>
              <w:pStyle w:val="NoSpacing"/>
              <w:jc w:val="center"/>
              <w:rPr>
                <w:rFonts w:cstheme="minorHAnsi"/>
                <w:lang w:eastAsia="en-GB"/>
              </w:rPr>
            </w:pPr>
            <w:r w:rsidRPr="008B319C">
              <w:rPr>
                <w:rFonts w:cstheme="minorHAnsi"/>
                <w:lang w:eastAsia="en-GB"/>
              </w:rPr>
              <w:t>2020/21</w:t>
            </w:r>
          </w:p>
        </w:tc>
        <w:tc>
          <w:tcPr>
            <w:tcW w:w="1560" w:type="dxa"/>
            <w:noWrap/>
            <w:hideMark/>
          </w:tcPr>
          <w:p w14:paraId="52187D2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1,340</w:t>
            </w:r>
          </w:p>
        </w:tc>
        <w:tc>
          <w:tcPr>
            <w:tcW w:w="1560" w:type="dxa"/>
            <w:noWrap/>
            <w:hideMark/>
          </w:tcPr>
          <w:p w14:paraId="1085E72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926</w:t>
            </w:r>
          </w:p>
        </w:tc>
        <w:tc>
          <w:tcPr>
            <w:tcW w:w="1560" w:type="dxa"/>
            <w:noWrap/>
            <w:hideMark/>
          </w:tcPr>
          <w:p w14:paraId="7C01C6E3"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885</w:t>
            </w:r>
          </w:p>
        </w:tc>
        <w:tc>
          <w:tcPr>
            <w:tcW w:w="1560" w:type="dxa"/>
            <w:noWrap/>
            <w:hideMark/>
          </w:tcPr>
          <w:p w14:paraId="6B37FF1A"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14:paraId="118EFEBB"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392ADDEF" w14:textId="77777777" w:rsidR="00112884" w:rsidRPr="008B319C" w:rsidRDefault="00112884" w:rsidP="008B319C">
            <w:pPr>
              <w:pStyle w:val="NoSpacing"/>
              <w:jc w:val="center"/>
              <w:rPr>
                <w:rFonts w:cstheme="minorHAnsi"/>
                <w:lang w:eastAsia="en-GB"/>
              </w:rPr>
            </w:pPr>
            <w:r w:rsidRPr="008B319C">
              <w:rPr>
                <w:rFonts w:cstheme="minorHAnsi"/>
                <w:lang w:eastAsia="en-GB"/>
              </w:rPr>
              <w:t>2021/22</w:t>
            </w:r>
          </w:p>
        </w:tc>
        <w:tc>
          <w:tcPr>
            <w:tcW w:w="1560" w:type="dxa"/>
            <w:noWrap/>
            <w:hideMark/>
          </w:tcPr>
          <w:p w14:paraId="3C90DC5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1,310</w:t>
            </w:r>
          </w:p>
        </w:tc>
        <w:tc>
          <w:tcPr>
            <w:tcW w:w="1560" w:type="dxa"/>
            <w:noWrap/>
            <w:hideMark/>
          </w:tcPr>
          <w:p w14:paraId="1C629AA7"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1,374</w:t>
            </w:r>
          </w:p>
        </w:tc>
        <w:tc>
          <w:tcPr>
            <w:tcW w:w="1560" w:type="dxa"/>
            <w:noWrap/>
            <w:hideMark/>
          </w:tcPr>
          <w:p w14:paraId="0DD3BB5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1,289</w:t>
            </w:r>
          </w:p>
        </w:tc>
        <w:tc>
          <w:tcPr>
            <w:tcW w:w="1560" w:type="dxa"/>
            <w:noWrap/>
            <w:hideMark/>
          </w:tcPr>
          <w:p w14:paraId="0EC75EDD"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79</w:t>
            </w:r>
          </w:p>
        </w:tc>
      </w:tr>
      <w:tr w:rsidR="00B11DB9" w:rsidRPr="00112884" w14:paraId="5EF078A7"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5CF197C" w14:textId="77777777" w:rsidR="00B11DB9" w:rsidRPr="008B319C" w:rsidRDefault="00B11DB9" w:rsidP="008B319C">
            <w:pPr>
              <w:pStyle w:val="NoSpacing"/>
              <w:jc w:val="center"/>
              <w:rPr>
                <w:rFonts w:cstheme="minorHAnsi"/>
                <w:lang w:eastAsia="en-GB"/>
              </w:rPr>
            </w:pPr>
            <w:r w:rsidRPr="008B319C">
              <w:rPr>
                <w:rFonts w:cstheme="minorHAnsi"/>
                <w:lang w:eastAsia="en-GB"/>
              </w:rPr>
              <w:t>2022/23</w:t>
            </w:r>
          </w:p>
        </w:tc>
        <w:tc>
          <w:tcPr>
            <w:tcW w:w="1560" w:type="dxa"/>
            <w:noWrap/>
          </w:tcPr>
          <w:p w14:paraId="651183CF"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1,065</w:t>
            </w:r>
          </w:p>
        </w:tc>
        <w:tc>
          <w:tcPr>
            <w:tcW w:w="1560" w:type="dxa"/>
            <w:noWrap/>
          </w:tcPr>
          <w:p w14:paraId="6BFA8D43"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1,041</w:t>
            </w:r>
          </w:p>
        </w:tc>
        <w:tc>
          <w:tcPr>
            <w:tcW w:w="1560" w:type="dxa"/>
            <w:noWrap/>
          </w:tcPr>
          <w:p w14:paraId="060A4738"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971</w:t>
            </w:r>
          </w:p>
        </w:tc>
        <w:tc>
          <w:tcPr>
            <w:tcW w:w="1560" w:type="dxa"/>
            <w:noWrap/>
          </w:tcPr>
          <w:p w14:paraId="535AD6D5"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r w:rsidR="008B319C" w:rsidRPr="00112884" w14:paraId="4F062BA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727F9E8" w14:textId="523C2C67" w:rsidR="008B319C" w:rsidRPr="008B319C" w:rsidRDefault="008B319C" w:rsidP="008B319C">
            <w:pPr>
              <w:pStyle w:val="NoSpacing"/>
              <w:jc w:val="center"/>
              <w:rPr>
                <w:rFonts w:cstheme="minorHAnsi"/>
                <w:lang w:eastAsia="en-GB"/>
              </w:rPr>
            </w:pPr>
            <w:r>
              <w:rPr>
                <w:rFonts w:cstheme="minorHAnsi"/>
                <w:lang w:eastAsia="en-GB"/>
              </w:rPr>
              <w:t>2023/24</w:t>
            </w:r>
          </w:p>
        </w:tc>
        <w:tc>
          <w:tcPr>
            <w:tcW w:w="1560" w:type="dxa"/>
            <w:noWrap/>
          </w:tcPr>
          <w:p w14:paraId="63AB1D9C" w14:textId="48E5BDC7"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963</w:t>
            </w:r>
          </w:p>
        </w:tc>
        <w:tc>
          <w:tcPr>
            <w:tcW w:w="1560" w:type="dxa"/>
            <w:noWrap/>
          </w:tcPr>
          <w:p w14:paraId="369BCBD4" w14:textId="4CC3892D"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1,086</w:t>
            </w:r>
          </w:p>
        </w:tc>
        <w:tc>
          <w:tcPr>
            <w:tcW w:w="1560" w:type="dxa"/>
            <w:noWrap/>
          </w:tcPr>
          <w:p w14:paraId="11E75BE9" w14:textId="3AB83D4E"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1,005</w:t>
            </w:r>
          </w:p>
        </w:tc>
        <w:tc>
          <w:tcPr>
            <w:tcW w:w="1560" w:type="dxa"/>
            <w:noWrap/>
          </w:tcPr>
          <w:p w14:paraId="73BDAF97" w14:textId="37BDB2F4"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42</w:t>
            </w:r>
          </w:p>
        </w:tc>
      </w:tr>
      <w:tr w:rsidR="00EC1051" w:rsidRPr="00112884" w14:paraId="53EA46D3" w14:textId="77777777" w:rsidTr="00803E0B">
        <w:trPr>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FFB08D0" w14:textId="67A5A6D9" w:rsidR="00EC1051" w:rsidRDefault="00EC1051" w:rsidP="00EC1051">
            <w:pPr>
              <w:pStyle w:val="NoSpacing"/>
              <w:jc w:val="center"/>
              <w:rPr>
                <w:rFonts w:cstheme="minorHAnsi"/>
                <w:lang w:eastAsia="en-GB"/>
              </w:rPr>
            </w:pPr>
            <w:r w:rsidRPr="00EC1051">
              <w:rPr>
                <w:rFonts w:cstheme="minorHAnsi"/>
                <w:lang w:eastAsia="en-GB"/>
              </w:rPr>
              <w:t>2024/25</w:t>
            </w:r>
          </w:p>
        </w:tc>
        <w:tc>
          <w:tcPr>
            <w:tcW w:w="1560" w:type="dxa"/>
            <w:noWrap/>
            <w:vAlign w:val="center"/>
          </w:tcPr>
          <w:p w14:paraId="4C8DCF34" w14:textId="58FECE9D"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1,011</w:t>
            </w:r>
          </w:p>
        </w:tc>
        <w:tc>
          <w:tcPr>
            <w:tcW w:w="1560" w:type="dxa"/>
            <w:noWrap/>
            <w:vAlign w:val="center"/>
          </w:tcPr>
          <w:p w14:paraId="7752EE35" w14:textId="42493992"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927</w:t>
            </w:r>
          </w:p>
        </w:tc>
        <w:tc>
          <w:tcPr>
            <w:tcW w:w="1560" w:type="dxa"/>
            <w:noWrap/>
            <w:vAlign w:val="center"/>
          </w:tcPr>
          <w:p w14:paraId="43894BCF" w14:textId="0E327C65"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861</w:t>
            </w:r>
          </w:p>
        </w:tc>
        <w:tc>
          <w:tcPr>
            <w:tcW w:w="1560" w:type="dxa"/>
            <w:noWrap/>
            <w:vAlign w:val="center"/>
          </w:tcPr>
          <w:p w14:paraId="052E150D" w14:textId="41DAE6D0"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74</w:t>
            </w:r>
          </w:p>
        </w:tc>
      </w:tr>
    </w:tbl>
    <w:p w14:paraId="4A517F40" w14:textId="730AC7C4" w:rsidR="009C7268" w:rsidRDefault="005F140B" w:rsidP="00F53A94">
      <w:pPr>
        <w:rPr>
          <w:i/>
          <w:sz w:val="20"/>
          <w:szCs w:val="20"/>
        </w:rPr>
      </w:pPr>
      <w:r w:rsidRPr="006F3392">
        <w:rPr>
          <w:i/>
          <w:sz w:val="20"/>
          <w:szCs w:val="20"/>
        </w:rPr>
        <w:t xml:space="preserve">Table 1: All planning applications in </w:t>
      </w:r>
      <w:r w:rsidR="009C7268" w:rsidRPr="006F3392">
        <w:rPr>
          <w:i/>
          <w:sz w:val="20"/>
          <w:szCs w:val="20"/>
        </w:rPr>
        <w:t xml:space="preserve">Armagh City, Banbridge and Craigavon </w:t>
      </w:r>
      <w:r w:rsidRPr="006F3392">
        <w:rPr>
          <w:i/>
          <w:sz w:val="20"/>
          <w:szCs w:val="20"/>
        </w:rPr>
        <w:t xml:space="preserve">Borough </w:t>
      </w:r>
      <w:r w:rsidR="004E54C8" w:rsidRPr="006F3392">
        <w:rPr>
          <w:i/>
          <w:sz w:val="20"/>
          <w:szCs w:val="20"/>
        </w:rPr>
        <w:t xml:space="preserve">2015/16 to </w:t>
      </w:r>
      <w:r w:rsidR="006F3392" w:rsidRPr="006F3392">
        <w:rPr>
          <w:i/>
          <w:sz w:val="20"/>
          <w:szCs w:val="20"/>
        </w:rPr>
        <w:t>202</w:t>
      </w:r>
      <w:r w:rsidR="00EC1051">
        <w:rPr>
          <w:i/>
          <w:sz w:val="20"/>
          <w:szCs w:val="20"/>
        </w:rPr>
        <w:t>4</w:t>
      </w:r>
      <w:r w:rsidR="00B11DB9">
        <w:rPr>
          <w:i/>
          <w:sz w:val="20"/>
          <w:szCs w:val="20"/>
        </w:rPr>
        <w:t>/2</w:t>
      </w:r>
      <w:r w:rsidR="00EC1051">
        <w:rPr>
          <w:i/>
          <w:sz w:val="20"/>
          <w:szCs w:val="20"/>
        </w:rPr>
        <w:t>5</w:t>
      </w:r>
      <w:r w:rsidR="009C7268" w:rsidRPr="006F3392">
        <w:rPr>
          <w:i/>
          <w:sz w:val="20"/>
          <w:szCs w:val="20"/>
        </w:rPr>
        <w:t>. Source: Northern Ire</w:t>
      </w:r>
      <w:r w:rsidR="00F356E3" w:rsidRPr="006F3392">
        <w:rPr>
          <w:i/>
          <w:sz w:val="20"/>
          <w:szCs w:val="20"/>
        </w:rPr>
        <w:t>land Planning Statistics,</w:t>
      </w:r>
      <w:r w:rsidR="009C7268" w:rsidRPr="006F3392">
        <w:rPr>
          <w:i/>
          <w:sz w:val="20"/>
          <w:szCs w:val="20"/>
        </w:rPr>
        <w:t xml:space="preserve"> Department for Infrastructure.</w:t>
      </w:r>
    </w:p>
    <w:p w14:paraId="338B9943" w14:textId="77777777" w:rsidR="00420875" w:rsidRPr="006F3392" w:rsidRDefault="00420875" w:rsidP="00F53A94">
      <w:pPr>
        <w:rPr>
          <w:i/>
          <w:sz w:val="20"/>
          <w:szCs w:val="20"/>
        </w:rPr>
      </w:pPr>
    </w:p>
    <w:p w14:paraId="0D835F1B" w14:textId="2FB08CA6" w:rsidR="009C7268" w:rsidRPr="00420875" w:rsidRDefault="00EC1051" w:rsidP="009C7268">
      <w:pPr>
        <w:rPr>
          <w:i/>
          <w:color w:val="FF0000"/>
          <w:sz w:val="20"/>
          <w:szCs w:val="20"/>
        </w:rPr>
      </w:pPr>
      <w:r>
        <w:rPr>
          <w:noProof/>
        </w:rPr>
        <w:drawing>
          <wp:inline distT="0" distB="0" distL="0" distR="0" wp14:anchorId="166F0E2B" wp14:editId="23109446">
            <wp:extent cx="5514975" cy="3232785"/>
            <wp:effectExtent l="0" t="0" r="9525" b="5715"/>
            <wp:docPr id="1375338689" name="Chart 1">
              <a:extLst xmlns:a="http://schemas.openxmlformats.org/drawingml/2006/main">
                <a:ext uri="{FF2B5EF4-FFF2-40B4-BE49-F238E27FC236}">
                  <a16:creationId xmlns:a16="http://schemas.microsoft.com/office/drawing/2014/main" id="{F1A4A64D-ECEE-4337-32EB-AC7453112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F140B" w:rsidRPr="006753B0">
        <w:rPr>
          <w:i/>
          <w:sz w:val="20"/>
          <w:szCs w:val="20"/>
        </w:rPr>
        <w:t>Figure 1:</w:t>
      </w:r>
      <w:r w:rsidR="009C7268" w:rsidRPr="006753B0">
        <w:rPr>
          <w:i/>
          <w:sz w:val="20"/>
          <w:szCs w:val="20"/>
        </w:rPr>
        <w:t xml:space="preserve"> </w:t>
      </w:r>
      <w:r w:rsidR="005F140B" w:rsidRPr="006753B0">
        <w:rPr>
          <w:i/>
          <w:sz w:val="20"/>
          <w:szCs w:val="20"/>
        </w:rPr>
        <w:t xml:space="preserve">All planning applications in Armagh City, Banbridge and Craigavon Borough </w:t>
      </w:r>
      <w:r w:rsidR="006753B0" w:rsidRPr="006753B0">
        <w:rPr>
          <w:i/>
          <w:sz w:val="20"/>
          <w:szCs w:val="20"/>
        </w:rPr>
        <w:t>2015/16 to 202</w:t>
      </w:r>
      <w:r>
        <w:rPr>
          <w:i/>
          <w:sz w:val="20"/>
          <w:szCs w:val="20"/>
        </w:rPr>
        <w:t>4</w:t>
      </w:r>
      <w:r w:rsidR="00FC4E01">
        <w:rPr>
          <w:i/>
          <w:sz w:val="20"/>
          <w:szCs w:val="20"/>
        </w:rPr>
        <w:t>/2</w:t>
      </w:r>
      <w:r>
        <w:rPr>
          <w:i/>
          <w:sz w:val="20"/>
          <w:szCs w:val="20"/>
        </w:rPr>
        <w:t>5</w:t>
      </w:r>
      <w:r w:rsidR="009C7268" w:rsidRPr="006753B0">
        <w:rPr>
          <w:i/>
          <w:sz w:val="20"/>
          <w:szCs w:val="20"/>
        </w:rPr>
        <w:t>. Source: Northern Irel</w:t>
      </w:r>
      <w:r w:rsidR="00F356E3" w:rsidRPr="006753B0">
        <w:rPr>
          <w:i/>
          <w:sz w:val="20"/>
          <w:szCs w:val="20"/>
        </w:rPr>
        <w:t xml:space="preserve">and Planning Statistics, </w:t>
      </w:r>
      <w:r w:rsidR="009C7268" w:rsidRPr="006753B0">
        <w:rPr>
          <w:i/>
          <w:sz w:val="20"/>
          <w:szCs w:val="20"/>
        </w:rPr>
        <w:t>Department for Infrastructure.</w:t>
      </w:r>
    </w:p>
    <w:p w14:paraId="03E45864" w14:textId="77777777" w:rsidR="00FC4E01" w:rsidRDefault="00FC4E01" w:rsidP="00F53A94">
      <w:pPr>
        <w:rPr>
          <w:i/>
          <w:color w:val="FF0000"/>
        </w:rPr>
      </w:pPr>
    </w:p>
    <w:p w14:paraId="1886FAD8" w14:textId="77777777" w:rsidR="00F53A94" w:rsidRPr="006753B0" w:rsidRDefault="00F53A94" w:rsidP="00F53A94">
      <w:r w:rsidRPr="006753B0">
        <w:lastRenderedPageBreak/>
        <w:t>Councils determine planning applications for development as being either major development or local development.</w:t>
      </w:r>
    </w:p>
    <w:p w14:paraId="0D51F927" w14:textId="77777777" w:rsidR="00F53A94" w:rsidRPr="006753B0" w:rsidRDefault="00F53A94" w:rsidP="00F53A94">
      <w:r w:rsidRPr="006753B0">
        <w:t>Major developments have important economic, social and environmental implications for councils. The majority of major applications are multiple housing, commercial and government and civic types of development.</w:t>
      </w:r>
    </w:p>
    <w:p w14:paraId="1CD007FD" w14:textId="1CB00190" w:rsidR="00CF6911" w:rsidRPr="007E5D7A" w:rsidRDefault="00F81432" w:rsidP="00F53A94">
      <w:r w:rsidRPr="00F81432">
        <w:t>There were 1</w:t>
      </w:r>
      <w:r w:rsidR="00612458">
        <w:t>9</w:t>
      </w:r>
      <w:r w:rsidR="0024201B">
        <w:t xml:space="preserve"> </w:t>
      </w:r>
      <w:r w:rsidR="00CF6911" w:rsidRPr="00F81432">
        <w:t>major development applications</w:t>
      </w:r>
      <w:r w:rsidR="001740FB" w:rsidRPr="00F81432">
        <w:t xml:space="preserve"> received by ABC Council in </w:t>
      </w:r>
      <w:r w:rsidRPr="00F81432">
        <w:t>202</w:t>
      </w:r>
      <w:r w:rsidR="00EC1051">
        <w:t>4</w:t>
      </w:r>
      <w:r w:rsidRPr="00F81432">
        <w:t>/2</w:t>
      </w:r>
      <w:r w:rsidR="00EC1051">
        <w:t>5</w:t>
      </w:r>
      <w:r w:rsidRPr="00F81432">
        <w:t>. Decisions were made on 1</w:t>
      </w:r>
      <w:r w:rsidR="00EC1051">
        <w:t>4</w:t>
      </w:r>
      <w:r w:rsidR="00CF6911" w:rsidRPr="00F81432">
        <w:t xml:space="preserve"> applications during this time with </w:t>
      </w:r>
      <w:r w:rsidR="00F356E3" w:rsidRPr="00F81432">
        <w:t>all</w:t>
      </w:r>
      <w:r w:rsidR="00CF6911" w:rsidRPr="00F81432">
        <w:t xml:space="preserve"> decisions being for approval. The appro</w:t>
      </w:r>
      <w:r w:rsidR="00F356E3" w:rsidRPr="00F81432">
        <w:t>va</w:t>
      </w:r>
      <w:r w:rsidRPr="00F81432">
        <w:t xml:space="preserve">l rate </w:t>
      </w:r>
      <w:r w:rsidRPr="007E5D7A">
        <w:t xml:space="preserve">during the previous </w:t>
      </w:r>
      <w:r w:rsidR="00EC1051">
        <w:t>nine</w:t>
      </w:r>
      <w:r w:rsidR="00CF6911" w:rsidRPr="007E5D7A">
        <w:t xml:space="preserve"> financial years </w:t>
      </w:r>
      <w:r w:rsidR="0024201B">
        <w:t xml:space="preserve">presented in the table </w:t>
      </w:r>
      <w:r w:rsidR="00CF6911" w:rsidRPr="007E5D7A">
        <w:t>was also 100.0%.</w:t>
      </w:r>
    </w:p>
    <w:p w14:paraId="73CF3EF0" w14:textId="4322360A" w:rsidR="0024201B" w:rsidRDefault="00896117" w:rsidP="00F53A94">
      <w:r>
        <w:t xml:space="preserve">Having fallen by almost 20 weeks between 2022/23 and 2023/24, </w:t>
      </w:r>
      <w:r w:rsidR="0024201B">
        <w:t xml:space="preserve">the average processing times for major development applications </w:t>
      </w:r>
      <w:r w:rsidR="00A858A6">
        <w:t>fell</w:t>
      </w:r>
      <w:r w:rsidR="0024201B">
        <w:t xml:space="preserve"> </w:t>
      </w:r>
      <w:r>
        <w:t>again i</w:t>
      </w:r>
      <w:r>
        <w:t xml:space="preserve">n </w:t>
      </w:r>
      <w:r w:rsidRPr="007E5D7A">
        <w:t>202</w:t>
      </w:r>
      <w:r>
        <w:t>4/25</w:t>
      </w:r>
      <w:r w:rsidRPr="007E5D7A">
        <w:t xml:space="preserve"> </w:t>
      </w:r>
      <w:r w:rsidR="00A858A6">
        <w:t xml:space="preserve">by almost </w:t>
      </w:r>
      <w:r>
        <w:t>10</w:t>
      </w:r>
      <w:r w:rsidR="00A858A6">
        <w:t xml:space="preserve"> weeks </w:t>
      </w:r>
      <w:r w:rsidR="0024201B">
        <w:t xml:space="preserve">from </w:t>
      </w:r>
      <w:r>
        <w:t>27.6</w:t>
      </w:r>
      <w:r w:rsidR="00420875">
        <w:t xml:space="preserve"> weeks in 202</w:t>
      </w:r>
      <w:r>
        <w:t>3</w:t>
      </w:r>
      <w:r w:rsidR="00420875">
        <w:t>/2</w:t>
      </w:r>
      <w:r>
        <w:t>4</w:t>
      </w:r>
      <w:r w:rsidR="00420875">
        <w:t xml:space="preserve"> to </w:t>
      </w:r>
      <w:r>
        <w:t>17.8</w:t>
      </w:r>
      <w:r w:rsidR="00A858A6">
        <w:t xml:space="preserve"> </w:t>
      </w:r>
      <w:r w:rsidR="00420875">
        <w:t>weeks in 202</w:t>
      </w:r>
      <w:r>
        <w:t>4</w:t>
      </w:r>
      <w:r w:rsidR="00420875">
        <w:t>/2</w:t>
      </w:r>
      <w:r>
        <w:t>5</w:t>
      </w:r>
      <w:r w:rsidR="0024201B">
        <w:t>. While averag</w:t>
      </w:r>
      <w:r w:rsidR="00420875">
        <w:t xml:space="preserve">e processing times </w:t>
      </w:r>
      <w:r w:rsidR="0077569B">
        <w:t>fell</w:t>
      </w:r>
      <w:r w:rsidR="0024201B">
        <w:t xml:space="preserve"> in Northern Ireland overall also, the </w:t>
      </w:r>
      <w:r w:rsidR="00612458">
        <w:t>B</w:t>
      </w:r>
      <w:r w:rsidR="0024201B">
        <w:t xml:space="preserve">orough is </w:t>
      </w:r>
      <w:r w:rsidR="0077569B">
        <w:t>now</w:t>
      </w:r>
      <w:r w:rsidR="0024201B">
        <w:t xml:space="preserve"> taking an average </w:t>
      </w:r>
      <w:r w:rsidR="00420875">
        <w:t xml:space="preserve">of </w:t>
      </w:r>
      <w:r>
        <w:t>21.8</w:t>
      </w:r>
      <w:r w:rsidR="00A91E23">
        <w:t xml:space="preserve"> weeks less to process a major development</w:t>
      </w:r>
      <w:r w:rsidR="0024201B">
        <w:t xml:space="preserve"> application.  </w:t>
      </w:r>
    </w:p>
    <w:p w14:paraId="70AE68B5" w14:textId="4E75B1BA" w:rsidR="007E5D7A" w:rsidRPr="003729A0" w:rsidRDefault="003729A0" w:rsidP="00F53A94">
      <w:r>
        <w:t>In 202</w:t>
      </w:r>
      <w:r w:rsidR="00896117">
        <w:t>4</w:t>
      </w:r>
      <w:r>
        <w:t>/2</w:t>
      </w:r>
      <w:r w:rsidR="00896117">
        <w:t>5</w:t>
      </w:r>
      <w:r w:rsidR="0077569B">
        <w:t xml:space="preserve">, </w:t>
      </w:r>
      <w:r w:rsidR="00896117">
        <w:t xml:space="preserve">five </w:t>
      </w:r>
      <w:r w:rsidR="0077569B">
        <w:t xml:space="preserve">of the </w:t>
      </w:r>
      <w:r>
        <w:t xml:space="preserve">LGD’s </w:t>
      </w:r>
      <w:r w:rsidR="0077569B">
        <w:t xml:space="preserve">including Armagh City, Banbridge and Craigavon Borough </w:t>
      </w:r>
      <w:r>
        <w:t xml:space="preserve">met the 30 week statutory target for major developments.  Information is provided on the percentage of cases processed within the 30 weeks for each LGD.  In Armagh City, Banbridge and Craigavon, </w:t>
      </w:r>
      <w:r w:rsidR="00896117">
        <w:t>84.2</w:t>
      </w:r>
      <w:r>
        <w:t xml:space="preserve">% of cases were processed within the 30 week target period compared to the Northern Ireland average of </w:t>
      </w:r>
      <w:r w:rsidR="00896117">
        <w:t>42.6</w:t>
      </w:r>
      <w:r>
        <w:t xml:space="preserve">%.   </w:t>
      </w:r>
    </w:p>
    <w:tbl>
      <w:tblPr>
        <w:tblStyle w:val="GridTable1Light"/>
        <w:tblW w:w="9016" w:type="dxa"/>
        <w:tblLook w:val="04A0" w:firstRow="1" w:lastRow="0" w:firstColumn="1" w:lastColumn="0" w:noHBand="0" w:noVBand="1"/>
        <w:tblCaption w:val="Major development planning applications in Armagh City, Banbridge and Craigavon Borough 2015/16 to 2020/21"/>
      </w:tblPr>
      <w:tblGrid>
        <w:gridCol w:w="1505"/>
        <w:gridCol w:w="1251"/>
        <w:gridCol w:w="1252"/>
        <w:gridCol w:w="1252"/>
        <w:gridCol w:w="1252"/>
        <w:gridCol w:w="1252"/>
        <w:gridCol w:w="1252"/>
      </w:tblGrid>
      <w:tr w:rsidR="006753B0" w:rsidRPr="006753B0" w14:paraId="46332F33" w14:textId="77777777" w:rsidTr="00EC1051">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505" w:type="dxa"/>
            <w:hideMark/>
          </w:tcPr>
          <w:p w14:paraId="6DF3DAC4" w14:textId="77777777" w:rsidR="00F81432" w:rsidRDefault="00F81432" w:rsidP="006753B0">
            <w:pPr>
              <w:jc w:val="center"/>
              <w:rPr>
                <w:rFonts w:ascii="Calibri" w:eastAsia="Times New Roman" w:hAnsi="Calibri" w:cs="Calibri"/>
                <w:bCs w:val="0"/>
                <w:color w:val="000000"/>
                <w:lang w:eastAsia="en-GB"/>
              </w:rPr>
            </w:pPr>
          </w:p>
          <w:p w14:paraId="3F1C8A83" w14:textId="77777777" w:rsidR="006753B0" w:rsidRPr="006753B0" w:rsidRDefault="006753B0" w:rsidP="006753B0">
            <w:pPr>
              <w:jc w:val="center"/>
              <w:rPr>
                <w:rFonts w:ascii="Calibri" w:eastAsia="Times New Roman" w:hAnsi="Calibri" w:cs="Calibri"/>
                <w:color w:val="000000"/>
                <w:lang w:eastAsia="en-GB"/>
              </w:rPr>
            </w:pPr>
            <w:r w:rsidRPr="00F81432">
              <w:rPr>
                <w:rFonts w:ascii="Calibri" w:eastAsia="Times New Roman" w:hAnsi="Calibri" w:cs="Calibri"/>
                <w:bCs w:val="0"/>
                <w:color w:val="000000"/>
                <w:lang w:eastAsia="en-GB"/>
              </w:rPr>
              <w:t>Major Development</w:t>
            </w:r>
            <w:r w:rsidRPr="006753B0">
              <w:rPr>
                <w:rFonts w:ascii="Calibri" w:eastAsia="Times New Roman" w:hAnsi="Calibri" w:cs="Calibri"/>
                <w:color w:val="000000"/>
                <w:lang w:eastAsia="en-GB"/>
              </w:rPr>
              <w:t> </w:t>
            </w:r>
          </w:p>
        </w:tc>
        <w:tc>
          <w:tcPr>
            <w:tcW w:w="1251" w:type="dxa"/>
            <w:noWrap/>
            <w:hideMark/>
          </w:tcPr>
          <w:p w14:paraId="44FAA06D"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5DE95175"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Received</w:t>
            </w:r>
          </w:p>
        </w:tc>
        <w:tc>
          <w:tcPr>
            <w:tcW w:w="1252" w:type="dxa"/>
            <w:noWrap/>
            <w:hideMark/>
          </w:tcPr>
          <w:p w14:paraId="5AE6E9DE"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67A6C6DB"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Decided</w:t>
            </w:r>
          </w:p>
        </w:tc>
        <w:tc>
          <w:tcPr>
            <w:tcW w:w="1252" w:type="dxa"/>
            <w:noWrap/>
            <w:hideMark/>
          </w:tcPr>
          <w:p w14:paraId="0427BE44"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3BAF01A"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Approved</w:t>
            </w:r>
          </w:p>
        </w:tc>
        <w:tc>
          <w:tcPr>
            <w:tcW w:w="1252" w:type="dxa"/>
            <w:noWrap/>
            <w:hideMark/>
          </w:tcPr>
          <w:p w14:paraId="3599CE2B"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68870E5A"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Withdrawn</w:t>
            </w:r>
          </w:p>
        </w:tc>
        <w:tc>
          <w:tcPr>
            <w:tcW w:w="1252" w:type="dxa"/>
            <w:hideMark/>
          </w:tcPr>
          <w:p w14:paraId="203E7E85"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(Wks) ABC</w:t>
            </w:r>
          </w:p>
        </w:tc>
        <w:tc>
          <w:tcPr>
            <w:tcW w:w="1252" w:type="dxa"/>
            <w:hideMark/>
          </w:tcPr>
          <w:p w14:paraId="18887668"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(Wks) NI</w:t>
            </w:r>
          </w:p>
        </w:tc>
      </w:tr>
      <w:tr w:rsidR="006753B0" w:rsidRPr="006753B0" w14:paraId="7693B455"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34A692F1"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2015/16</w:t>
            </w:r>
          </w:p>
        </w:tc>
        <w:tc>
          <w:tcPr>
            <w:tcW w:w="1251" w:type="dxa"/>
            <w:noWrap/>
            <w:hideMark/>
          </w:tcPr>
          <w:p w14:paraId="755FF21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2" w:type="dxa"/>
            <w:noWrap/>
            <w:hideMark/>
          </w:tcPr>
          <w:p w14:paraId="7CD7C56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2" w:type="dxa"/>
            <w:noWrap/>
            <w:hideMark/>
          </w:tcPr>
          <w:p w14:paraId="7CBC16D7"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2" w:type="dxa"/>
            <w:noWrap/>
            <w:hideMark/>
          </w:tcPr>
          <w:p w14:paraId="56C5390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2" w:type="dxa"/>
            <w:noWrap/>
            <w:hideMark/>
          </w:tcPr>
          <w:p w14:paraId="6728C1C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42.8</w:t>
            </w:r>
          </w:p>
        </w:tc>
        <w:tc>
          <w:tcPr>
            <w:tcW w:w="1252" w:type="dxa"/>
            <w:noWrap/>
            <w:hideMark/>
          </w:tcPr>
          <w:p w14:paraId="219F47D7"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46.2</w:t>
            </w:r>
          </w:p>
        </w:tc>
      </w:tr>
      <w:tr w:rsidR="006753B0" w:rsidRPr="006753B0" w14:paraId="4CE86259"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1B7A07AF"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2016/17</w:t>
            </w:r>
          </w:p>
        </w:tc>
        <w:tc>
          <w:tcPr>
            <w:tcW w:w="1251" w:type="dxa"/>
            <w:noWrap/>
            <w:hideMark/>
          </w:tcPr>
          <w:p w14:paraId="3385802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2" w:type="dxa"/>
            <w:noWrap/>
            <w:hideMark/>
          </w:tcPr>
          <w:p w14:paraId="2391CE6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2" w:type="dxa"/>
            <w:noWrap/>
            <w:hideMark/>
          </w:tcPr>
          <w:p w14:paraId="2BA91446"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2" w:type="dxa"/>
            <w:noWrap/>
            <w:hideMark/>
          </w:tcPr>
          <w:p w14:paraId="107B91C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2" w:type="dxa"/>
            <w:noWrap/>
            <w:hideMark/>
          </w:tcPr>
          <w:p w14:paraId="6F936829"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c>
          <w:tcPr>
            <w:tcW w:w="1252" w:type="dxa"/>
            <w:noWrap/>
            <w:hideMark/>
          </w:tcPr>
          <w:p w14:paraId="050FDEF0"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68.6</w:t>
            </w:r>
          </w:p>
        </w:tc>
      </w:tr>
      <w:tr w:rsidR="006753B0" w:rsidRPr="006753B0" w14:paraId="66F2C7A0"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0A11BCEA"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2017/18</w:t>
            </w:r>
          </w:p>
        </w:tc>
        <w:tc>
          <w:tcPr>
            <w:tcW w:w="1251" w:type="dxa"/>
            <w:noWrap/>
            <w:hideMark/>
          </w:tcPr>
          <w:p w14:paraId="6589028C"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11</w:t>
            </w:r>
          </w:p>
        </w:tc>
        <w:tc>
          <w:tcPr>
            <w:tcW w:w="1252" w:type="dxa"/>
            <w:noWrap/>
            <w:hideMark/>
          </w:tcPr>
          <w:p w14:paraId="54338EC6"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2" w:type="dxa"/>
            <w:noWrap/>
            <w:hideMark/>
          </w:tcPr>
          <w:p w14:paraId="58F91A9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2" w:type="dxa"/>
            <w:noWrap/>
            <w:hideMark/>
          </w:tcPr>
          <w:p w14:paraId="677D284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2" w:type="dxa"/>
            <w:noWrap/>
            <w:hideMark/>
          </w:tcPr>
          <w:p w14:paraId="47802D4D"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36.4</w:t>
            </w:r>
          </w:p>
        </w:tc>
        <w:tc>
          <w:tcPr>
            <w:tcW w:w="1252" w:type="dxa"/>
            <w:noWrap/>
            <w:hideMark/>
          </w:tcPr>
          <w:p w14:paraId="1B56AB3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50.2</w:t>
            </w:r>
          </w:p>
        </w:tc>
      </w:tr>
      <w:tr w:rsidR="006753B0" w:rsidRPr="006753B0" w14:paraId="25BF5285"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0AE127E2"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2018/19</w:t>
            </w:r>
          </w:p>
        </w:tc>
        <w:tc>
          <w:tcPr>
            <w:tcW w:w="1251" w:type="dxa"/>
            <w:noWrap/>
            <w:hideMark/>
          </w:tcPr>
          <w:p w14:paraId="7AC3CC0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2" w:type="dxa"/>
            <w:noWrap/>
            <w:hideMark/>
          </w:tcPr>
          <w:p w14:paraId="447670CC"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2" w:type="dxa"/>
            <w:noWrap/>
            <w:hideMark/>
          </w:tcPr>
          <w:p w14:paraId="0ED2168F"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2" w:type="dxa"/>
            <w:noWrap/>
            <w:hideMark/>
          </w:tcPr>
          <w:p w14:paraId="2CB8144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2" w:type="dxa"/>
            <w:noWrap/>
            <w:hideMark/>
          </w:tcPr>
          <w:p w14:paraId="2CEE1D8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23.6</w:t>
            </w:r>
          </w:p>
        </w:tc>
        <w:tc>
          <w:tcPr>
            <w:tcW w:w="1252" w:type="dxa"/>
            <w:noWrap/>
            <w:hideMark/>
          </w:tcPr>
          <w:p w14:paraId="45F010BF"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59</w:t>
            </w:r>
          </w:p>
        </w:tc>
      </w:tr>
      <w:tr w:rsidR="006753B0" w:rsidRPr="006753B0" w14:paraId="594A10D5"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37CD77B5"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2019/20</w:t>
            </w:r>
          </w:p>
        </w:tc>
        <w:tc>
          <w:tcPr>
            <w:tcW w:w="1251" w:type="dxa"/>
            <w:noWrap/>
            <w:hideMark/>
          </w:tcPr>
          <w:p w14:paraId="607627D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19</w:t>
            </w:r>
          </w:p>
        </w:tc>
        <w:tc>
          <w:tcPr>
            <w:tcW w:w="1252" w:type="dxa"/>
            <w:noWrap/>
            <w:hideMark/>
          </w:tcPr>
          <w:p w14:paraId="2FE3D2E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2" w:type="dxa"/>
            <w:noWrap/>
            <w:hideMark/>
          </w:tcPr>
          <w:p w14:paraId="521DBEC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2" w:type="dxa"/>
            <w:noWrap/>
            <w:hideMark/>
          </w:tcPr>
          <w:p w14:paraId="5A2DC019"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w:t>
            </w:r>
          </w:p>
        </w:tc>
        <w:tc>
          <w:tcPr>
            <w:tcW w:w="1252" w:type="dxa"/>
            <w:noWrap/>
            <w:hideMark/>
          </w:tcPr>
          <w:p w14:paraId="282F6210"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45.2</w:t>
            </w:r>
          </w:p>
        </w:tc>
        <w:tc>
          <w:tcPr>
            <w:tcW w:w="1252" w:type="dxa"/>
            <w:noWrap/>
            <w:hideMark/>
          </w:tcPr>
          <w:p w14:paraId="3CD1D7A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r>
      <w:tr w:rsidR="006753B0" w:rsidRPr="006753B0" w14:paraId="549C062A"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hideMark/>
          </w:tcPr>
          <w:p w14:paraId="097490F3"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2020/21</w:t>
            </w:r>
          </w:p>
        </w:tc>
        <w:tc>
          <w:tcPr>
            <w:tcW w:w="1251" w:type="dxa"/>
            <w:noWrap/>
            <w:hideMark/>
          </w:tcPr>
          <w:p w14:paraId="57E97E6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10</w:t>
            </w:r>
          </w:p>
        </w:tc>
        <w:tc>
          <w:tcPr>
            <w:tcW w:w="1252" w:type="dxa"/>
            <w:noWrap/>
            <w:hideMark/>
          </w:tcPr>
          <w:p w14:paraId="33A27A1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2" w:type="dxa"/>
            <w:noWrap/>
            <w:hideMark/>
          </w:tcPr>
          <w:p w14:paraId="7B320A2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2" w:type="dxa"/>
            <w:noWrap/>
            <w:hideMark/>
          </w:tcPr>
          <w:p w14:paraId="49BBB56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2" w:type="dxa"/>
            <w:noWrap/>
            <w:hideMark/>
          </w:tcPr>
          <w:p w14:paraId="412A545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54.4</w:t>
            </w:r>
          </w:p>
        </w:tc>
        <w:tc>
          <w:tcPr>
            <w:tcW w:w="1252" w:type="dxa"/>
            <w:noWrap/>
            <w:hideMark/>
          </w:tcPr>
          <w:p w14:paraId="0FF211A8"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61.4</w:t>
            </w:r>
          </w:p>
        </w:tc>
      </w:tr>
      <w:tr w:rsidR="00FC4E01" w:rsidRPr="006753B0" w14:paraId="6257B273"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tcPr>
          <w:p w14:paraId="00A55294" w14:textId="77777777" w:rsidR="00FC4E01" w:rsidRPr="00A858A6" w:rsidRDefault="00FC4E01" w:rsidP="006753B0">
            <w:pPr>
              <w:jc w:val="center"/>
              <w:rPr>
                <w:rFonts w:eastAsia="Times New Roman" w:cstheme="minorHAnsi"/>
                <w:color w:val="000000"/>
                <w:lang w:eastAsia="en-GB"/>
              </w:rPr>
            </w:pPr>
            <w:r w:rsidRPr="00A858A6">
              <w:rPr>
                <w:rFonts w:eastAsia="Times New Roman" w:cstheme="minorHAnsi"/>
                <w:color w:val="000000"/>
                <w:lang w:eastAsia="en-GB"/>
              </w:rPr>
              <w:t>2021/22</w:t>
            </w:r>
          </w:p>
        </w:tc>
        <w:tc>
          <w:tcPr>
            <w:tcW w:w="1251" w:type="dxa"/>
            <w:noWrap/>
          </w:tcPr>
          <w:p w14:paraId="615D98A8"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252" w:type="dxa"/>
            <w:noWrap/>
          </w:tcPr>
          <w:p w14:paraId="5EB65B45"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2" w:type="dxa"/>
            <w:noWrap/>
          </w:tcPr>
          <w:p w14:paraId="14D83D23"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2" w:type="dxa"/>
            <w:noWrap/>
          </w:tcPr>
          <w:p w14:paraId="46AE1DBD"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52" w:type="dxa"/>
            <w:noWrap/>
          </w:tcPr>
          <w:p w14:paraId="20B7B414"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31.6</w:t>
            </w:r>
          </w:p>
        </w:tc>
        <w:tc>
          <w:tcPr>
            <w:tcW w:w="1252" w:type="dxa"/>
            <w:noWrap/>
          </w:tcPr>
          <w:p w14:paraId="428423A1"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49.8</w:t>
            </w:r>
          </w:p>
        </w:tc>
      </w:tr>
      <w:tr w:rsidR="00420875" w:rsidRPr="006753B0" w14:paraId="0475A139"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vAlign w:val="center"/>
          </w:tcPr>
          <w:p w14:paraId="5965D33F" w14:textId="77777777" w:rsidR="00420875" w:rsidRPr="00A858A6" w:rsidRDefault="00420875" w:rsidP="00420875">
            <w:pPr>
              <w:jc w:val="center"/>
              <w:rPr>
                <w:rFonts w:cstheme="minorHAnsi"/>
                <w:color w:val="000000"/>
              </w:rPr>
            </w:pPr>
            <w:r w:rsidRPr="00A858A6">
              <w:rPr>
                <w:rFonts w:cstheme="minorHAnsi"/>
                <w:color w:val="000000"/>
              </w:rPr>
              <w:t>2022/23</w:t>
            </w:r>
          </w:p>
        </w:tc>
        <w:tc>
          <w:tcPr>
            <w:tcW w:w="1251" w:type="dxa"/>
            <w:noWrap/>
            <w:vAlign w:val="center"/>
          </w:tcPr>
          <w:p w14:paraId="32660030"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w:t>
            </w:r>
          </w:p>
        </w:tc>
        <w:tc>
          <w:tcPr>
            <w:tcW w:w="1252" w:type="dxa"/>
            <w:noWrap/>
            <w:vAlign w:val="center"/>
          </w:tcPr>
          <w:p w14:paraId="0E220549"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2" w:type="dxa"/>
            <w:noWrap/>
            <w:vAlign w:val="center"/>
          </w:tcPr>
          <w:p w14:paraId="4A317ED0"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2" w:type="dxa"/>
            <w:noWrap/>
            <w:vAlign w:val="center"/>
          </w:tcPr>
          <w:p w14:paraId="67DABB5D" w14:textId="77777777" w:rsidR="00420875" w:rsidRDefault="0076114B"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52" w:type="dxa"/>
            <w:noWrap/>
            <w:vAlign w:val="center"/>
          </w:tcPr>
          <w:p w14:paraId="4D52DBC4"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47.0</w:t>
            </w:r>
          </w:p>
        </w:tc>
        <w:tc>
          <w:tcPr>
            <w:tcW w:w="1252" w:type="dxa"/>
            <w:noWrap/>
            <w:vAlign w:val="center"/>
          </w:tcPr>
          <w:p w14:paraId="7EC5C724"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57.8</w:t>
            </w:r>
          </w:p>
        </w:tc>
      </w:tr>
      <w:tr w:rsidR="00A858A6" w:rsidRPr="006753B0" w14:paraId="01D9CD33"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vAlign w:val="center"/>
          </w:tcPr>
          <w:p w14:paraId="357C4151" w14:textId="4E514B3F" w:rsidR="00A858A6" w:rsidRPr="00A858A6" w:rsidRDefault="00A858A6" w:rsidP="00A858A6">
            <w:pPr>
              <w:jc w:val="center"/>
              <w:rPr>
                <w:rFonts w:cstheme="minorHAnsi"/>
                <w:color w:val="000000"/>
              </w:rPr>
            </w:pPr>
            <w:r w:rsidRPr="00A858A6">
              <w:rPr>
                <w:rFonts w:cstheme="minorHAnsi"/>
                <w:color w:val="000000"/>
              </w:rPr>
              <w:t>2023/24</w:t>
            </w:r>
          </w:p>
        </w:tc>
        <w:tc>
          <w:tcPr>
            <w:tcW w:w="1251" w:type="dxa"/>
            <w:noWrap/>
            <w:vAlign w:val="center"/>
          </w:tcPr>
          <w:p w14:paraId="7AE28941" w14:textId="1FC09604"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2" w:type="dxa"/>
            <w:noWrap/>
            <w:vAlign w:val="center"/>
          </w:tcPr>
          <w:p w14:paraId="5FB871BB" w14:textId="3A47E109"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252" w:type="dxa"/>
            <w:noWrap/>
            <w:vAlign w:val="center"/>
          </w:tcPr>
          <w:p w14:paraId="41EFFB29" w14:textId="7290D7FB"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252" w:type="dxa"/>
            <w:noWrap/>
            <w:vAlign w:val="center"/>
          </w:tcPr>
          <w:p w14:paraId="2E8320C6" w14:textId="39BA9D7D"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52" w:type="dxa"/>
            <w:noWrap/>
            <w:vAlign w:val="center"/>
          </w:tcPr>
          <w:p w14:paraId="778D0D57" w14:textId="47388E11"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27.6</w:t>
            </w:r>
          </w:p>
        </w:tc>
        <w:tc>
          <w:tcPr>
            <w:tcW w:w="1252" w:type="dxa"/>
            <w:noWrap/>
            <w:vAlign w:val="center"/>
          </w:tcPr>
          <w:p w14:paraId="7945B265" w14:textId="5FAEEADB"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46.5</w:t>
            </w:r>
          </w:p>
        </w:tc>
      </w:tr>
      <w:tr w:rsidR="00EC1051" w:rsidRPr="006753B0" w14:paraId="7C36DF3F" w14:textId="77777777" w:rsidTr="00EC1051">
        <w:trPr>
          <w:trHeight w:val="309"/>
        </w:trPr>
        <w:tc>
          <w:tcPr>
            <w:cnfStyle w:val="001000000000" w:firstRow="0" w:lastRow="0" w:firstColumn="1" w:lastColumn="0" w:oddVBand="0" w:evenVBand="0" w:oddHBand="0" w:evenHBand="0" w:firstRowFirstColumn="0" w:firstRowLastColumn="0" w:lastRowFirstColumn="0" w:lastRowLastColumn="0"/>
            <w:tcW w:w="1505" w:type="dxa"/>
            <w:vAlign w:val="center"/>
          </w:tcPr>
          <w:p w14:paraId="46F2F8BF" w14:textId="05831838" w:rsidR="00EC1051" w:rsidRPr="00A858A6" w:rsidRDefault="00EC1051" w:rsidP="00EC1051">
            <w:pPr>
              <w:jc w:val="center"/>
              <w:rPr>
                <w:rFonts w:cstheme="minorHAnsi"/>
                <w:color w:val="000000"/>
              </w:rPr>
            </w:pPr>
            <w:r w:rsidRPr="00EC1051">
              <w:rPr>
                <w:rFonts w:cstheme="minorHAnsi"/>
                <w:color w:val="000000"/>
              </w:rPr>
              <w:t>2024/25</w:t>
            </w:r>
          </w:p>
        </w:tc>
        <w:tc>
          <w:tcPr>
            <w:tcW w:w="1251" w:type="dxa"/>
            <w:noWrap/>
            <w:vAlign w:val="center"/>
          </w:tcPr>
          <w:p w14:paraId="723DA4DB" w14:textId="1144DAD6"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p>
        </w:tc>
        <w:tc>
          <w:tcPr>
            <w:tcW w:w="1252" w:type="dxa"/>
            <w:noWrap/>
            <w:vAlign w:val="center"/>
          </w:tcPr>
          <w:p w14:paraId="41EA4DDC" w14:textId="198C09F4"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1252" w:type="dxa"/>
            <w:noWrap/>
            <w:vAlign w:val="center"/>
          </w:tcPr>
          <w:p w14:paraId="54B9C4C4" w14:textId="2C6690B0"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1252" w:type="dxa"/>
            <w:noWrap/>
            <w:vAlign w:val="center"/>
          </w:tcPr>
          <w:p w14:paraId="75BE76DB" w14:textId="75C96881"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52" w:type="dxa"/>
            <w:noWrap/>
            <w:vAlign w:val="center"/>
          </w:tcPr>
          <w:p w14:paraId="26E29FBA" w14:textId="4ABB2263"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17.8</w:t>
            </w:r>
          </w:p>
        </w:tc>
        <w:tc>
          <w:tcPr>
            <w:tcW w:w="1252" w:type="dxa"/>
            <w:noWrap/>
            <w:vAlign w:val="center"/>
          </w:tcPr>
          <w:p w14:paraId="5F167943" w14:textId="0822FDD2" w:rsidR="00EC1051" w:rsidRDefault="00EC1051" w:rsidP="00EC10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39.6</w:t>
            </w:r>
          </w:p>
        </w:tc>
      </w:tr>
    </w:tbl>
    <w:p w14:paraId="2FB6C5F9" w14:textId="7B86EC5A" w:rsidR="006753B0" w:rsidRDefault="006753B0" w:rsidP="00F53A94">
      <w:pPr>
        <w:rPr>
          <w:i/>
          <w:sz w:val="20"/>
          <w:szCs w:val="20"/>
        </w:rPr>
      </w:pPr>
      <w:r w:rsidRPr="006753B0">
        <w:rPr>
          <w:i/>
          <w:sz w:val="20"/>
          <w:szCs w:val="20"/>
        </w:rPr>
        <w:t xml:space="preserve">Table 2: Major development planning applications in Armagh City, Banbridge and Craigavon Borough </w:t>
      </w:r>
      <w:r>
        <w:rPr>
          <w:i/>
          <w:sz w:val="20"/>
          <w:szCs w:val="20"/>
        </w:rPr>
        <w:t>2015/16 to 202</w:t>
      </w:r>
      <w:r w:rsidR="00EC1051">
        <w:rPr>
          <w:i/>
          <w:sz w:val="20"/>
          <w:szCs w:val="20"/>
        </w:rPr>
        <w:t>4</w:t>
      </w:r>
      <w:r w:rsidR="00420875">
        <w:rPr>
          <w:i/>
          <w:sz w:val="20"/>
          <w:szCs w:val="20"/>
        </w:rPr>
        <w:t>/2</w:t>
      </w:r>
      <w:r w:rsidR="00EC1051">
        <w:rPr>
          <w:i/>
          <w:sz w:val="20"/>
          <w:szCs w:val="20"/>
        </w:rPr>
        <w:t>5</w:t>
      </w:r>
      <w:r w:rsidRPr="006753B0">
        <w:rPr>
          <w:i/>
          <w:sz w:val="20"/>
          <w:szCs w:val="20"/>
        </w:rPr>
        <w:t>. Source: Northern Ireland Planning Statistics, Department for Infrastructure.</w:t>
      </w:r>
    </w:p>
    <w:p w14:paraId="11D5B920" w14:textId="77777777" w:rsidR="003729A0" w:rsidRDefault="003729A0" w:rsidP="00F53A94">
      <w:pPr>
        <w:rPr>
          <w:i/>
          <w:sz w:val="20"/>
          <w:szCs w:val="20"/>
        </w:rPr>
      </w:pPr>
    </w:p>
    <w:p w14:paraId="4F2BC808" w14:textId="608C739F" w:rsidR="00FF7470" w:rsidRPr="00C13CF7" w:rsidRDefault="00896117" w:rsidP="00FF7470">
      <w:pPr>
        <w:rPr>
          <w:i/>
          <w:sz w:val="20"/>
          <w:szCs w:val="20"/>
        </w:rPr>
      </w:pPr>
      <w:r>
        <w:rPr>
          <w:noProof/>
        </w:rPr>
        <w:lastRenderedPageBreak/>
        <w:drawing>
          <wp:inline distT="0" distB="0" distL="0" distR="0" wp14:anchorId="40E89DAB" wp14:editId="3982C68B">
            <wp:extent cx="5762625" cy="3162300"/>
            <wp:effectExtent l="0" t="0" r="9525" b="0"/>
            <wp:docPr id="2002222221" name="Chart 1">
              <a:extLst xmlns:a="http://schemas.openxmlformats.org/drawingml/2006/main">
                <a:ext uri="{FF2B5EF4-FFF2-40B4-BE49-F238E27FC236}">
                  <a16:creationId xmlns:a16="http://schemas.microsoft.com/office/drawing/2014/main" id="{C1BDF9AF-DCE8-6AB0-8791-71CC2B489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F140B" w:rsidRPr="00C13CF7">
        <w:rPr>
          <w:i/>
          <w:sz w:val="20"/>
          <w:szCs w:val="20"/>
        </w:rPr>
        <w:t>Figure 2:</w:t>
      </w:r>
      <w:r w:rsidR="00FF7470" w:rsidRPr="00C13CF7">
        <w:rPr>
          <w:i/>
          <w:sz w:val="20"/>
          <w:szCs w:val="20"/>
        </w:rPr>
        <w:t xml:space="preserve"> </w:t>
      </w:r>
      <w:r w:rsidR="005F140B" w:rsidRPr="00C13CF7">
        <w:rPr>
          <w:i/>
          <w:sz w:val="20"/>
          <w:szCs w:val="20"/>
        </w:rPr>
        <w:t xml:space="preserve">Major development planning applications in Armagh City, Banbridge and Craigavon Borough </w:t>
      </w:r>
      <w:r w:rsidR="0086008B" w:rsidRPr="00C13CF7">
        <w:rPr>
          <w:i/>
          <w:sz w:val="20"/>
          <w:szCs w:val="20"/>
        </w:rPr>
        <w:t>2015/16 to 202</w:t>
      </w:r>
      <w:r>
        <w:rPr>
          <w:i/>
          <w:sz w:val="20"/>
          <w:szCs w:val="20"/>
        </w:rPr>
        <w:t>4</w:t>
      </w:r>
      <w:r w:rsidR="0086008B" w:rsidRPr="00C13CF7">
        <w:rPr>
          <w:i/>
          <w:sz w:val="20"/>
          <w:szCs w:val="20"/>
        </w:rPr>
        <w:t>/2</w:t>
      </w:r>
      <w:r>
        <w:rPr>
          <w:i/>
          <w:sz w:val="20"/>
          <w:szCs w:val="20"/>
        </w:rPr>
        <w:t>5</w:t>
      </w:r>
      <w:r w:rsidR="00FF7470" w:rsidRPr="00C13CF7">
        <w:rPr>
          <w:i/>
          <w:sz w:val="20"/>
          <w:szCs w:val="20"/>
        </w:rPr>
        <w:t>. Source: Northern Irel</w:t>
      </w:r>
      <w:r w:rsidR="00F356E3" w:rsidRPr="00C13CF7">
        <w:rPr>
          <w:i/>
          <w:sz w:val="20"/>
          <w:szCs w:val="20"/>
        </w:rPr>
        <w:t xml:space="preserve">and Planning Statistics, </w:t>
      </w:r>
      <w:r w:rsidR="00FF7470" w:rsidRPr="00C13CF7">
        <w:rPr>
          <w:i/>
          <w:sz w:val="20"/>
          <w:szCs w:val="20"/>
        </w:rPr>
        <w:t>Department for Infrastructure.</w:t>
      </w:r>
    </w:p>
    <w:p w14:paraId="5DA5B8B7" w14:textId="77777777" w:rsidR="00F53A94" w:rsidRPr="009C1E32" w:rsidRDefault="009C1E32" w:rsidP="00F53A94">
      <w:r w:rsidRPr="0017186B">
        <w:t>L</w:t>
      </w:r>
      <w:r w:rsidR="00F53A94" w:rsidRPr="0017186B">
        <w:t>ocal development applications are mostly residential and minor commercial applications.</w:t>
      </w:r>
    </w:p>
    <w:p w14:paraId="39AC2E34" w14:textId="5FD8D85C" w:rsidR="002D5D2C" w:rsidRPr="00F4728D" w:rsidRDefault="009C1E32" w:rsidP="00F53A94">
      <w:r w:rsidRPr="002D2D24">
        <w:t>During 202</w:t>
      </w:r>
      <w:r w:rsidR="00896117">
        <w:t>4</w:t>
      </w:r>
      <w:r w:rsidRPr="002D2D24">
        <w:t>/2</w:t>
      </w:r>
      <w:r w:rsidR="00896117">
        <w:t>5</w:t>
      </w:r>
      <w:r w:rsidR="00FF7470" w:rsidRPr="002D2D24">
        <w:t>, ABC Counci</w:t>
      </w:r>
      <w:r w:rsidR="00F356E3" w:rsidRPr="002D2D24">
        <w:t xml:space="preserve">l </w:t>
      </w:r>
      <w:r w:rsidRPr="002D2D24">
        <w:t xml:space="preserve">received </w:t>
      </w:r>
      <w:r w:rsidR="00B3618C">
        <w:t>9</w:t>
      </w:r>
      <w:r w:rsidR="00896117">
        <w:t>92</w:t>
      </w:r>
      <w:r w:rsidR="00FF7470" w:rsidRPr="002D2D24">
        <w:t xml:space="preserve"> local development applications, a</w:t>
      </w:r>
      <w:r w:rsidR="00896117">
        <w:t>n increase</w:t>
      </w:r>
      <w:r w:rsidRPr="002D2D24">
        <w:t xml:space="preserve"> of </w:t>
      </w:r>
      <w:r w:rsidR="00896117">
        <w:t>4.6</w:t>
      </w:r>
      <w:r w:rsidRPr="002D2D24">
        <w:t>% on</w:t>
      </w:r>
      <w:r w:rsidR="002D2D24">
        <w:t xml:space="preserve"> 202</w:t>
      </w:r>
      <w:r w:rsidR="00896117">
        <w:t>3</w:t>
      </w:r>
      <w:r w:rsidR="002D2D24">
        <w:t>/2</w:t>
      </w:r>
      <w:r w:rsidR="00896117">
        <w:t>4</w:t>
      </w:r>
      <w:r w:rsidR="002D2D24">
        <w:t xml:space="preserve"> (</w:t>
      </w:r>
      <w:r w:rsidR="00896117">
        <w:t>948</w:t>
      </w:r>
      <w:r w:rsidR="001740FB" w:rsidRPr="00F4728D">
        <w:t xml:space="preserve">). </w:t>
      </w:r>
      <w:r w:rsidRPr="00F4728D">
        <w:t xml:space="preserve"> </w:t>
      </w:r>
      <w:r w:rsidR="001740FB" w:rsidRPr="00F4728D">
        <w:t xml:space="preserve">A total of </w:t>
      </w:r>
      <w:r w:rsidR="00896117">
        <w:t>913</w:t>
      </w:r>
      <w:r w:rsidR="00FF7470" w:rsidRPr="00F4728D">
        <w:t xml:space="preserve"> local development appli</w:t>
      </w:r>
      <w:r w:rsidR="001740FB" w:rsidRPr="00F4728D">
        <w:t>cations were decided during 20</w:t>
      </w:r>
      <w:r w:rsidRPr="00F4728D">
        <w:t>2</w:t>
      </w:r>
      <w:r w:rsidR="00896117">
        <w:t>4</w:t>
      </w:r>
      <w:r w:rsidR="002D2D24">
        <w:t>/2</w:t>
      </w:r>
      <w:r w:rsidR="00896117">
        <w:t>5</w:t>
      </w:r>
      <w:r w:rsidR="005F140B" w:rsidRPr="00F4728D">
        <w:t>,</w:t>
      </w:r>
      <w:r w:rsidR="001740FB" w:rsidRPr="00F4728D">
        <w:t xml:space="preserve"> of which </w:t>
      </w:r>
      <w:r w:rsidR="00896117">
        <w:t>847</w:t>
      </w:r>
      <w:r w:rsidR="00FF7470" w:rsidRPr="00F4728D">
        <w:t xml:space="preserve"> were approved</w:t>
      </w:r>
      <w:r w:rsidRPr="00F4728D">
        <w:t xml:space="preserve">.  This gives an approval rate of </w:t>
      </w:r>
      <w:r w:rsidR="00B3618C">
        <w:t>92.</w:t>
      </w:r>
      <w:r w:rsidR="00896117">
        <w:t>8</w:t>
      </w:r>
      <w:r w:rsidRPr="00F4728D">
        <w:t xml:space="preserve">% which </w:t>
      </w:r>
      <w:r w:rsidR="002D2D24">
        <w:t xml:space="preserve">has </w:t>
      </w:r>
      <w:r w:rsidR="00896117">
        <w:t>in</w:t>
      </w:r>
      <w:r w:rsidR="002D2D24">
        <w:t>creased slightly since 202</w:t>
      </w:r>
      <w:r w:rsidR="00896117">
        <w:t>3</w:t>
      </w:r>
      <w:r w:rsidR="002D2D24">
        <w:t>/2</w:t>
      </w:r>
      <w:r w:rsidR="00896117">
        <w:t>4</w:t>
      </w:r>
      <w:r w:rsidR="0017186B">
        <w:t xml:space="preserve"> (</w:t>
      </w:r>
      <w:r w:rsidR="00896117">
        <w:t>92.5</w:t>
      </w:r>
      <w:r w:rsidR="0017186B">
        <w:t>%)</w:t>
      </w:r>
      <w:r w:rsidR="00D52E50" w:rsidRPr="00F4728D">
        <w:t>.</w:t>
      </w:r>
    </w:p>
    <w:p w14:paraId="1D75660C" w14:textId="0D5B4B8D" w:rsidR="002D2D24" w:rsidRDefault="001309E1" w:rsidP="00F53A94">
      <w:r w:rsidRPr="00F4728D">
        <w:t>The time taken to process local develo</w:t>
      </w:r>
      <w:r w:rsidR="00F356E3" w:rsidRPr="00F4728D">
        <w:t>pment applications</w:t>
      </w:r>
      <w:r w:rsidR="00A26F55" w:rsidRPr="00F4728D">
        <w:t xml:space="preserve"> in the </w:t>
      </w:r>
      <w:r w:rsidR="00896117">
        <w:t>B</w:t>
      </w:r>
      <w:r w:rsidR="00A26F55" w:rsidRPr="00F4728D">
        <w:t>orough</w:t>
      </w:r>
      <w:r w:rsidR="00D52E50" w:rsidRPr="00F4728D">
        <w:t xml:space="preserve"> during 202</w:t>
      </w:r>
      <w:r w:rsidR="00896117">
        <w:t>4</w:t>
      </w:r>
      <w:r w:rsidR="002D2D24">
        <w:t>/2</w:t>
      </w:r>
      <w:r w:rsidR="00896117">
        <w:t>5</w:t>
      </w:r>
      <w:r w:rsidR="00B3618C">
        <w:t xml:space="preserve"> </w:t>
      </w:r>
      <w:r w:rsidR="00F356E3" w:rsidRPr="00F4728D">
        <w:t xml:space="preserve">was </w:t>
      </w:r>
      <w:r w:rsidR="00896117">
        <w:t>19.4</w:t>
      </w:r>
      <w:r w:rsidRPr="00F4728D">
        <w:t xml:space="preserve"> weeks, </w:t>
      </w:r>
      <w:r w:rsidR="00896117">
        <w:t>a decrease</w:t>
      </w:r>
      <w:r w:rsidR="00D52E50" w:rsidRPr="00F4728D">
        <w:t xml:space="preserve"> of </w:t>
      </w:r>
      <w:r w:rsidR="00896117">
        <w:t>5.2</w:t>
      </w:r>
      <w:r w:rsidR="00D52E50" w:rsidRPr="00F4728D">
        <w:t xml:space="preserve"> weeks on 20</w:t>
      </w:r>
      <w:r w:rsidR="00BB416A">
        <w:t>2</w:t>
      </w:r>
      <w:r w:rsidR="00896117">
        <w:t>3</w:t>
      </w:r>
      <w:r w:rsidR="00BB416A">
        <w:t>/2</w:t>
      </w:r>
      <w:r w:rsidR="00896117">
        <w:t>4</w:t>
      </w:r>
      <w:r w:rsidR="00D52E50" w:rsidRPr="00F4728D">
        <w:t xml:space="preserve">.  Processing times in the </w:t>
      </w:r>
      <w:r w:rsidR="00896117">
        <w:t>B</w:t>
      </w:r>
      <w:r w:rsidR="00D52E50" w:rsidRPr="00F4728D">
        <w:t xml:space="preserve">orough had been fairly consistent and within the 15 week statutory target </w:t>
      </w:r>
      <w:r w:rsidR="0017186B">
        <w:t>between</w:t>
      </w:r>
      <w:r w:rsidR="00D52E50" w:rsidRPr="00F4728D">
        <w:t xml:space="preserve"> 2016/17 </w:t>
      </w:r>
      <w:r w:rsidR="0017186B">
        <w:t xml:space="preserve">and 2019/20 </w:t>
      </w:r>
      <w:r w:rsidR="00D52E50" w:rsidRPr="00F4728D">
        <w:t xml:space="preserve">so the increase in processing times </w:t>
      </w:r>
      <w:r w:rsidR="00BB416A">
        <w:t>since</w:t>
      </w:r>
      <w:r w:rsidR="00D52E50" w:rsidRPr="00F4728D">
        <w:t xml:space="preserve"> 2020/21 </w:t>
      </w:r>
      <w:r w:rsidR="0017186B">
        <w:t>may well be a result</w:t>
      </w:r>
      <w:r w:rsidR="00D52E50" w:rsidRPr="00F4728D">
        <w:t xml:space="preserve"> of the restrictions put in place due to COVID-19</w:t>
      </w:r>
      <w:r w:rsidR="00BB416A">
        <w:t xml:space="preserve"> and the resultant backlog</w:t>
      </w:r>
      <w:r w:rsidR="00D52E50" w:rsidRPr="00F4728D">
        <w:t xml:space="preserve">.  </w:t>
      </w:r>
      <w:r w:rsidR="00BB416A">
        <w:t xml:space="preserve">In </w:t>
      </w:r>
      <w:r w:rsidR="00D52E50" w:rsidRPr="00F4728D">
        <w:t>Northern Ireland</w:t>
      </w:r>
      <w:r w:rsidR="00BB416A">
        <w:t xml:space="preserve"> overall,</w:t>
      </w:r>
      <w:r w:rsidR="00D52E50" w:rsidRPr="00F4728D">
        <w:t xml:space="preserve"> average processing times also increased in 202</w:t>
      </w:r>
      <w:r w:rsidR="00BB416A">
        <w:t>0</w:t>
      </w:r>
      <w:r w:rsidR="00D52E50" w:rsidRPr="00F4728D">
        <w:t>/2</w:t>
      </w:r>
      <w:r w:rsidR="00BB416A">
        <w:t xml:space="preserve">1 although </w:t>
      </w:r>
      <w:r w:rsidR="00BB416A" w:rsidRPr="00F4728D">
        <w:t>not to the same extent as they did in Armagh City, B</w:t>
      </w:r>
      <w:r w:rsidR="0017186B">
        <w:t>anbridge and Craigavon Borough</w:t>
      </w:r>
      <w:r w:rsidR="00BB416A">
        <w:t>.</w:t>
      </w:r>
      <w:r w:rsidR="0017186B">
        <w:t xml:space="preserve">  In 202</w:t>
      </w:r>
      <w:r w:rsidR="00371112">
        <w:t>4</w:t>
      </w:r>
      <w:r w:rsidR="0017186B">
        <w:t>/2</w:t>
      </w:r>
      <w:r w:rsidR="00371112">
        <w:t>5</w:t>
      </w:r>
      <w:r w:rsidR="0017186B">
        <w:t xml:space="preserve">, the average processing time for local development applications in Northern Ireland was </w:t>
      </w:r>
      <w:r w:rsidR="00371112">
        <w:t>19</w:t>
      </w:r>
      <w:r w:rsidR="0017186B">
        <w:t xml:space="preserve"> weeks which is </w:t>
      </w:r>
      <w:r w:rsidR="00371112">
        <w:t>just 0.4</w:t>
      </w:r>
      <w:r w:rsidR="0017186B">
        <w:t xml:space="preserve"> weeks quicker than in the </w:t>
      </w:r>
      <w:r w:rsidR="00371112">
        <w:t>B</w:t>
      </w:r>
      <w:r w:rsidR="0017186B">
        <w:t xml:space="preserve">orough.  </w:t>
      </w:r>
    </w:p>
    <w:p w14:paraId="21456338" w14:textId="77777777" w:rsidR="00371112" w:rsidRDefault="00371112" w:rsidP="00F53A94"/>
    <w:p w14:paraId="4986A353" w14:textId="77777777" w:rsidR="00371112" w:rsidRDefault="00371112" w:rsidP="00F53A94"/>
    <w:p w14:paraId="7103706D" w14:textId="77777777" w:rsidR="00371112" w:rsidRDefault="00371112" w:rsidP="00F53A94"/>
    <w:p w14:paraId="24F119EE" w14:textId="77777777" w:rsidR="00371112" w:rsidRDefault="00371112" w:rsidP="00F53A94"/>
    <w:p w14:paraId="51DF0C86" w14:textId="77777777" w:rsidR="00371112" w:rsidRDefault="00371112" w:rsidP="00F53A94"/>
    <w:p w14:paraId="3FD25439" w14:textId="77777777" w:rsidR="00371112" w:rsidRDefault="00371112" w:rsidP="00F53A94"/>
    <w:p w14:paraId="2FB04B7B" w14:textId="77777777" w:rsidR="00371112" w:rsidRPr="00F4728D" w:rsidRDefault="00371112" w:rsidP="00F53A94"/>
    <w:tbl>
      <w:tblPr>
        <w:tblStyle w:val="GridTable1Light"/>
        <w:tblW w:w="9348" w:type="dxa"/>
        <w:tblLook w:val="04A0" w:firstRow="1" w:lastRow="0" w:firstColumn="1" w:lastColumn="0" w:noHBand="0" w:noVBand="1"/>
        <w:tblCaption w:val="Local development planning applications in Armagh City, Banbridge and Craigavon Borough 2015/16 to 2020/21"/>
      </w:tblPr>
      <w:tblGrid>
        <w:gridCol w:w="1455"/>
        <w:gridCol w:w="1218"/>
        <w:gridCol w:w="1218"/>
        <w:gridCol w:w="1218"/>
        <w:gridCol w:w="1251"/>
        <w:gridCol w:w="1494"/>
        <w:gridCol w:w="1494"/>
      </w:tblGrid>
      <w:tr w:rsidR="009C1E32" w:rsidRPr="009C1E32" w14:paraId="2D79FAFA" w14:textId="77777777" w:rsidTr="0017186B">
        <w:trPr>
          <w:cnfStyle w:val="100000000000" w:firstRow="1" w:lastRow="0" w:firstColumn="0" w:lastColumn="0" w:oddVBand="0" w:evenVBand="0" w:oddHBand="0" w:evenHBand="0" w:firstRowFirstColumn="0" w:firstRowLastColumn="0" w:lastRowFirstColumn="0" w:lastRowLastColumn="0"/>
          <w:trHeight w:val="823"/>
          <w:tblHeader/>
        </w:trPr>
        <w:tc>
          <w:tcPr>
            <w:cnfStyle w:val="001000000000" w:firstRow="0" w:lastRow="0" w:firstColumn="1" w:lastColumn="0" w:oddVBand="0" w:evenVBand="0" w:oddHBand="0" w:evenHBand="0" w:firstRowFirstColumn="0" w:firstRowLastColumn="0" w:lastRowFirstColumn="0" w:lastRowLastColumn="0"/>
            <w:tcW w:w="1455" w:type="dxa"/>
            <w:hideMark/>
          </w:tcPr>
          <w:p w14:paraId="3BD89614" w14:textId="77777777" w:rsidR="009C1E32" w:rsidRDefault="009C1E32" w:rsidP="009C1E32">
            <w:pPr>
              <w:jc w:val="center"/>
              <w:rPr>
                <w:rFonts w:ascii="Calibri" w:eastAsia="Times New Roman" w:hAnsi="Calibri" w:cs="Calibri"/>
                <w:color w:val="000000"/>
                <w:lang w:eastAsia="en-GB"/>
              </w:rPr>
            </w:pPr>
          </w:p>
          <w:p w14:paraId="7F024E2F" w14:textId="77777777" w:rsidR="009C1E32" w:rsidRPr="009C1E32" w:rsidRDefault="009C1E32" w:rsidP="009C1E32">
            <w:pPr>
              <w:jc w:val="center"/>
              <w:rPr>
                <w:rFonts w:ascii="Calibri" w:eastAsia="Times New Roman" w:hAnsi="Calibri" w:cs="Calibri"/>
                <w:color w:val="000000"/>
                <w:lang w:eastAsia="en-GB"/>
              </w:rPr>
            </w:pPr>
            <w:r w:rsidRPr="009C1E32">
              <w:rPr>
                <w:rFonts w:ascii="Calibri" w:eastAsia="Times New Roman" w:hAnsi="Calibri" w:cs="Calibri"/>
                <w:color w:val="000000"/>
                <w:lang w:eastAsia="en-GB"/>
              </w:rPr>
              <w:t>Local Development</w:t>
            </w:r>
          </w:p>
        </w:tc>
        <w:tc>
          <w:tcPr>
            <w:tcW w:w="1218" w:type="dxa"/>
            <w:noWrap/>
            <w:hideMark/>
          </w:tcPr>
          <w:p w14:paraId="167E67E0"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A63A72A"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Received</w:t>
            </w:r>
          </w:p>
        </w:tc>
        <w:tc>
          <w:tcPr>
            <w:tcW w:w="1218" w:type="dxa"/>
            <w:noWrap/>
            <w:hideMark/>
          </w:tcPr>
          <w:p w14:paraId="2C109EDF"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14AB95B9"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Decided</w:t>
            </w:r>
          </w:p>
        </w:tc>
        <w:tc>
          <w:tcPr>
            <w:tcW w:w="1218" w:type="dxa"/>
            <w:noWrap/>
            <w:hideMark/>
          </w:tcPr>
          <w:p w14:paraId="159BA357"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ED5FEE0"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Approved</w:t>
            </w:r>
          </w:p>
        </w:tc>
        <w:tc>
          <w:tcPr>
            <w:tcW w:w="1251" w:type="dxa"/>
            <w:noWrap/>
            <w:hideMark/>
          </w:tcPr>
          <w:p w14:paraId="429F88AE"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7D4B429D"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Withdrawn</w:t>
            </w:r>
          </w:p>
        </w:tc>
        <w:tc>
          <w:tcPr>
            <w:tcW w:w="1494" w:type="dxa"/>
            <w:hideMark/>
          </w:tcPr>
          <w:p w14:paraId="4B478535"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(Wks) ABC</w:t>
            </w:r>
          </w:p>
        </w:tc>
        <w:tc>
          <w:tcPr>
            <w:tcW w:w="1494" w:type="dxa"/>
            <w:hideMark/>
          </w:tcPr>
          <w:p w14:paraId="11CE2BFB"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(Wks) NI</w:t>
            </w:r>
          </w:p>
        </w:tc>
      </w:tr>
      <w:tr w:rsidR="009C1E32" w:rsidRPr="009C1E32" w14:paraId="117DA142"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3B9E048A" w14:textId="77777777" w:rsidR="009C1E32" w:rsidRPr="00B3618C" w:rsidRDefault="009C1E32" w:rsidP="00B3618C">
            <w:pPr>
              <w:pStyle w:val="NoSpacing"/>
              <w:jc w:val="center"/>
              <w:rPr>
                <w:lang w:eastAsia="en-GB"/>
              </w:rPr>
            </w:pPr>
            <w:r w:rsidRPr="00B3618C">
              <w:rPr>
                <w:lang w:eastAsia="en-GB"/>
              </w:rPr>
              <w:t>2015/16</w:t>
            </w:r>
          </w:p>
        </w:tc>
        <w:tc>
          <w:tcPr>
            <w:tcW w:w="1218" w:type="dxa"/>
            <w:noWrap/>
            <w:hideMark/>
          </w:tcPr>
          <w:p w14:paraId="3820F30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1,238</w:t>
            </w:r>
          </w:p>
        </w:tc>
        <w:tc>
          <w:tcPr>
            <w:tcW w:w="1218" w:type="dxa"/>
            <w:noWrap/>
            <w:hideMark/>
          </w:tcPr>
          <w:p w14:paraId="6319408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1,202</w:t>
            </w:r>
          </w:p>
        </w:tc>
        <w:tc>
          <w:tcPr>
            <w:tcW w:w="1218" w:type="dxa"/>
            <w:noWrap/>
            <w:hideMark/>
          </w:tcPr>
          <w:p w14:paraId="5ACCFF6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1,135</w:t>
            </w:r>
          </w:p>
        </w:tc>
        <w:tc>
          <w:tcPr>
            <w:tcW w:w="1251" w:type="dxa"/>
            <w:noWrap/>
            <w:hideMark/>
          </w:tcPr>
          <w:p w14:paraId="056E675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32</w:t>
            </w:r>
          </w:p>
        </w:tc>
        <w:tc>
          <w:tcPr>
            <w:tcW w:w="1494" w:type="dxa"/>
            <w:noWrap/>
            <w:hideMark/>
          </w:tcPr>
          <w:p w14:paraId="777F1712"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22</w:t>
            </w:r>
            <w:r w:rsidR="00D52E50">
              <w:rPr>
                <w:rFonts w:ascii="Calibri" w:eastAsia="Times New Roman" w:hAnsi="Calibri" w:cs="Calibri"/>
                <w:color w:val="000000"/>
                <w:lang w:eastAsia="en-GB"/>
              </w:rPr>
              <w:t>.0</w:t>
            </w:r>
          </w:p>
        </w:tc>
        <w:tc>
          <w:tcPr>
            <w:tcW w:w="1494" w:type="dxa"/>
            <w:noWrap/>
            <w:hideMark/>
          </w:tcPr>
          <w:p w14:paraId="61A4FCA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19.4</w:t>
            </w:r>
          </w:p>
        </w:tc>
      </w:tr>
      <w:tr w:rsidR="009C1E32" w:rsidRPr="009C1E32" w14:paraId="3823A3DB"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1BA02DDB" w14:textId="77777777" w:rsidR="009C1E32" w:rsidRPr="00B3618C" w:rsidRDefault="009C1E32" w:rsidP="00B3618C">
            <w:pPr>
              <w:pStyle w:val="NoSpacing"/>
              <w:jc w:val="center"/>
              <w:rPr>
                <w:lang w:eastAsia="en-GB"/>
              </w:rPr>
            </w:pPr>
            <w:r w:rsidRPr="00B3618C">
              <w:rPr>
                <w:lang w:eastAsia="en-GB"/>
              </w:rPr>
              <w:t>2016/17</w:t>
            </w:r>
          </w:p>
        </w:tc>
        <w:tc>
          <w:tcPr>
            <w:tcW w:w="1218" w:type="dxa"/>
            <w:noWrap/>
            <w:hideMark/>
          </w:tcPr>
          <w:p w14:paraId="6B0BEBF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1,370</w:t>
            </w:r>
          </w:p>
        </w:tc>
        <w:tc>
          <w:tcPr>
            <w:tcW w:w="1218" w:type="dxa"/>
            <w:noWrap/>
            <w:hideMark/>
          </w:tcPr>
          <w:p w14:paraId="436878E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1,406</w:t>
            </w:r>
          </w:p>
        </w:tc>
        <w:tc>
          <w:tcPr>
            <w:tcW w:w="1218" w:type="dxa"/>
            <w:noWrap/>
            <w:hideMark/>
          </w:tcPr>
          <w:p w14:paraId="19F2769B"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1,341</w:t>
            </w:r>
          </w:p>
        </w:tc>
        <w:tc>
          <w:tcPr>
            <w:tcW w:w="1251" w:type="dxa"/>
            <w:noWrap/>
            <w:hideMark/>
          </w:tcPr>
          <w:p w14:paraId="05BCDF7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57</w:t>
            </w:r>
          </w:p>
        </w:tc>
        <w:tc>
          <w:tcPr>
            <w:tcW w:w="1494" w:type="dxa"/>
            <w:noWrap/>
            <w:hideMark/>
          </w:tcPr>
          <w:p w14:paraId="39D6ADA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14:paraId="7BD1BBE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16.2</w:t>
            </w:r>
          </w:p>
        </w:tc>
      </w:tr>
      <w:tr w:rsidR="009C1E32" w:rsidRPr="009C1E32" w14:paraId="049999C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4A51CEEA" w14:textId="77777777" w:rsidR="009C1E32" w:rsidRPr="00B3618C" w:rsidRDefault="009C1E32" w:rsidP="00B3618C">
            <w:pPr>
              <w:pStyle w:val="NoSpacing"/>
              <w:jc w:val="center"/>
              <w:rPr>
                <w:lang w:eastAsia="en-GB"/>
              </w:rPr>
            </w:pPr>
            <w:r w:rsidRPr="00B3618C">
              <w:rPr>
                <w:lang w:eastAsia="en-GB"/>
              </w:rPr>
              <w:t>2017/18</w:t>
            </w:r>
          </w:p>
        </w:tc>
        <w:tc>
          <w:tcPr>
            <w:tcW w:w="1218" w:type="dxa"/>
            <w:noWrap/>
            <w:hideMark/>
          </w:tcPr>
          <w:p w14:paraId="3F7BD65A"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1,320</w:t>
            </w:r>
          </w:p>
        </w:tc>
        <w:tc>
          <w:tcPr>
            <w:tcW w:w="1218" w:type="dxa"/>
            <w:noWrap/>
            <w:hideMark/>
          </w:tcPr>
          <w:p w14:paraId="0CDB116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1,108</w:t>
            </w:r>
          </w:p>
        </w:tc>
        <w:tc>
          <w:tcPr>
            <w:tcW w:w="1218" w:type="dxa"/>
            <w:noWrap/>
            <w:hideMark/>
          </w:tcPr>
          <w:p w14:paraId="4B36E2D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1,061</w:t>
            </w:r>
          </w:p>
        </w:tc>
        <w:tc>
          <w:tcPr>
            <w:tcW w:w="1251" w:type="dxa"/>
            <w:noWrap/>
            <w:hideMark/>
          </w:tcPr>
          <w:p w14:paraId="13AA7209"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71</w:t>
            </w:r>
          </w:p>
        </w:tc>
        <w:tc>
          <w:tcPr>
            <w:tcW w:w="1494" w:type="dxa"/>
            <w:noWrap/>
            <w:hideMark/>
          </w:tcPr>
          <w:p w14:paraId="0CE581C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14:paraId="5BAFDC0C"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15.2</w:t>
            </w:r>
          </w:p>
        </w:tc>
      </w:tr>
      <w:tr w:rsidR="009C1E32" w:rsidRPr="009C1E32" w14:paraId="71A2D1F8"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13ACD324" w14:textId="77777777" w:rsidR="009C1E32" w:rsidRPr="00B3618C" w:rsidRDefault="009C1E32" w:rsidP="00B3618C">
            <w:pPr>
              <w:pStyle w:val="NoSpacing"/>
              <w:jc w:val="center"/>
              <w:rPr>
                <w:lang w:eastAsia="en-GB"/>
              </w:rPr>
            </w:pPr>
            <w:r w:rsidRPr="00B3618C">
              <w:rPr>
                <w:lang w:eastAsia="en-GB"/>
              </w:rPr>
              <w:t>2018/19</w:t>
            </w:r>
          </w:p>
        </w:tc>
        <w:tc>
          <w:tcPr>
            <w:tcW w:w="1218" w:type="dxa"/>
            <w:noWrap/>
            <w:hideMark/>
          </w:tcPr>
          <w:p w14:paraId="682CC4D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1,335</w:t>
            </w:r>
          </w:p>
        </w:tc>
        <w:tc>
          <w:tcPr>
            <w:tcW w:w="1218" w:type="dxa"/>
            <w:noWrap/>
            <w:hideMark/>
          </w:tcPr>
          <w:p w14:paraId="1889931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1,236</w:t>
            </w:r>
          </w:p>
        </w:tc>
        <w:tc>
          <w:tcPr>
            <w:tcW w:w="1218" w:type="dxa"/>
            <w:noWrap/>
            <w:hideMark/>
          </w:tcPr>
          <w:p w14:paraId="70DC279A"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1,181</w:t>
            </w:r>
          </w:p>
        </w:tc>
        <w:tc>
          <w:tcPr>
            <w:tcW w:w="1251" w:type="dxa"/>
            <w:noWrap/>
            <w:hideMark/>
          </w:tcPr>
          <w:p w14:paraId="48E827C5"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77</w:t>
            </w:r>
          </w:p>
        </w:tc>
        <w:tc>
          <w:tcPr>
            <w:tcW w:w="1494" w:type="dxa"/>
            <w:noWrap/>
            <w:hideMark/>
          </w:tcPr>
          <w:p w14:paraId="0D4A8EE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14:paraId="005901B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14.8</w:t>
            </w:r>
          </w:p>
        </w:tc>
      </w:tr>
      <w:tr w:rsidR="009C1E32" w:rsidRPr="009C1E32" w14:paraId="16EFC18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0E5DFBCD" w14:textId="77777777" w:rsidR="009C1E32" w:rsidRPr="00B3618C" w:rsidRDefault="009C1E32" w:rsidP="00B3618C">
            <w:pPr>
              <w:pStyle w:val="NoSpacing"/>
              <w:jc w:val="center"/>
              <w:rPr>
                <w:lang w:eastAsia="en-GB"/>
              </w:rPr>
            </w:pPr>
            <w:r w:rsidRPr="00B3618C">
              <w:rPr>
                <w:lang w:eastAsia="en-GB"/>
              </w:rPr>
              <w:t>2019/20</w:t>
            </w:r>
          </w:p>
        </w:tc>
        <w:tc>
          <w:tcPr>
            <w:tcW w:w="1218" w:type="dxa"/>
            <w:noWrap/>
            <w:hideMark/>
          </w:tcPr>
          <w:p w14:paraId="4691AE21"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1,244</w:t>
            </w:r>
          </w:p>
        </w:tc>
        <w:tc>
          <w:tcPr>
            <w:tcW w:w="1218" w:type="dxa"/>
            <w:noWrap/>
            <w:hideMark/>
          </w:tcPr>
          <w:p w14:paraId="5DD20CD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1,120</w:t>
            </w:r>
          </w:p>
        </w:tc>
        <w:tc>
          <w:tcPr>
            <w:tcW w:w="1218" w:type="dxa"/>
            <w:noWrap/>
            <w:hideMark/>
          </w:tcPr>
          <w:p w14:paraId="5E4380AD"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1,069</w:t>
            </w:r>
          </w:p>
        </w:tc>
        <w:tc>
          <w:tcPr>
            <w:tcW w:w="1251" w:type="dxa"/>
            <w:noWrap/>
            <w:hideMark/>
          </w:tcPr>
          <w:p w14:paraId="5EAC4E41"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78</w:t>
            </w:r>
          </w:p>
        </w:tc>
        <w:tc>
          <w:tcPr>
            <w:tcW w:w="1494" w:type="dxa"/>
            <w:noWrap/>
            <w:hideMark/>
          </w:tcPr>
          <w:p w14:paraId="1342F28D"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14:paraId="0A5FC406"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r>
      <w:tr w:rsidR="009C1E32" w:rsidRPr="009C1E32" w14:paraId="0E9229EE"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06DFCCA8" w14:textId="77777777" w:rsidR="009C1E32" w:rsidRPr="00B3618C" w:rsidRDefault="009C1E32" w:rsidP="00B3618C">
            <w:pPr>
              <w:pStyle w:val="NoSpacing"/>
              <w:jc w:val="center"/>
              <w:rPr>
                <w:lang w:eastAsia="en-GB"/>
              </w:rPr>
            </w:pPr>
            <w:r w:rsidRPr="00B3618C">
              <w:rPr>
                <w:lang w:eastAsia="en-GB"/>
              </w:rPr>
              <w:t>2020/21</w:t>
            </w:r>
          </w:p>
        </w:tc>
        <w:tc>
          <w:tcPr>
            <w:tcW w:w="1218" w:type="dxa"/>
            <w:noWrap/>
            <w:hideMark/>
          </w:tcPr>
          <w:p w14:paraId="52BB0B7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1,330</w:t>
            </w:r>
          </w:p>
        </w:tc>
        <w:tc>
          <w:tcPr>
            <w:tcW w:w="1218" w:type="dxa"/>
            <w:noWrap/>
            <w:hideMark/>
          </w:tcPr>
          <w:p w14:paraId="6CB4BF0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911</w:t>
            </w:r>
          </w:p>
        </w:tc>
        <w:tc>
          <w:tcPr>
            <w:tcW w:w="1218" w:type="dxa"/>
            <w:noWrap/>
            <w:hideMark/>
          </w:tcPr>
          <w:p w14:paraId="6D11831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870</w:t>
            </w:r>
          </w:p>
        </w:tc>
        <w:tc>
          <w:tcPr>
            <w:tcW w:w="1251" w:type="dxa"/>
            <w:noWrap/>
            <w:hideMark/>
          </w:tcPr>
          <w:p w14:paraId="53DE62C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80</w:t>
            </w:r>
          </w:p>
        </w:tc>
        <w:tc>
          <w:tcPr>
            <w:tcW w:w="1494" w:type="dxa"/>
            <w:noWrap/>
            <w:hideMark/>
          </w:tcPr>
          <w:p w14:paraId="157FE49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26.4</w:t>
            </w:r>
          </w:p>
        </w:tc>
        <w:tc>
          <w:tcPr>
            <w:tcW w:w="1494" w:type="dxa"/>
            <w:noWrap/>
            <w:hideMark/>
          </w:tcPr>
          <w:p w14:paraId="6670C06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17.8</w:t>
            </w:r>
          </w:p>
        </w:tc>
      </w:tr>
      <w:tr w:rsidR="002D2D24" w:rsidRPr="009C1E32" w14:paraId="03DE86A9"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tcPr>
          <w:p w14:paraId="185F4244" w14:textId="77777777" w:rsidR="002D2D24" w:rsidRPr="00B3618C" w:rsidRDefault="002D2D24" w:rsidP="00B3618C">
            <w:pPr>
              <w:pStyle w:val="NoSpacing"/>
              <w:jc w:val="center"/>
              <w:rPr>
                <w:lang w:eastAsia="en-GB"/>
              </w:rPr>
            </w:pPr>
            <w:r w:rsidRPr="00B3618C">
              <w:rPr>
                <w:lang w:eastAsia="en-GB"/>
              </w:rPr>
              <w:t>2021/22</w:t>
            </w:r>
          </w:p>
        </w:tc>
        <w:tc>
          <w:tcPr>
            <w:tcW w:w="1218" w:type="dxa"/>
            <w:noWrap/>
          </w:tcPr>
          <w:p w14:paraId="197DE407"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1,293</w:t>
            </w:r>
          </w:p>
        </w:tc>
        <w:tc>
          <w:tcPr>
            <w:tcW w:w="1218" w:type="dxa"/>
            <w:noWrap/>
          </w:tcPr>
          <w:p w14:paraId="0DA1924C"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1,361</w:t>
            </w:r>
          </w:p>
        </w:tc>
        <w:tc>
          <w:tcPr>
            <w:tcW w:w="1218" w:type="dxa"/>
            <w:noWrap/>
          </w:tcPr>
          <w:p w14:paraId="0A763877"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1,276</w:t>
            </w:r>
          </w:p>
        </w:tc>
        <w:tc>
          <w:tcPr>
            <w:tcW w:w="1251" w:type="dxa"/>
            <w:noWrap/>
          </w:tcPr>
          <w:p w14:paraId="7460F250"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494" w:type="dxa"/>
            <w:noWrap/>
          </w:tcPr>
          <w:p w14:paraId="463CD309"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494" w:type="dxa"/>
            <w:noWrap/>
          </w:tcPr>
          <w:p w14:paraId="2678D05F"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17.2</w:t>
            </w:r>
          </w:p>
        </w:tc>
      </w:tr>
      <w:tr w:rsidR="0017186B" w:rsidRPr="009C1E32" w14:paraId="33379E8C"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0AE0B313" w14:textId="77777777" w:rsidR="0017186B" w:rsidRPr="00B3618C" w:rsidRDefault="0017186B" w:rsidP="00B3618C">
            <w:pPr>
              <w:pStyle w:val="NoSpacing"/>
              <w:jc w:val="center"/>
            </w:pPr>
            <w:r w:rsidRPr="00B3618C">
              <w:t>2022/23</w:t>
            </w:r>
          </w:p>
        </w:tc>
        <w:tc>
          <w:tcPr>
            <w:tcW w:w="1218" w:type="dxa"/>
            <w:noWrap/>
            <w:vAlign w:val="center"/>
          </w:tcPr>
          <w:p w14:paraId="6942A3C9"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1,053</w:t>
            </w:r>
          </w:p>
        </w:tc>
        <w:tc>
          <w:tcPr>
            <w:tcW w:w="1218" w:type="dxa"/>
            <w:noWrap/>
            <w:vAlign w:val="center"/>
          </w:tcPr>
          <w:p w14:paraId="3C92459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1,026</w:t>
            </w:r>
          </w:p>
        </w:tc>
        <w:tc>
          <w:tcPr>
            <w:tcW w:w="1218" w:type="dxa"/>
            <w:noWrap/>
            <w:vAlign w:val="center"/>
          </w:tcPr>
          <w:p w14:paraId="5284771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956</w:t>
            </w:r>
          </w:p>
        </w:tc>
        <w:tc>
          <w:tcPr>
            <w:tcW w:w="1251" w:type="dxa"/>
            <w:noWrap/>
            <w:vAlign w:val="center"/>
          </w:tcPr>
          <w:p w14:paraId="3ED980E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w:t>
            </w:r>
          </w:p>
        </w:tc>
        <w:tc>
          <w:tcPr>
            <w:tcW w:w="1494" w:type="dxa"/>
            <w:noWrap/>
            <w:vAlign w:val="center"/>
          </w:tcPr>
          <w:p w14:paraId="3932E5B3"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21.2</w:t>
            </w:r>
          </w:p>
        </w:tc>
        <w:tc>
          <w:tcPr>
            <w:tcW w:w="1494" w:type="dxa"/>
            <w:noWrap/>
            <w:vAlign w:val="center"/>
          </w:tcPr>
          <w:p w14:paraId="70A2DE50"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r w:rsidR="004B45F3">
              <w:rPr>
                <w:rFonts w:ascii="Calibri" w:hAnsi="Calibri" w:cs="Calibri"/>
                <w:color w:val="000000"/>
              </w:rPr>
              <w:t>.0</w:t>
            </w:r>
          </w:p>
        </w:tc>
      </w:tr>
      <w:tr w:rsidR="00B3618C" w:rsidRPr="009C1E32" w14:paraId="7B1D880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7774C00C" w14:textId="4CF0E864" w:rsidR="00B3618C" w:rsidRPr="00B3618C" w:rsidRDefault="00B3618C" w:rsidP="00B3618C">
            <w:pPr>
              <w:pStyle w:val="NoSpacing"/>
              <w:jc w:val="center"/>
            </w:pPr>
            <w:r w:rsidRPr="00B3618C">
              <w:t>2023/24</w:t>
            </w:r>
          </w:p>
        </w:tc>
        <w:tc>
          <w:tcPr>
            <w:tcW w:w="1218" w:type="dxa"/>
            <w:noWrap/>
            <w:vAlign w:val="center"/>
          </w:tcPr>
          <w:p w14:paraId="54F88F55" w14:textId="51101B2B"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948</w:t>
            </w:r>
          </w:p>
        </w:tc>
        <w:tc>
          <w:tcPr>
            <w:tcW w:w="1218" w:type="dxa"/>
            <w:noWrap/>
            <w:vAlign w:val="center"/>
          </w:tcPr>
          <w:p w14:paraId="5E9F9D33" w14:textId="71EF2E77"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1,075</w:t>
            </w:r>
          </w:p>
        </w:tc>
        <w:tc>
          <w:tcPr>
            <w:tcW w:w="1218" w:type="dxa"/>
            <w:noWrap/>
            <w:vAlign w:val="center"/>
          </w:tcPr>
          <w:p w14:paraId="2C5E87E4" w14:textId="7FD67001"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994</w:t>
            </w:r>
          </w:p>
        </w:tc>
        <w:tc>
          <w:tcPr>
            <w:tcW w:w="1251" w:type="dxa"/>
            <w:noWrap/>
            <w:vAlign w:val="center"/>
          </w:tcPr>
          <w:p w14:paraId="419011EA" w14:textId="6093E267"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w:t>
            </w:r>
          </w:p>
        </w:tc>
        <w:tc>
          <w:tcPr>
            <w:tcW w:w="1494" w:type="dxa"/>
            <w:noWrap/>
            <w:vAlign w:val="center"/>
          </w:tcPr>
          <w:p w14:paraId="4F0C20EA" w14:textId="246175FE"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24.6</w:t>
            </w:r>
          </w:p>
        </w:tc>
        <w:tc>
          <w:tcPr>
            <w:tcW w:w="1494" w:type="dxa"/>
            <w:noWrap/>
            <w:vAlign w:val="center"/>
          </w:tcPr>
          <w:p w14:paraId="1F5781DC" w14:textId="49F84C51"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w:t>
            </w:r>
          </w:p>
        </w:tc>
      </w:tr>
      <w:tr w:rsidR="00371112" w:rsidRPr="009C1E32" w14:paraId="0E91DD4E"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D4459BC" w14:textId="4AEBC2B0" w:rsidR="00371112" w:rsidRPr="00B3618C" w:rsidRDefault="00371112" w:rsidP="00371112">
            <w:pPr>
              <w:pStyle w:val="NoSpacing"/>
              <w:jc w:val="center"/>
            </w:pPr>
            <w:r w:rsidRPr="00371112">
              <w:t>2024/25</w:t>
            </w:r>
          </w:p>
        </w:tc>
        <w:tc>
          <w:tcPr>
            <w:tcW w:w="1218" w:type="dxa"/>
            <w:noWrap/>
            <w:vAlign w:val="center"/>
          </w:tcPr>
          <w:p w14:paraId="62334614" w14:textId="5198BBB8"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992</w:t>
            </w:r>
          </w:p>
        </w:tc>
        <w:tc>
          <w:tcPr>
            <w:tcW w:w="1218" w:type="dxa"/>
            <w:noWrap/>
            <w:vAlign w:val="center"/>
          </w:tcPr>
          <w:p w14:paraId="641463BA" w14:textId="6B665D41"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913</w:t>
            </w:r>
          </w:p>
        </w:tc>
        <w:tc>
          <w:tcPr>
            <w:tcW w:w="1218" w:type="dxa"/>
            <w:noWrap/>
            <w:vAlign w:val="center"/>
          </w:tcPr>
          <w:p w14:paraId="7D42B713" w14:textId="51147788"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847</w:t>
            </w:r>
          </w:p>
        </w:tc>
        <w:tc>
          <w:tcPr>
            <w:tcW w:w="1251" w:type="dxa"/>
            <w:noWrap/>
            <w:vAlign w:val="center"/>
          </w:tcPr>
          <w:p w14:paraId="0376524F" w14:textId="193A6C0F"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w:t>
            </w:r>
          </w:p>
        </w:tc>
        <w:tc>
          <w:tcPr>
            <w:tcW w:w="1494" w:type="dxa"/>
            <w:noWrap/>
            <w:vAlign w:val="center"/>
          </w:tcPr>
          <w:p w14:paraId="6D4064A8" w14:textId="71503225"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c>
          <w:tcPr>
            <w:tcW w:w="1494" w:type="dxa"/>
            <w:noWrap/>
            <w:vAlign w:val="center"/>
          </w:tcPr>
          <w:p w14:paraId="5A627791" w14:textId="2CA0A636"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p>
        </w:tc>
      </w:tr>
    </w:tbl>
    <w:p w14:paraId="77CA2185" w14:textId="475D39B5" w:rsidR="001309E1" w:rsidRDefault="005F140B" w:rsidP="00F53A94">
      <w:pPr>
        <w:rPr>
          <w:i/>
          <w:sz w:val="20"/>
          <w:szCs w:val="20"/>
        </w:rPr>
      </w:pPr>
      <w:r w:rsidRPr="009C1E32">
        <w:rPr>
          <w:i/>
          <w:sz w:val="20"/>
          <w:szCs w:val="20"/>
        </w:rPr>
        <w:t xml:space="preserve">Table 3: Local development planning applications in Armagh City, Banbridge and Craigavon Borough </w:t>
      </w:r>
      <w:r w:rsidR="002D2D24">
        <w:rPr>
          <w:i/>
          <w:sz w:val="20"/>
          <w:szCs w:val="20"/>
        </w:rPr>
        <w:t>2015/16 to 202</w:t>
      </w:r>
      <w:r w:rsidR="00371112">
        <w:rPr>
          <w:i/>
          <w:sz w:val="20"/>
          <w:szCs w:val="20"/>
        </w:rPr>
        <w:t>4</w:t>
      </w:r>
      <w:r w:rsidR="002D2D24">
        <w:rPr>
          <w:i/>
          <w:sz w:val="20"/>
          <w:szCs w:val="20"/>
        </w:rPr>
        <w:t>/2</w:t>
      </w:r>
      <w:r w:rsidR="00371112">
        <w:rPr>
          <w:i/>
          <w:sz w:val="20"/>
          <w:szCs w:val="20"/>
        </w:rPr>
        <w:t>5</w:t>
      </w:r>
      <w:r w:rsidR="001309E1" w:rsidRPr="009C1E32">
        <w:rPr>
          <w:i/>
          <w:sz w:val="20"/>
          <w:szCs w:val="20"/>
        </w:rPr>
        <w:t>. Source: Northern Irel</w:t>
      </w:r>
      <w:r w:rsidR="00A26F55" w:rsidRPr="009C1E32">
        <w:rPr>
          <w:i/>
          <w:sz w:val="20"/>
          <w:szCs w:val="20"/>
        </w:rPr>
        <w:t xml:space="preserve">and Planning Statistics, </w:t>
      </w:r>
      <w:r w:rsidR="001309E1" w:rsidRPr="009C1E32">
        <w:rPr>
          <w:i/>
          <w:sz w:val="20"/>
          <w:szCs w:val="20"/>
        </w:rPr>
        <w:t>Department for Infrastructure.</w:t>
      </w:r>
    </w:p>
    <w:p w14:paraId="2074E228" w14:textId="18D30186" w:rsidR="001309E1" w:rsidRPr="0017186B" w:rsidRDefault="00371112" w:rsidP="001309E1">
      <w:pPr>
        <w:rPr>
          <w:i/>
          <w:sz w:val="20"/>
          <w:szCs w:val="20"/>
        </w:rPr>
      </w:pPr>
      <w:r>
        <w:rPr>
          <w:noProof/>
        </w:rPr>
        <w:drawing>
          <wp:inline distT="0" distB="0" distL="0" distR="0" wp14:anchorId="66CDADBE" wp14:editId="71EE278D">
            <wp:extent cx="5876925" cy="3139440"/>
            <wp:effectExtent l="0" t="0" r="9525" b="3810"/>
            <wp:docPr id="2121962151" name="Chart 1">
              <a:extLst xmlns:a="http://schemas.openxmlformats.org/drawingml/2006/main">
                <a:ext uri="{FF2B5EF4-FFF2-40B4-BE49-F238E27FC236}">
                  <a16:creationId xmlns:a16="http://schemas.microsoft.com/office/drawing/2014/main" id="{51F46D74-35F6-0A59-066B-35589A510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F140B" w:rsidRPr="00D73B41">
        <w:rPr>
          <w:i/>
          <w:sz w:val="20"/>
          <w:szCs w:val="20"/>
        </w:rPr>
        <w:t xml:space="preserve">Figure 3: </w:t>
      </w:r>
      <w:r w:rsidR="001309E1" w:rsidRPr="00D73B41">
        <w:rPr>
          <w:i/>
          <w:sz w:val="20"/>
          <w:szCs w:val="20"/>
        </w:rPr>
        <w:t xml:space="preserve"> </w:t>
      </w:r>
      <w:r w:rsidR="005F140B" w:rsidRPr="00D73B41">
        <w:rPr>
          <w:i/>
          <w:sz w:val="20"/>
          <w:szCs w:val="20"/>
        </w:rPr>
        <w:t xml:space="preserve">Local development planning applications in Armagh City, Banbridge and Craigavon Borough </w:t>
      </w:r>
      <w:r w:rsidR="00A26F55" w:rsidRPr="00D73B41">
        <w:rPr>
          <w:i/>
          <w:sz w:val="20"/>
          <w:szCs w:val="20"/>
        </w:rPr>
        <w:t xml:space="preserve">2015/16 to </w:t>
      </w:r>
      <w:r w:rsidR="003C76AA">
        <w:rPr>
          <w:i/>
          <w:sz w:val="20"/>
          <w:szCs w:val="20"/>
        </w:rPr>
        <w:t>202</w:t>
      </w:r>
      <w:r>
        <w:rPr>
          <w:i/>
          <w:sz w:val="20"/>
          <w:szCs w:val="20"/>
        </w:rPr>
        <w:t>4</w:t>
      </w:r>
      <w:r w:rsidR="003C76AA">
        <w:rPr>
          <w:i/>
          <w:sz w:val="20"/>
          <w:szCs w:val="20"/>
        </w:rPr>
        <w:t>/2</w:t>
      </w:r>
      <w:r>
        <w:rPr>
          <w:i/>
          <w:sz w:val="20"/>
          <w:szCs w:val="20"/>
        </w:rPr>
        <w:t>5</w:t>
      </w:r>
      <w:r w:rsidR="001309E1" w:rsidRPr="00D73B41">
        <w:rPr>
          <w:i/>
          <w:sz w:val="20"/>
          <w:szCs w:val="20"/>
        </w:rPr>
        <w:t xml:space="preserve">. Source: Northern Ireland </w:t>
      </w:r>
      <w:r w:rsidR="00A26F55" w:rsidRPr="00D73B41">
        <w:rPr>
          <w:i/>
          <w:sz w:val="20"/>
          <w:szCs w:val="20"/>
        </w:rPr>
        <w:t xml:space="preserve">Planning Statistics, </w:t>
      </w:r>
      <w:r w:rsidR="001309E1" w:rsidRPr="00D73B41">
        <w:rPr>
          <w:i/>
          <w:sz w:val="20"/>
          <w:szCs w:val="20"/>
        </w:rPr>
        <w:t>Department for Infrastructure.</w:t>
      </w:r>
    </w:p>
    <w:p w14:paraId="1526FFBF" w14:textId="639632A9" w:rsidR="001260DA" w:rsidRDefault="008D6178" w:rsidP="001309E1">
      <w:r w:rsidRPr="00A874E9">
        <w:t xml:space="preserve">The number of residential applications </w:t>
      </w:r>
      <w:r w:rsidR="00A26F55" w:rsidRPr="00A874E9">
        <w:t xml:space="preserve">received </w:t>
      </w:r>
      <w:r w:rsidRPr="00A874E9">
        <w:t xml:space="preserve">by ABC Council </w:t>
      </w:r>
      <w:r w:rsidR="00A26F55" w:rsidRPr="00A874E9">
        <w:t xml:space="preserve">in </w:t>
      </w:r>
      <w:r w:rsidR="00D73B41" w:rsidRPr="00A874E9">
        <w:t>202</w:t>
      </w:r>
      <w:r w:rsidR="00371112">
        <w:t>4</w:t>
      </w:r>
      <w:r w:rsidR="00D73B41" w:rsidRPr="00A874E9">
        <w:t>/2</w:t>
      </w:r>
      <w:r w:rsidR="00371112">
        <w:t>5</w:t>
      </w:r>
      <w:r w:rsidR="00A26F55" w:rsidRPr="00A874E9">
        <w:t xml:space="preserve"> </w:t>
      </w:r>
      <w:r w:rsidR="00371112">
        <w:t>in</w:t>
      </w:r>
      <w:r w:rsidR="003109E2" w:rsidRPr="00A874E9">
        <w:t xml:space="preserve">creased by </w:t>
      </w:r>
      <w:r w:rsidR="00371112">
        <w:t>0.8</w:t>
      </w:r>
      <w:r w:rsidR="003109E2" w:rsidRPr="00A874E9">
        <w:t xml:space="preserve">% to </w:t>
      </w:r>
      <w:r w:rsidR="00213588">
        <w:t>6</w:t>
      </w:r>
      <w:r w:rsidR="00371112">
        <w:t>33</w:t>
      </w:r>
      <w:r w:rsidR="00AF57CE">
        <w:t xml:space="preserve"> </w:t>
      </w:r>
      <w:r w:rsidR="003109E2" w:rsidRPr="00A874E9">
        <w:t xml:space="preserve">from </w:t>
      </w:r>
      <w:r w:rsidR="00371112">
        <w:t>628</w:t>
      </w:r>
      <w:r w:rsidR="003109E2" w:rsidRPr="00A874E9">
        <w:t xml:space="preserve"> in 20</w:t>
      </w:r>
      <w:r w:rsidR="00AF57CE">
        <w:t>2</w:t>
      </w:r>
      <w:r w:rsidR="00371112">
        <w:t>3</w:t>
      </w:r>
      <w:r w:rsidR="003109E2" w:rsidRPr="00A874E9">
        <w:t>/2</w:t>
      </w:r>
      <w:r w:rsidR="00371112">
        <w:t>4</w:t>
      </w:r>
      <w:r w:rsidRPr="00A874E9">
        <w:t xml:space="preserve">. </w:t>
      </w:r>
      <w:r w:rsidR="003109E2" w:rsidRPr="00A874E9">
        <w:t xml:space="preserve"> </w:t>
      </w:r>
      <w:r w:rsidR="00FF403E" w:rsidRPr="00A874E9">
        <w:t xml:space="preserve">Decisions were made on </w:t>
      </w:r>
      <w:r w:rsidR="00371112">
        <w:t xml:space="preserve">593 </w:t>
      </w:r>
      <w:r w:rsidR="00A26F55" w:rsidRPr="00A874E9">
        <w:t>resi</w:t>
      </w:r>
      <w:r w:rsidR="00FF403E" w:rsidRPr="00A874E9">
        <w:t>dential applications during 20</w:t>
      </w:r>
      <w:r w:rsidR="00A874E9" w:rsidRPr="00A874E9">
        <w:t>2</w:t>
      </w:r>
      <w:r w:rsidR="00371112">
        <w:t>4</w:t>
      </w:r>
      <w:r w:rsidR="00A874E9" w:rsidRPr="00A874E9">
        <w:t>/2</w:t>
      </w:r>
      <w:r w:rsidR="00371112">
        <w:t>5</w:t>
      </w:r>
      <w:r w:rsidR="00FF403E" w:rsidRPr="00A874E9">
        <w:t xml:space="preserve">, of which </w:t>
      </w:r>
      <w:r w:rsidR="00371112">
        <w:t>546</w:t>
      </w:r>
      <w:r w:rsidR="00FF403E" w:rsidRPr="00A874E9">
        <w:t xml:space="preserve"> (</w:t>
      </w:r>
      <w:r w:rsidR="00634C91">
        <w:t>92.</w:t>
      </w:r>
      <w:r w:rsidR="00213588">
        <w:t>1</w:t>
      </w:r>
      <w:r w:rsidR="00A26F55" w:rsidRPr="00A874E9">
        <w:t xml:space="preserve">%) </w:t>
      </w:r>
      <w:r w:rsidR="00725DCE" w:rsidRPr="00A874E9">
        <w:t>were approved</w:t>
      </w:r>
      <w:r w:rsidR="0004168B">
        <w:t xml:space="preserve"> and, a</w:t>
      </w:r>
      <w:r w:rsidR="00A874E9" w:rsidRPr="00A874E9">
        <w:t xml:space="preserve">verage processing times for </w:t>
      </w:r>
      <w:r w:rsidR="00FF403E" w:rsidRPr="00A874E9">
        <w:t>residential applications</w:t>
      </w:r>
      <w:r w:rsidR="00634C91">
        <w:t xml:space="preserve"> </w:t>
      </w:r>
      <w:r w:rsidR="00371112">
        <w:t>fell to 17.1</w:t>
      </w:r>
      <w:r w:rsidR="00A874E9" w:rsidRPr="00A874E9">
        <w:t xml:space="preserve"> weeks on average in 202</w:t>
      </w:r>
      <w:r w:rsidR="00371112">
        <w:t>4</w:t>
      </w:r>
      <w:r w:rsidR="00A874E9" w:rsidRPr="00A874E9">
        <w:t>/2</w:t>
      </w:r>
      <w:r w:rsidR="00371112">
        <w:t>5</w:t>
      </w:r>
      <w:r w:rsidR="00A874E9" w:rsidRPr="00A874E9">
        <w:t xml:space="preserve"> in the </w:t>
      </w:r>
      <w:r w:rsidR="00B064A1">
        <w:t>B</w:t>
      </w:r>
      <w:r w:rsidR="00A874E9" w:rsidRPr="00A874E9">
        <w:t xml:space="preserve">orough.  </w:t>
      </w:r>
      <w:r w:rsidR="007E2DAA">
        <w:t>In Northern Ireland overall, average processing times are now</w:t>
      </w:r>
      <w:r w:rsidR="00B064A1">
        <w:t xml:space="preserve"> 1</w:t>
      </w:r>
      <w:r w:rsidR="00371112">
        <w:t>7</w:t>
      </w:r>
      <w:r w:rsidR="00B064A1">
        <w:t>.4 weeks</w:t>
      </w:r>
      <w:r w:rsidR="0004168B">
        <w:t xml:space="preserve"> so at </w:t>
      </w:r>
      <w:r w:rsidR="00371112">
        <w:t>17.1 weeks</w:t>
      </w:r>
      <w:r w:rsidR="0004168B">
        <w:t xml:space="preserve"> in the Borough</w:t>
      </w:r>
      <w:r w:rsidR="00371112">
        <w:t xml:space="preserve">, 2024/25 is the first time since 2018/19 that average </w:t>
      </w:r>
      <w:r w:rsidR="00B064A1">
        <w:t>processing time</w:t>
      </w:r>
      <w:r w:rsidR="00371112">
        <w:t>s in A</w:t>
      </w:r>
      <w:r w:rsidR="00B064A1">
        <w:t>rmagh City, Banbridge and Craigavon Council</w:t>
      </w:r>
      <w:r w:rsidR="0004168B">
        <w:t xml:space="preserve"> have been below the Northern Ireland average.   </w:t>
      </w:r>
    </w:p>
    <w:p w14:paraId="58F8ABFF" w14:textId="77777777" w:rsidR="00A71AC0" w:rsidRPr="00A874E9" w:rsidRDefault="00A71AC0" w:rsidP="001309E1"/>
    <w:tbl>
      <w:tblPr>
        <w:tblStyle w:val="GridTable1Light"/>
        <w:tblW w:w="9195" w:type="dxa"/>
        <w:tblLook w:val="04A0" w:firstRow="1" w:lastRow="0" w:firstColumn="1" w:lastColumn="0" w:noHBand="0" w:noVBand="1"/>
        <w:tblCaption w:val="Residential planning applications in Armagh City, Banbridge and Craigavon Borough 2015/16 to 2020/21."/>
      </w:tblPr>
      <w:tblGrid>
        <w:gridCol w:w="1233"/>
        <w:gridCol w:w="1233"/>
        <w:gridCol w:w="1233"/>
        <w:gridCol w:w="1233"/>
        <w:gridCol w:w="1251"/>
        <w:gridCol w:w="1506"/>
        <w:gridCol w:w="1506"/>
      </w:tblGrid>
      <w:tr w:rsidR="00D73B41" w:rsidRPr="00D73B41" w14:paraId="67E75524" w14:textId="77777777" w:rsidTr="00C9157B">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1233" w:type="dxa"/>
            <w:noWrap/>
            <w:hideMark/>
          </w:tcPr>
          <w:p w14:paraId="5348AE91" w14:textId="77777777" w:rsidR="00D73B41" w:rsidRDefault="00D73B41" w:rsidP="00D73B41">
            <w:pPr>
              <w:jc w:val="center"/>
              <w:rPr>
                <w:rFonts w:ascii="Calibri" w:eastAsia="Times New Roman" w:hAnsi="Calibri" w:cs="Calibri"/>
                <w:color w:val="000000"/>
                <w:lang w:eastAsia="en-GB"/>
              </w:rPr>
            </w:pPr>
          </w:p>
          <w:p w14:paraId="265DCABE" w14:textId="77777777" w:rsidR="00D73B41" w:rsidRPr="00D73B41" w:rsidRDefault="00D73B41" w:rsidP="00D73B41">
            <w:pPr>
              <w:jc w:val="center"/>
              <w:rPr>
                <w:rFonts w:ascii="Calibri" w:eastAsia="Times New Roman" w:hAnsi="Calibri" w:cs="Calibri"/>
                <w:color w:val="000000"/>
                <w:lang w:eastAsia="en-GB"/>
              </w:rPr>
            </w:pPr>
            <w:r w:rsidRPr="00D73B41">
              <w:rPr>
                <w:rFonts w:ascii="Calibri" w:eastAsia="Times New Roman" w:hAnsi="Calibri" w:cs="Calibri"/>
                <w:color w:val="000000"/>
                <w:lang w:eastAsia="en-GB"/>
              </w:rPr>
              <w:t>Residential</w:t>
            </w:r>
          </w:p>
        </w:tc>
        <w:tc>
          <w:tcPr>
            <w:tcW w:w="1233" w:type="dxa"/>
            <w:noWrap/>
            <w:hideMark/>
          </w:tcPr>
          <w:p w14:paraId="77379B3C"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2B4B4030"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Received</w:t>
            </w:r>
          </w:p>
        </w:tc>
        <w:tc>
          <w:tcPr>
            <w:tcW w:w="1233" w:type="dxa"/>
            <w:noWrap/>
            <w:hideMark/>
          </w:tcPr>
          <w:p w14:paraId="00EA40CA"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35C44692"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Decided</w:t>
            </w:r>
          </w:p>
        </w:tc>
        <w:tc>
          <w:tcPr>
            <w:tcW w:w="1233" w:type="dxa"/>
            <w:noWrap/>
            <w:hideMark/>
          </w:tcPr>
          <w:p w14:paraId="45D429EE"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77595B0F"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Approved</w:t>
            </w:r>
          </w:p>
        </w:tc>
        <w:tc>
          <w:tcPr>
            <w:tcW w:w="1251" w:type="dxa"/>
            <w:noWrap/>
            <w:hideMark/>
          </w:tcPr>
          <w:p w14:paraId="3A075938"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46F67C1B"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Withdrawn</w:t>
            </w:r>
          </w:p>
        </w:tc>
        <w:tc>
          <w:tcPr>
            <w:tcW w:w="1506" w:type="dxa"/>
            <w:hideMark/>
          </w:tcPr>
          <w:p w14:paraId="7903EB93"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(Wks) ABC</w:t>
            </w:r>
          </w:p>
        </w:tc>
        <w:tc>
          <w:tcPr>
            <w:tcW w:w="1506" w:type="dxa"/>
            <w:hideMark/>
          </w:tcPr>
          <w:p w14:paraId="26716974"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(Wks) NI</w:t>
            </w:r>
          </w:p>
        </w:tc>
      </w:tr>
      <w:tr w:rsidR="00D73B41" w:rsidRPr="00D73B41" w14:paraId="209444D5"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30BA234A" w14:textId="77777777" w:rsidR="00D73B41" w:rsidRPr="00213588" w:rsidRDefault="00D73B41" w:rsidP="00213588">
            <w:pPr>
              <w:pStyle w:val="NoSpacing"/>
              <w:jc w:val="center"/>
              <w:rPr>
                <w:lang w:eastAsia="en-GB"/>
              </w:rPr>
            </w:pPr>
            <w:r w:rsidRPr="00213588">
              <w:rPr>
                <w:lang w:eastAsia="en-GB"/>
              </w:rPr>
              <w:t>2015/16</w:t>
            </w:r>
          </w:p>
        </w:tc>
        <w:tc>
          <w:tcPr>
            <w:tcW w:w="1233" w:type="dxa"/>
            <w:noWrap/>
            <w:hideMark/>
          </w:tcPr>
          <w:p w14:paraId="6FE8A63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749</w:t>
            </w:r>
          </w:p>
        </w:tc>
        <w:tc>
          <w:tcPr>
            <w:tcW w:w="1233" w:type="dxa"/>
            <w:noWrap/>
            <w:hideMark/>
          </w:tcPr>
          <w:p w14:paraId="4B3DB877"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756</w:t>
            </w:r>
          </w:p>
        </w:tc>
        <w:tc>
          <w:tcPr>
            <w:tcW w:w="1233" w:type="dxa"/>
            <w:noWrap/>
            <w:hideMark/>
          </w:tcPr>
          <w:p w14:paraId="19DA8C7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710</w:t>
            </w:r>
          </w:p>
        </w:tc>
        <w:tc>
          <w:tcPr>
            <w:tcW w:w="1251" w:type="dxa"/>
            <w:noWrap/>
            <w:hideMark/>
          </w:tcPr>
          <w:p w14:paraId="704B85E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18</w:t>
            </w:r>
          </w:p>
        </w:tc>
        <w:tc>
          <w:tcPr>
            <w:tcW w:w="1506" w:type="dxa"/>
            <w:noWrap/>
            <w:hideMark/>
          </w:tcPr>
          <w:p w14:paraId="1C5CAC2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c>
          <w:tcPr>
            <w:tcW w:w="1506" w:type="dxa"/>
            <w:noWrap/>
            <w:hideMark/>
          </w:tcPr>
          <w:p w14:paraId="2A447DA1"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r>
      <w:tr w:rsidR="00D73B41" w:rsidRPr="00D73B41" w14:paraId="2F13EAC2"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732173D2" w14:textId="77777777" w:rsidR="00D73B41" w:rsidRPr="00213588" w:rsidRDefault="00D73B41" w:rsidP="00213588">
            <w:pPr>
              <w:pStyle w:val="NoSpacing"/>
              <w:jc w:val="center"/>
              <w:rPr>
                <w:lang w:eastAsia="en-GB"/>
              </w:rPr>
            </w:pPr>
            <w:r w:rsidRPr="00213588">
              <w:rPr>
                <w:lang w:eastAsia="en-GB"/>
              </w:rPr>
              <w:t>2016/17</w:t>
            </w:r>
          </w:p>
        </w:tc>
        <w:tc>
          <w:tcPr>
            <w:tcW w:w="1233" w:type="dxa"/>
            <w:noWrap/>
            <w:hideMark/>
          </w:tcPr>
          <w:p w14:paraId="6565345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917</w:t>
            </w:r>
          </w:p>
        </w:tc>
        <w:tc>
          <w:tcPr>
            <w:tcW w:w="1233" w:type="dxa"/>
            <w:noWrap/>
            <w:hideMark/>
          </w:tcPr>
          <w:p w14:paraId="769549D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908</w:t>
            </w:r>
          </w:p>
        </w:tc>
        <w:tc>
          <w:tcPr>
            <w:tcW w:w="1233" w:type="dxa"/>
            <w:noWrap/>
            <w:hideMark/>
          </w:tcPr>
          <w:p w14:paraId="583F8AD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864</w:t>
            </w:r>
          </w:p>
        </w:tc>
        <w:tc>
          <w:tcPr>
            <w:tcW w:w="1251" w:type="dxa"/>
            <w:noWrap/>
            <w:hideMark/>
          </w:tcPr>
          <w:p w14:paraId="18BE0EC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29</w:t>
            </w:r>
          </w:p>
        </w:tc>
        <w:tc>
          <w:tcPr>
            <w:tcW w:w="1506" w:type="dxa"/>
            <w:noWrap/>
            <w:hideMark/>
          </w:tcPr>
          <w:p w14:paraId="4E49DCB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12.8</w:t>
            </w:r>
          </w:p>
        </w:tc>
        <w:tc>
          <w:tcPr>
            <w:tcW w:w="1506" w:type="dxa"/>
            <w:noWrap/>
            <w:hideMark/>
          </w:tcPr>
          <w:p w14:paraId="02A5D61E"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15.6</w:t>
            </w:r>
          </w:p>
        </w:tc>
      </w:tr>
      <w:tr w:rsidR="00D73B41" w:rsidRPr="00D73B41" w14:paraId="23A98B90"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2A21CE40" w14:textId="77777777" w:rsidR="00D73B41" w:rsidRPr="00213588" w:rsidRDefault="00D73B41" w:rsidP="00213588">
            <w:pPr>
              <w:pStyle w:val="NoSpacing"/>
              <w:jc w:val="center"/>
              <w:rPr>
                <w:lang w:eastAsia="en-GB"/>
              </w:rPr>
            </w:pPr>
            <w:r w:rsidRPr="00213588">
              <w:rPr>
                <w:lang w:eastAsia="en-GB"/>
              </w:rPr>
              <w:t>2017/18</w:t>
            </w:r>
          </w:p>
        </w:tc>
        <w:tc>
          <w:tcPr>
            <w:tcW w:w="1233" w:type="dxa"/>
            <w:noWrap/>
            <w:hideMark/>
          </w:tcPr>
          <w:p w14:paraId="6DF2397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866</w:t>
            </w:r>
          </w:p>
        </w:tc>
        <w:tc>
          <w:tcPr>
            <w:tcW w:w="1233" w:type="dxa"/>
            <w:noWrap/>
            <w:hideMark/>
          </w:tcPr>
          <w:p w14:paraId="0092E69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739</w:t>
            </w:r>
          </w:p>
        </w:tc>
        <w:tc>
          <w:tcPr>
            <w:tcW w:w="1233" w:type="dxa"/>
            <w:noWrap/>
            <w:hideMark/>
          </w:tcPr>
          <w:p w14:paraId="1EA410D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704</w:t>
            </w:r>
          </w:p>
        </w:tc>
        <w:tc>
          <w:tcPr>
            <w:tcW w:w="1251" w:type="dxa"/>
            <w:noWrap/>
            <w:hideMark/>
          </w:tcPr>
          <w:p w14:paraId="1726922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41</w:t>
            </w:r>
          </w:p>
        </w:tc>
        <w:tc>
          <w:tcPr>
            <w:tcW w:w="1506" w:type="dxa"/>
            <w:noWrap/>
            <w:hideMark/>
          </w:tcPr>
          <w:p w14:paraId="3DC187D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c>
          <w:tcPr>
            <w:tcW w:w="1506" w:type="dxa"/>
            <w:noWrap/>
            <w:hideMark/>
          </w:tcPr>
          <w:p w14:paraId="4484547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w:t>
            </w:r>
            <w:r>
              <w:rPr>
                <w:rFonts w:ascii="Calibri" w:eastAsia="Times New Roman" w:hAnsi="Calibri" w:cs="Calibri"/>
                <w:color w:val="000000"/>
                <w:lang w:eastAsia="en-GB"/>
              </w:rPr>
              <w:t>.0</w:t>
            </w:r>
          </w:p>
        </w:tc>
      </w:tr>
      <w:tr w:rsidR="00D73B41" w:rsidRPr="00D73B41" w14:paraId="7B25F084"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3A5BD27A" w14:textId="77777777" w:rsidR="00D73B41" w:rsidRPr="00213588" w:rsidRDefault="00D73B41" w:rsidP="00213588">
            <w:pPr>
              <w:pStyle w:val="NoSpacing"/>
              <w:jc w:val="center"/>
              <w:rPr>
                <w:lang w:eastAsia="en-GB"/>
              </w:rPr>
            </w:pPr>
            <w:r w:rsidRPr="00213588">
              <w:rPr>
                <w:lang w:eastAsia="en-GB"/>
              </w:rPr>
              <w:t>2018/19</w:t>
            </w:r>
          </w:p>
        </w:tc>
        <w:tc>
          <w:tcPr>
            <w:tcW w:w="1233" w:type="dxa"/>
            <w:noWrap/>
            <w:hideMark/>
          </w:tcPr>
          <w:p w14:paraId="6FA670E1"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863</w:t>
            </w:r>
          </w:p>
        </w:tc>
        <w:tc>
          <w:tcPr>
            <w:tcW w:w="1233" w:type="dxa"/>
            <w:noWrap/>
            <w:hideMark/>
          </w:tcPr>
          <w:p w14:paraId="5F454A6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815</w:t>
            </w:r>
          </w:p>
        </w:tc>
        <w:tc>
          <w:tcPr>
            <w:tcW w:w="1233" w:type="dxa"/>
            <w:noWrap/>
            <w:hideMark/>
          </w:tcPr>
          <w:p w14:paraId="0044CD4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774</w:t>
            </w:r>
          </w:p>
        </w:tc>
        <w:tc>
          <w:tcPr>
            <w:tcW w:w="1251" w:type="dxa"/>
            <w:noWrap/>
            <w:hideMark/>
          </w:tcPr>
          <w:p w14:paraId="6A82FD0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43</w:t>
            </w:r>
          </w:p>
        </w:tc>
        <w:tc>
          <w:tcPr>
            <w:tcW w:w="1506" w:type="dxa"/>
            <w:noWrap/>
            <w:hideMark/>
          </w:tcPr>
          <w:p w14:paraId="3E32854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w:t>
            </w:r>
            <w:r>
              <w:rPr>
                <w:rFonts w:ascii="Calibri" w:eastAsia="Times New Roman" w:hAnsi="Calibri" w:cs="Calibri"/>
                <w:color w:val="000000"/>
                <w:lang w:eastAsia="en-GB"/>
              </w:rPr>
              <w:t>.0</w:t>
            </w:r>
          </w:p>
        </w:tc>
        <w:tc>
          <w:tcPr>
            <w:tcW w:w="1506" w:type="dxa"/>
            <w:noWrap/>
            <w:hideMark/>
          </w:tcPr>
          <w:p w14:paraId="333108A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14.4</w:t>
            </w:r>
          </w:p>
        </w:tc>
      </w:tr>
      <w:tr w:rsidR="00D73B41" w:rsidRPr="00D73B41" w14:paraId="55F3C989"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7988EFD6" w14:textId="77777777" w:rsidR="00D73B41" w:rsidRPr="00213588" w:rsidRDefault="00D73B41" w:rsidP="00213588">
            <w:pPr>
              <w:pStyle w:val="NoSpacing"/>
              <w:jc w:val="center"/>
              <w:rPr>
                <w:lang w:eastAsia="en-GB"/>
              </w:rPr>
            </w:pPr>
            <w:r w:rsidRPr="00213588">
              <w:rPr>
                <w:lang w:eastAsia="en-GB"/>
              </w:rPr>
              <w:t>2019/20</w:t>
            </w:r>
          </w:p>
        </w:tc>
        <w:tc>
          <w:tcPr>
            <w:tcW w:w="1233" w:type="dxa"/>
            <w:noWrap/>
            <w:hideMark/>
          </w:tcPr>
          <w:p w14:paraId="1565D690"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849</w:t>
            </w:r>
          </w:p>
        </w:tc>
        <w:tc>
          <w:tcPr>
            <w:tcW w:w="1233" w:type="dxa"/>
            <w:noWrap/>
            <w:hideMark/>
          </w:tcPr>
          <w:p w14:paraId="7EE5027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731</w:t>
            </w:r>
          </w:p>
        </w:tc>
        <w:tc>
          <w:tcPr>
            <w:tcW w:w="1233" w:type="dxa"/>
            <w:noWrap/>
            <w:hideMark/>
          </w:tcPr>
          <w:p w14:paraId="329D6DB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697</w:t>
            </w:r>
          </w:p>
        </w:tc>
        <w:tc>
          <w:tcPr>
            <w:tcW w:w="1251" w:type="dxa"/>
            <w:noWrap/>
            <w:hideMark/>
          </w:tcPr>
          <w:p w14:paraId="5C88076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55</w:t>
            </w:r>
          </w:p>
        </w:tc>
        <w:tc>
          <w:tcPr>
            <w:tcW w:w="1506" w:type="dxa"/>
            <w:noWrap/>
            <w:hideMark/>
          </w:tcPr>
          <w:p w14:paraId="69921F5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14.2</w:t>
            </w:r>
          </w:p>
        </w:tc>
        <w:tc>
          <w:tcPr>
            <w:tcW w:w="1506" w:type="dxa"/>
            <w:noWrap/>
            <w:hideMark/>
          </w:tcPr>
          <w:p w14:paraId="25CA1E2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r>
      <w:tr w:rsidR="00D73B41" w:rsidRPr="00D73B41" w14:paraId="030E660D"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048760EB" w14:textId="77777777" w:rsidR="00D73B41" w:rsidRPr="00213588" w:rsidRDefault="00D73B41" w:rsidP="00213588">
            <w:pPr>
              <w:pStyle w:val="NoSpacing"/>
              <w:jc w:val="center"/>
              <w:rPr>
                <w:lang w:eastAsia="en-GB"/>
              </w:rPr>
            </w:pPr>
            <w:r w:rsidRPr="00213588">
              <w:rPr>
                <w:lang w:eastAsia="en-GB"/>
              </w:rPr>
              <w:t>2020/21</w:t>
            </w:r>
          </w:p>
        </w:tc>
        <w:tc>
          <w:tcPr>
            <w:tcW w:w="1233" w:type="dxa"/>
            <w:noWrap/>
            <w:hideMark/>
          </w:tcPr>
          <w:p w14:paraId="589DCA2C"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946</w:t>
            </w:r>
          </w:p>
        </w:tc>
        <w:tc>
          <w:tcPr>
            <w:tcW w:w="1233" w:type="dxa"/>
            <w:noWrap/>
            <w:hideMark/>
          </w:tcPr>
          <w:p w14:paraId="3861D9A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661</w:t>
            </w:r>
          </w:p>
        </w:tc>
        <w:tc>
          <w:tcPr>
            <w:tcW w:w="1233" w:type="dxa"/>
            <w:noWrap/>
            <w:hideMark/>
          </w:tcPr>
          <w:p w14:paraId="1CE84D3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632</w:t>
            </w:r>
          </w:p>
        </w:tc>
        <w:tc>
          <w:tcPr>
            <w:tcW w:w="1251" w:type="dxa"/>
            <w:noWrap/>
            <w:hideMark/>
          </w:tcPr>
          <w:p w14:paraId="16E7E804"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58</w:t>
            </w:r>
          </w:p>
        </w:tc>
        <w:tc>
          <w:tcPr>
            <w:tcW w:w="1506" w:type="dxa"/>
            <w:noWrap/>
            <w:hideMark/>
          </w:tcPr>
          <w:p w14:paraId="59BCA68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26</w:t>
            </w:r>
            <w:r>
              <w:rPr>
                <w:rFonts w:ascii="Calibri" w:eastAsia="Times New Roman" w:hAnsi="Calibri" w:cs="Calibri"/>
                <w:color w:val="000000"/>
                <w:lang w:eastAsia="en-GB"/>
              </w:rPr>
              <w:t>.0</w:t>
            </w:r>
          </w:p>
        </w:tc>
        <w:tc>
          <w:tcPr>
            <w:tcW w:w="1506" w:type="dxa"/>
            <w:noWrap/>
            <w:hideMark/>
          </w:tcPr>
          <w:p w14:paraId="354DC1BE"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16.8</w:t>
            </w:r>
          </w:p>
        </w:tc>
      </w:tr>
      <w:tr w:rsidR="00235916" w:rsidRPr="00D73B41" w14:paraId="0A6F3B2E"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tcPr>
          <w:p w14:paraId="5A6DB3E6" w14:textId="77777777" w:rsidR="00235916" w:rsidRPr="00213588" w:rsidRDefault="00235916" w:rsidP="00213588">
            <w:pPr>
              <w:pStyle w:val="NoSpacing"/>
              <w:jc w:val="center"/>
              <w:rPr>
                <w:lang w:eastAsia="en-GB"/>
              </w:rPr>
            </w:pPr>
            <w:r w:rsidRPr="00213588">
              <w:rPr>
                <w:lang w:eastAsia="en-GB"/>
              </w:rPr>
              <w:t>2021/22</w:t>
            </w:r>
          </w:p>
        </w:tc>
        <w:tc>
          <w:tcPr>
            <w:tcW w:w="1233" w:type="dxa"/>
            <w:noWrap/>
          </w:tcPr>
          <w:p w14:paraId="3D9B5AB8"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867</w:t>
            </w:r>
          </w:p>
        </w:tc>
        <w:tc>
          <w:tcPr>
            <w:tcW w:w="1233" w:type="dxa"/>
            <w:noWrap/>
          </w:tcPr>
          <w:p w14:paraId="0BF41F5C"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951</w:t>
            </w:r>
          </w:p>
        </w:tc>
        <w:tc>
          <w:tcPr>
            <w:tcW w:w="1233" w:type="dxa"/>
            <w:noWrap/>
          </w:tcPr>
          <w:p w14:paraId="2F63D015"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888</w:t>
            </w:r>
          </w:p>
        </w:tc>
        <w:tc>
          <w:tcPr>
            <w:tcW w:w="1251" w:type="dxa"/>
            <w:noWrap/>
          </w:tcPr>
          <w:p w14:paraId="2332904B"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60</w:t>
            </w:r>
          </w:p>
        </w:tc>
        <w:tc>
          <w:tcPr>
            <w:tcW w:w="1506" w:type="dxa"/>
            <w:noWrap/>
          </w:tcPr>
          <w:p w14:paraId="65D65ED7"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506" w:type="dxa"/>
            <w:noWrap/>
          </w:tcPr>
          <w:p w14:paraId="6C0156E3"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r w:rsidR="00EA4322">
              <w:rPr>
                <w:rFonts w:ascii="Calibri" w:eastAsia="Times New Roman" w:hAnsi="Calibri" w:cs="Calibri"/>
                <w:color w:val="000000"/>
                <w:lang w:eastAsia="en-GB"/>
              </w:rPr>
              <w:t>.0</w:t>
            </w:r>
          </w:p>
        </w:tc>
      </w:tr>
      <w:tr w:rsidR="00C9157B" w:rsidRPr="00D73B41" w14:paraId="077CE31C"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683DF8CC" w14:textId="77777777" w:rsidR="00C9157B" w:rsidRPr="00213588" w:rsidRDefault="00C9157B" w:rsidP="00213588">
            <w:pPr>
              <w:pStyle w:val="NoSpacing"/>
              <w:jc w:val="center"/>
            </w:pPr>
            <w:r w:rsidRPr="00213588">
              <w:t>2022/23</w:t>
            </w:r>
          </w:p>
        </w:tc>
        <w:tc>
          <w:tcPr>
            <w:tcW w:w="1233" w:type="dxa"/>
            <w:noWrap/>
            <w:vAlign w:val="center"/>
          </w:tcPr>
          <w:p w14:paraId="2C7EA6F1"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706</w:t>
            </w:r>
          </w:p>
        </w:tc>
        <w:tc>
          <w:tcPr>
            <w:tcW w:w="1233" w:type="dxa"/>
            <w:noWrap/>
            <w:vAlign w:val="center"/>
          </w:tcPr>
          <w:p w14:paraId="11D7368F"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703</w:t>
            </w:r>
          </w:p>
        </w:tc>
        <w:tc>
          <w:tcPr>
            <w:tcW w:w="1233" w:type="dxa"/>
            <w:noWrap/>
            <w:vAlign w:val="center"/>
          </w:tcPr>
          <w:p w14:paraId="0854B89C"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651</w:t>
            </w:r>
          </w:p>
        </w:tc>
        <w:tc>
          <w:tcPr>
            <w:tcW w:w="1251" w:type="dxa"/>
            <w:noWrap/>
            <w:vAlign w:val="center"/>
          </w:tcPr>
          <w:p w14:paraId="353AF60A"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w:t>
            </w:r>
          </w:p>
        </w:tc>
        <w:tc>
          <w:tcPr>
            <w:tcW w:w="1506" w:type="dxa"/>
            <w:noWrap/>
            <w:vAlign w:val="center"/>
          </w:tcPr>
          <w:p w14:paraId="31FDAE68"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506" w:type="dxa"/>
            <w:noWrap/>
            <w:vAlign w:val="center"/>
          </w:tcPr>
          <w:p w14:paraId="6C189E46"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w:t>
            </w:r>
          </w:p>
        </w:tc>
      </w:tr>
      <w:tr w:rsidR="00213588" w:rsidRPr="00D73B41" w14:paraId="1F1E4DCC"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000A34E5" w14:textId="16002740" w:rsidR="00213588" w:rsidRPr="00213588" w:rsidRDefault="00213588" w:rsidP="00213588">
            <w:pPr>
              <w:pStyle w:val="NoSpacing"/>
              <w:jc w:val="center"/>
            </w:pPr>
            <w:r w:rsidRPr="00213588">
              <w:t>2023/24</w:t>
            </w:r>
          </w:p>
        </w:tc>
        <w:tc>
          <w:tcPr>
            <w:tcW w:w="1233" w:type="dxa"/>
            <w:noWrap/>
            <w:vAlign w:val="center"/>
          </w:tcPr>
          <w:p w14:paraId="229BE885" w14:textId="1EEE9054"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628</w:t>
            </w:r>
          </w:p>
        </w:tc>
        <w:tc>
          <w:tcPr>
            <w:tcW w:w="1233" w:type="dxa"/>
            <w:noWrap/>
            <w:vAlign w:val="center"/>
          </w:tcPr>
          <w:p w14:paraId="5233FA0D" w14:textId="4123A455"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723</w:t>
            </w:r>
          </w:p>
        </w:tc>
        <w:tc>
          <w:tcPr>
            <w:tcW w:w="1233" w:type="dxa"/>
            <w:noWrap/>
            <w:vAlign w:val="center"/>
          </w:tcPr>
          <w:p w14:paraId="2F0CB3FE" w14:textId="0F64251A"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666</w:t>
            </w:r>
          </w:p>
        </w:tc>
        <w:tc>
          <w:tcPr>
            <w:tcW w:w="1251" w:type="dxa"/>
            <w:noWrap/>
            <w:vAlign w:val="center"/>
          </w:tcPr>
          <w:p w14:paraId="1561E700" w14:textId="0FF01038"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506" w:type="dxa"/>
            <w:noWrap/>
            <w:vAlign w:val="center"/>
          </w:tcPr>
          <w:p w14:paraId="67E7A8AA" w14:textId="07AAE98C"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23.8</w:t>
            </w:r>
          </w:p>
        </w:tc>
        <w:tc>
          <w:tcPr>
            <w:tcW w:w="1506" w:type="dxa"/>
            <w:noWrap/>
            <w:vAlign w:val="center"/>
          </w:tcPr>
          <w:p w14:paraId="3D3E6E68" w14:textId="42CE51FD"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r>
      <w:tr w:rsidR="00371112" w:rsidRPr="00D73B41" w14:paraId="40ED4055"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48D81C6B" w14:textId="7BEC4964" w:rsidR="00371112" w:rsidRPr="00213588" w:rsidRDefault="00371112" w:rsidP="00371112">
            <w:pPr>
              <w:pStyle w:val="NoSpacing"/>
              <w:jc w:val="center"/>
            </w:pPr>
            <w:r w:rsidRPr="00371112">
              <w:t>2024/25</w:t>
            </w:r>
          </w:p>
        </w:tc>
        <w:tc>
          <w:tcPr>
            <w:tcW w:w="1233" w:type="dxa"/>
            <w:noWrap/>
            <w:vAlign w:val="center"/>
          </w:tcPr>
          <w:p w14:paraId="25C72245" w14:textId="32C86C8D"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633</w:t>
            </w:r>
          </w:p>
        </w:tc>
        <w:tc>
          <w:tcPr>
            <w:tcW w:w="1233" w:type="dxa"/>
            <w:noWrap/>
            <w:vAlign w:val="center"/>
          </w:tcPr>
          <w:p w14:paraId="637A6C08" w14:textId="4DF9345D"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593</w:t>
            </w:r>
          </w:p>
        </w:tc>
        <w:tc>
          <w:tcPr>
            <w:tcW w:w="1233" w:type="dxa"/>
            <w:noWrap/>
            <w:vAlign w:val="center"/>
          </w:tcPr>
          <w:p w14:paraId="6A8F6D3C" w14:textId="6C5AB723"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546</w:t>
            </w:r>
          </w:p>
        </w:tc>
        <w:tc>
          <w:tcPr>
            <w:tcW w:w="1251" w:type="dxa"/>
            <w:noWrap/>
            <w:vAlign w:val="center"/>
          </w:tcPr>
          <w:p w14:paraId="1B5E7A14" w14:textId="6F30B45F"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w:t>
            </w:r>
          </w:p>
        </w:tc>
        <w:tc>
          <w:tcPr>
            <w:tcW w:w="1506" w:type="dxa"/>
            <w:noWrap/>
            <w:vAlign w:val="center"/>
          </w:tcPr>
          <w:p w14:paraId="127E1E98" w14:textId="3A8487B0"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17.1</w:t>
            </w:r>
          </w:p>
        </w:tc>
        <w:tc>
          <w:tcPr>
            <w:tcW w:w="1506" w:type="dxa"/>
            <w:noWrap/>
            <w:vAlign w:val="center"/>
          </w:tcPr>
          <w:p w14:paraId="0B687215" w14:textId="0956496D" w:rsidR="00371112" w:rsidRDefault="00371112" w:rsidP="003711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17.4</w:t>
            </w:r>
          </w:p>
        </w:tc>
      </w:tr>
    </w:tbl>
    <w:p w14:paraId="5D21706D" w14:textId="21FD8E1B" w:rsidR="00725DCE" w:rsidRPr="00D73B41" w:rsidRDefault="005F140B" w:rsidP="001309E1">
      <w:r w:rsidRPr="00D73B41">
        <w:rPr>
          <w:i/>
          <w:sz w:val="20"/>
          <w:szCs w:val="20"/>
        </w:rPr>
        <w:t xml:space="preserve">Table 4: Residential planning applications in Armagh City, Banbridge and Craigavon Borough </w:t>
      </w:r>
      <w:r w:rsidR="00FF403E" w:rsidRPr="00D73B41">
        <w:rPr>
          <w:i/>
          <w:sz w:val="20"/>
          <w:szCs w:val="20"/>
        </w:rPr>
        <w:t xml:space="preserve">2015/16 to </w:t>
      </w:r>
      <w:r w:rsidR="00235916">
        <w:rPr>
          <w:i/>
          <w:sz w:val="20"/>
          <w:szCs w:val="20"/>
        </w:rPr>
        <w:t>202</w:t>
      </w:r>
      <w:r w:rsidR="00371112">
        <w:rPr>
          <w:i/>
          <w:sz w:val="20"/>
          <w:szCs w:val="20"/>
        </w:rPr>
        <w:t>4</w:t>
      </w:r>
      <w:r w:rsidR="00235916">
        <w:rPr>
          <w:i/>
          <w:sz w:val="20"/>
          <w:szCs w:val="20"/>
        </w:rPr>
        <w:t>/2</w:t>
      </w:r>
      <w:r w:rsidR="00371112">
        <w:rPr>
          <w:i/>
          <w:sz w:val="20"/>
          <w:szCs w:val="20"/>
        </w:rPr>
        <w:t>5</w:t>
      </w:r>
      <w:r w:rsidR="00725DCE" w:rsidRPr="00D73B41">
        <w:rPr>
          <w:i/>
          <w:sz w:val="20"/>
          <w:szCs w:val="20"/>
        </w:rPr>
        <w:t>. Source: Northern Irel</w:t>
      </w:r>
      <w:r w:rsidR="00A26F55" w:rsidRPr="00D73B41">
        <w:rPr>
          <w:i/>
          <w:sz w:val="20"/>
          <w:szCs w:val="20"/>
        </w:rPr>
        <w:t xml:space="preserve">and Planning Statistics, </w:t>
      </w:r>
      <w:r w:rsidR="00725DCE" w:rsidRPr="00D73B41">
        <w:rPr>
          <w:i/>
          <w:sz w:val="20"/>
          <w:szCs w:val="20"/>
        </w:rPr>
        <w:t>Department for Infrastructure.</w:t>
      </w:r>
    </w:p>
    <w:p w14:paraId="66E2FBD5" w14:textId="0DD78E31" w:rsidR="00725DCE" w:rsidRPr="00A874E9" w:rsidRDefault="00371112" w:rsidP="00725DCE">
      <w:pPr>
        <w:rPr>
          <w:i/>
          <w:color w:val="FF0000"/>
          <w:sz w:val="20"/>
          <w:szCs w:val="20"/>
        </w:rPr>
      </w:pPr>
      <w:r>
        <w:rPr>
          <w:noProof/>
        </w:rPr>
        <w:drawing>
          <wp:inline distT="0" distB="0" distL="0" distR="0" wp14:anchorId="46D79BD0" wp14:editId="2176B4C3">
            <wp:extent cx="5781675" cy="2948940"/>
            <wp:effectExtent l="0" t="0" r="9525" b="3810"/>
            <wp:docPr id="1083948380" name="Chart 1">
              <a:extLst xmlns:a="http://schemas.openxmlformats.org/drawingml/2006/main">
                <a:ext uri="{FF2B5EF4-FFF2-40B4-BE49-F238E27FC236}">
                  <a16:creationId xmlns:a16="http://schemas.microsoft.com/office/drawing/2014/main" id="{D2376BE5-24F8-119D-4AC0-A7FAA1953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F140B" w:rsidRPr="00A874E9">
        <w:rPr>
          <w:i/>
          <w:sz w:val="20"/>
          <w:szCs w:val="20"/>
        </w:rPr>
        <w:t xml:space="preserve">Figure 4: Residential planning applications in Armagh City, Banbridge and Craigavon Borough </w:t>
      </w:r>
      <w:r w:rsidR="00A26F55" w:rsidRPr="00A874E9">
        <w:rPr>
          <w:i/>
          <w:sz w:val="20"/>
          <w:szCs w:val="20"/>
        </w:rPr>
        <w:t xml:space="preserve">2015/16 to </w:t>
      </w:r>
      <w:r w:rsidR="008B0431">
        <w:rPr>
          <w:i/>
          <w:sz w:val="20"/>
          <w:szCs w:val="20"/>
        </w:rPr>
        <w:t>202</w:t>
      </w:r>
      <w:r>
        <w:rPr>
          <w:i/>
          <w:sz w:val="20"/>
          <w:szCs w:val="20"/>
        </w:rPr>
        <w:t>4</w:t>
      </w:r>
      <w:r w:rsidR="008B0431">
        <w:rPr>
          <w:i/>
          <w:sz w:val="20"/>
          <w:szCs w:val="20"/>
        </w:rPr>
        <w:t>/2</w:t>
      </w:r>
      <w:r>
        <w:rPr>
          <w:i/>
          <w:sz w:val="20"/>
          <w:szCs w:val="20"/>
        </w:rPr>
        <w:t>5</w:t>
      </w:r>
      <w:r w:rsidR="00725DCE" w:rsidRPr="00A874E9">
        <w:rPr>
          <w:i/>
          <w:sz w:val="20"/>
          <w:szCs w:val="20"/>
        </w:rPr>
        <w:t>. Source: Northern Irel</w:t>
      </w:r>
      <w:r w:rsidR="00A26F55" w:rsidRPr="00A874E9">
        <w:rPr>
          <w:i/>
          <w:sz w:val="20"/>
          <w:szCs w:val="20"/>
        </w:rPr>
        <w:t xml:space="preserve">and Planning Statistics, </w:t>
      </w:r>
      <w:r w:rsidR="00725DCE" w:rsidRPr="00A874E9">
        <w:rPr>
          <w:i/>
          <w:sz w:val="20"/>
          <w:szCs w:val="20"/>
        </w:rPr>
        <w:t>Department for Infrastructure.</w:t>
      </w:r>
    </w:p>
    <w:p w14:paraId="43BA705F" w14:textId="77777777" w:rsidR="00486360" w:rsidRPr="00B864F8" w:rsidRDefault="00B864F8" w:rsidP="00725DCE">
      <w:pPr>
        <w:rPr>
          <w:b/>
        </w:rPr>
      </w:pPr>
      <w:r>
        <w:rPr>
          <w:b/>
        </w:rPr>
        <w:t>Impact of Coronavirus (COVID-19) P</w:t>
      </w:r>
      <w:r w:rsidR="00486360" w:rsidRPr="00B864F8">
        <w:rPr>
          <w:b/>
        </w:rPr>
        <w:t>andemic</w:t>
      </w:r>
    </w:p>
    <w:p w14:paraId="6275D5A2" w14:textId="77777777" w:rsidR="00B864F8" w:rsidRPr="00B864F8" w:rsidRDefault="00A874E9" w:rsidP="00725DCE">
      <w:r>
        <w:t xml:space="preserve">Restrictions due to the coronavirus pandemic commenced on 12 March 2020 with the start of the delay phase, before lockdown was applied on 23 March 2020. Although lockdown was gradually eased from May 2020, certain restrictions remained in place over the summer. Varying levels of restrictions continued to be in place between September 2020 and March 2021. Planning activity and processing performance in 2020/21 were </w:t>
      </w:r>
      <w:r w:rsidR="00B864F8">
        <w:t xml:space="preserve">impacted by these restrictions </w:t>
      </w:r>
      <w:r>
        <w:t xml:space="preserve">and therefore caution should be taken when interpreting these figures and when making comparisons with other time </w:t>
      </w:r>
      <w:r w:rsidRPr="00B864F8">
        <w:t xml:space="preserve">periods. </w:t>
      </w:r>
    </w:p>
    <w:p w14:paraId="5D91A1FC" w14:textId="77777777" w:rsidR="00515BDA" w:rsidRPr="00B864F8" w:rsidRDefault="00515BDA" w:rsidP="00725DCE">
      <w:r w:rsidRPr="00B864F8">
        <w:t>Further information on planning statistics and details of the quarterly provisional results can be found via the following link:</w:t>
      </w:r>
    </w:p>
    <w:p w14:paraId="37001D3C" w14:textId="77777777" w:rsidR="00515BDA" w:rsidRPr="00B864F8" w:rsidRDefault="00515BDA" w:rsidP="00725DCE">
      <w:hyperlink r:id="rId11" w:history="1">
        <w:r w:rsidRPr="00B864F8">
          <w:rPr>
            <w:rStyle w:val="Hyperlink"/>
            <w:color w:val="auto"/>
          </w:rPr>
          <w:t>https://www.infrastructure-ni.gov.uk/articles/planning-activity-statistics</w:t>
        </w:r>
      </w:hyperlink>
    </w:p>
    <w:sectPr w:rsidR="00515BDA" w:rsidRPr="00B864F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8E9A" w14:textId="77777777" w:rsidR="00957DD8" w:rsidRDefault="00957DD8" w:rsidP="00957DD8">
      <w:pPr>
        <w:spacing w:after="0" w:line="240" w:lineRule="auto"/>
      </w:pPr>
      <w:r>
        <w:separator/>
      </w:r>
    </w:p>
  </w:endnote>
  <w:endnote w:type="continuationSeparator" w:id="0">
    <w:p w14:paraId="4C59837F" w14:textId="77777777" w:rsidR="00957DD8" w:rsidRDefault="00957DD8" w:rsidP="009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51629"/>
      <w:docPartObj>
        <w:docPartGallery w:val="Page Numbers (Bottom of Page)"/>
        <w:docPartUnique/>
      </w:docPartObj>
    </w:sdtPr>
    <w:sdtEndPr>
      <w:rPr>
        <w:noProof/>
      </w:rPr>
    </w:sdtEndPr>
    <w:sdtContent>
      <w:p w14:paraId="76A77AEE" w14:textId="77777777" w:rsidR="00957DD8" w:rsidRDefault="00957DD8">
        <w:pPr>
          <w:pStyle w:val="Footer"/>
          <w:jc w:val="right"/>
        </w:pPr>
        <w:r>
          <w:fldChar w:fldCharType="begin"/>
        </w:r>
        <w:r>
          <w:instrText xml:space="preserve"> PAGE   \* MERGEFORMAT </w:instrText>
        </w:r>
        <w:r>
          <w:fldChar w:fldCharType="separate"/>
        </w:r>
        <w:r w:rsidR="00652DC9">
          <w:rPr>
            <w:noProof/>
          </w:rPr>
          <w:t>4</w:t>
        </w:r>
        <w:r>
          <w:rPr>
            <w:noProof/>
          </w:rPr>
          <w:fldChar w:fldCharType="end"/>
        </w:r>
      </w:p>
    </w:sdtContent>
  </w:sdt>
  <w:p w14:paraId="1223E477" w14:textId="77777777" w:rsidR="00957DD8" w:rsidRDefault="0095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2075" w14:textId="77777777" w:rsidR="00957DD8" w:rsidRDefault="00957DD8" w:rsidP="00957DD8">
      <w:pPr>
        <w:spacing w:after="0" w:line="240" w:lineRule="auto"/>
      </w:pPr>
      <w:r>
        <w:separator/>
      </w:r>
    </w:p>
  </w:footnote>
  <w:footnote w:type="continuationSeparator" w:id="0">
    <w:p w14:paraId="1F8B2134" w14:textId="77777777" w:rsidR="00957DD8" w:rsidRDefault="00957DD8" w:rsidP="00957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2C"/>
    <w:rsid w:val="0004168B"/>
    <w:rsid w:val="001101C5"/>
    <w:rsid w:val="00112884"/>
    <w:rsid w:val="001260DA"/>
    <w:rsid w:val="001309E1"/>
    <w:rsid w:val="0017186B"/>
    <w:rsid w:val="001740FB"/>
    <w:rsid w:val="001B375B"/>
    <w:rsid w:val="00213588"/>
    <w:rsid w:val="002144CB"/>
    <w:rsid w:val="00235916"/>
    <w:rsid w:val="0024201B"/>
    <w:rsid w:val="002A2185"/>
    <w:rsid w:val="002D2D24"/>
    <w:rsid w:val="002D5D2C"/>
    <w:rsid w:val="003109E2"/>
    <w:rsid w:val="00371112"/>
    <w:rsid w:val="003729A0"/>
    <w:rsid w:val="003C76AA"/>
    <w:rsid w:val="003D7464"/>
    <w:rsid w:val="00420875"/>
    <w:rsid w:val="0044181B"/>
    <w:rsid w:val="00486360"/>
    <w:rsid w:val="004A3CCA"/>
    <w:rsid w:val="004B45F3"/>
    <w:rsid w:val="004E54C8"/>
    <w:rsid w:val="00515BDA"/>
    <w:rsid w:val="00515E1A"/>
    <w:rsid w:val="0055329C"/>
    <w:rsid w:val="00564D71"/>
    <w:rsid w:val="00565089"/>
    <w:rsid w:val="005C27D3"/>
    <w:rsid w:val="005F140B"/>
    <w:rsid w:val="005F1EBC"/>
    <w:rsid w:val="00612458"/>
    <w:rsid w:val="00634C91"/>
    <w:rsid w:val="00652DC9"/>
    <w:rsid w:val="006753B0"/>
    <w:rsid w:val="006F3392"/>
    <w:rsid w:val="00725DCE"/>
    <w:rsid w:val="0076114B"/>
    <w:rsid w:val="0077569B"/>
    <w:rsid w:val="007C0327"/>
    <w:rsid w:val="007E2DAA"/>
    <w:rsid w:val="007E5D7A"/>
    <w:rsid w:val="00850A52"/>
    <w:rsid w:val="0086008B"/>
    <w:rsid w:val="00895CB8"/>
    <w:rsid w:val="00896117"/>
    <w:rsid w:val="008A6A44"/>
    <w:rsid w:val="008B0431"/>
    <w:rsid w:val="008B319C"/>
    <w:rsid w:val="008D6178"/>
    <w:rsid w:val="00902BB0"/>
    <w:rsid w:val="00957DD8"/>
    <w:rsid w:val="009A7A4B"/>
    <w:rsid w:val="009A7DA7"/>
    <w:rsid w:val="009C1E32"/>
    <w:rsid w:val="009C6F92"/>
    <w:rsid w:val="009C7268"/>
    <w:rsid w:val="00A26F55"/>
    <w:rsid w:val="00A711B8"/>
    <w:rsid w:val="00A71AC0"/>
    <w:rsid w:val="00A858A6"/>
    <w:rsid w:val="00A874E9"/>
    <w:rsid w:val="00A91E23"/>
    <w:rsid w:val="00AC3341"/>
    <w:rsid w:val="00AF57CE"/>
    <w:rsid w:val="00B064A1"/>
    <w:rsid w:val="00B11DB9"/>
    <w:rsid w:val="00B3618C"/>
    <w:rsid w:val="00B656CA"/>
    <w:rsid w:val="00B864F8"/>
    <w:rsid w:val="00BB416A"/>
    <w:rsid w:val="00BC7627"/>
    <w:rsid w:val="00C13CF7"/>
    <w:rsid w:val="00C158BF"/>
    <w:rsid w:val="00C533FA"/>
    <w:rsid w:val="00C9157B"/>
    <w:rsid w:val="00CD167A"/>
    <w:rsid w:val="00CF6911"/>
    <w:rsid w:val="00D52E50"/>
    <w:rsid w:val="00D73B41"/>
    <w:rsid w:val="00DB770E"/>
    <w:rsid w:val="00DF57A2"/>
    <w:rsid w:val="00EA4322"/>
    <w:rsid w:val="00EB5E97"/>
    <w:rsid w:val="00EC1051"/>
    <w:rsid w:val="00F356E3"/>
    <w:rsid w:val="00F41E08"/>
    <w:rsid w:val="00F4728D"/>
    <w:rsid w:val="00F53A94"/>
    <w:rsid w:val="00F81432"/>
    <w:rsid w:val="00F81907"/>
    <w:rsid w:val="00FC1471"/>
    <w:rsid w:val="00FC4E01"/>
    <w:rsid w:val="00FF403E"/>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78C"/>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95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D8"/>
  </w:style>
  <w:style w:type="paragraph" w:styleId="Footer">
    <w:name w:val="footer"/>
    <w:basedOn w:val="Normal"/>
    <w:link w:val="FooterChar"/>
    <w:uiPriority w:val="99"/>
    <w:unhideWhenUsed/>
    <w:rsid w:val="0095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D8"/>
  </w:style>
  <w:style w:type="table" w:styleId="GridTable1Light">
    <w:name w:val="Grid Table 1 Light"/>
    <w:basedOn w:val="TableNormal"/>
    <w:uiPriority w:val="46"/>
    <w:rsid w:val="006F3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E5D7A"/>
    <w:rPr>
      <w:b/>
      <w:bCs/>
    </w:rPr>
  </w:style>
  <w:style w:type="paragraph" w:styleId="FootnoteText">
    <w:name w:val="footnote text"/>
    <w:basedOn w:val="Normal"/>
    <w:link w:val="FootnoteTextChar"/>
    <w:uiPriority w:val="99"/>
    <w:semiHidden/>
    <w:unhideWhenUsed/>
    <w:rsid w:val="007E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D7A"/>
    <w:rPr>
      <w:sz w:val="20"/>
      <w:szCs w:val="20"/>
    </w:rPr>
  </w:style>
  <w:style w:type="character" w:styleId="FootnoteReference">
    <w:name w:val="footnote reference"/>
    <w:basedOn w:val="DefaultParagraphFont"/>
    <w:uiPriority w:val="99"/>
    <w:semiHidden/>
    <w:unhideWhenUsed/>
    <w:rsid w:val="007E5D7A"/>
    <w:rPr>
      <w:vertAlign w:val="superscript"/>
    </w:rPr>
  </w:style>
  <w:style w:type="character" w:styleId="FollowedHyperlink">
    <w:name w:val="FollowedHyperlink"/>
    <w:basedOn w:val="DefaultParagraphFont"/>
    <w:uiPriority w:val="99"/>
    <w:semiHidden/>
    <w:unhideWhenUsed/>
    <w:rsid w:val="00B11DB9"/>
    <w:rPr>
      <w:color w:val="954F72" w:themeColor="followedHyperlink"/>
      <w:u w:val="single"/>
    </w:rPr>
  </w:style>
  <w:style w:type="paragraph" w:styleId="NoSpacing">
    <w:name w:val="No Spacing"/>
    <w:uiPriority w:val="1"/>
    <w:qFormat/>
    <w:rsid w:val="008B3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07494861">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362749501">
      <w:bodyDiv w:val="1"/>
      <w:marLeft w:val="0"/>
      <w:marRight w:val="0"/>
      <w:marTop w:val="0"/>
      <w:marBottom w:val="0"/>
      <w:divBdr>
        <w:top w:val="none" w:sz="0" w:space="0" w:color="auto"/>
        <w:left w:val="none" w:sz="0" w:space="0" w:color="auto"/>
        <w:bottom w:val="none" w:sz="0" w:space="0" w:color="auto"/>
        <w:right w:val="none" w:sz="0" w:space="0" w:color="auto"/>
      </w:divBdr>
    </w:div>
    <w:div w:id="437261316">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03642711">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15470834">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590193184">
      <w:bodyDiv w:val="1"/>
      <w:marLeft w:val="0"/>
      <w:marRight w:val="0"/>
      <w:marTop w:val="0"/>
      <w:marBottom w:val="0"/>
      <w:divBdr>
        <w:top w:val="none" w:sz="0" w:space="0" w:color="auto"/>
        <w:left w:val="none" w:sz="0" w:space="0" w:color="auto"/>
        <w:bottom w:val="none" w:sz="0" w:space="0" w:color="auto"/>
        <w:right w:val="none" w:sz="0" w:space="0" w:color="auto"/>
      </w:divBdr>
    </w:div>
    <w:div w:id="1605113658">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628051702">
      <w:bodyDiv w:val="1"/>
      <w:marLeft w:val="0"/>
      <w:marRight w:val="0"/>
      <w:marTop w:val="0"/>
      <w:marBottom w:val="0"/>
      <w:divBdr>
        <w:top w:val="none" w:sz="0" w:space="0" w:color="auto"/>
        <w:left w:val="none" w:sz="0" w:space="0" w:color="auto"/>
        <w:bottom w:val="none" w:sz="0" w:space="0" w:color="auto"/>
        <w:right w:val="none" w:sz="0" w:space="0" w:color="auto"/>
      </w:divBdr>
    </w:div>
    <w:div w:id="1922761004">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1955942379">
      <w:bodyDiv w:val="1"/>
      <w:marLeft w:val="0"/>
      <w:marRight w:val="0"/>
      <w:marTop w:val="0"/>
      <w:marBottom w:val="0"/>
      <w:divBdr>
        <w:top w:val="none" w:sz="0" w:space="0" w:color="auto"/>
        <w:left w:val="none" w:sz="0" w:space="0" w:color="auto"/>
        <w:bottom w:val="none" w:sz="0" w:space="0" w:color="auto"/>
        <w:right w:val="none" w:sz="0" w:space="0" w:color="auto"/>
      </w:divBdr>
    </w:div>
    <w:div w:id="198797105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 w:id="211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frastructure-ni.gov.uk/articles/planning-activity-statistics"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Updates\2025\Planning%20Applications\Planning%20updates%2024-2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Updates\2025\Planning%20Applications\Planning%20updates%2024-2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Updates\2025\Planning%20Applications\Planning%20updates%2024-2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Updates\2025\Planning%20Applications\Planning%20updates%2024-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All Applications</a:t>
            </a:r>
          </a:p>
        </c:rich>
      </c:tx>
      <c:layout>
        <c:manualLayout>
          <c:xMode val="edge"/>
          <c:yMode val="edge"/>
          <c:x val="1.254082930355355E-2"/>
          <c:y val="2.5806658678534745E-2"/>
        </c:manualLayout>
      </c:layout>
      <c:overlay val="0"/>
      <c:spPr>
        <a:noFill/>
        <a:ln w="25400">
          <a:noFill/>
        </a:ln>
      </c:spPr>
    </c:title>
    <c:autoTitleDeleted val="0"/>
    <c:plotArea>
      <c:layout>
        <c:manualLayout>
          <c:layoutTarget val="inner"/>
          <c:xMode val="edge"/>
          <c:yMode val="edge"/>
          <c:x val="8.5472117146459747E-2"/>
          <c:y val="0.1319870009285051"/>
          <c:w val="0.87571149941525817"/>
          <c:h val="0.68139151477931559"/>
        </c:manualLayout>
      </c:layout>
      <c:barChart>
        <c:barDir val="col"/>
        <c:grouping val="clustered"/>
        <c:varyColors val="0"/>
        <c:ser>
          <c:idx val="0"/>
          <c:order val="0"/>
          <c:tx>
            <c:strRef>
              <c:f>'All Apps'!$C$2</c:f>
              <c:strCache>
                <c:ptCount val="1"/>
                <c:pt idx="0">
                  <c:v>Received</c:v>
                </c:pt>
              </c:strCache>
            </c:strRef>
          </c:tx>
          <c:spPr>
            <a:solidFill>
              <a:srgbClr val="5B9BD5"/>
            </a:solidFill>
            <a:ln w="25400">
              <a:noFill/>
            </a:ln>
          </c:spPr>
          <c:invertIfNegative val="0"/>
          <c:cat>
            <c:strRef>
              <c:f>'All Apps'!$B$3:$B$12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'All Apps'!$C$3:$C$12</c:f>
              <c:numCache>
                <c:formatCode>#,##0</c:formatCode>
                <c:ptCount val="10"/>
                <c:pt idx="0">
                  <c:v>1251</c:v>
                </c:pt>
                <c:pt idx="1">
                  <c:v>1383</c:v>
                </c:pt>
                <c:pt idx="2">
                  <c:v>1331</c:v>
                </c:pt>
                <c:pt idx="3">
                  <c:v>1348</c:v>
                </c:pt>
                <c:pt idx="4">
                  <c:v>1263</c:v>
                </c:pt>
                <c:pt idx="5">
                  <c:v>1340</c:v>
                </c:pt>
                <c:pt idx="6">
                  <c:v>1310</c:v>
                </c:pt>
                <c:pt idx="7">
                  <c:v>1065</c:v>
                </c:pt>
                <c:pt idx="8">
                  <c:v>963</c:v>
                </c:pt>
                <c:pt idx="9">
                  <c:v>1011</c:v>
                </c:pt>
              </c:numCache>
            </c:numRef>
          </c:val>
          <c:extLst>
            <c:ext xmlns:c16="http://schemas.microsoft.com/office/drawing/2014/chart" uri="{C3380CC4-5D6E-409C-BE32-E72D297353CC}">
              <c16:uniqueId val="{00000000-E5EF-4D60-9AEA-A18C9A37806F}"/>
            </c:ext>
          </c:extLst>
        </c:ser>
        <c:ser>
          <c:idx val="1"/>
          <c:order val="1"/>
          <c:tx>
            <c:strRef>
              <c:f>'All Apps'!$D$2</c:f>
              <c:strCache>
                <c:ptCount val="1"/>
                <c:pt idx="0">
                  <c:v>Decided</c:v>
                </c:pt>
              </c:strCache>
            </c:strRef>
          </c:tx>
          <c:spPr>
            <a:solidFill>
              <a:srgbClr val="ED7D31"/>
            </a:solidFill>
            <a:ln w="25400">
              <a:noFill/>
            </a:ln>
          </c:spPr>
          <c:invertIfNegative val="0"/>
          <c:cat>
            <c:strRef>
              <c:f>'All Apps'!$B$3:$B$12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'All Apps'!$D$3:$D$12</c:f>
              <c:numCache>
                <c:formatCode>#,##0</c:formatCode>
                <c:ptCount val="10"/>
                <c:pt idx="0">
                  <c:v>1215</c:v>
                </c:pt>
                <c:pt idx="1">
                  <c:v>1423</c:v>
                </c:pt>
                <c:pt idx="2">
                  <c:v>1123</c:v>
                </c:pt>
                <c:pt idx="3">
                  <c:v>1244</c:v>
                </c:pt>
                <c:pt idx="4">
                  <c:v>1132</c:v>
                </c:pt>
                <c:pt idx="5">
                  <c:v>926</c:v>
                </c:pt>
                <c:pt idx="6">
                  <c:v>1374</c:v>
                </c:pt>
                <c:pt idx="7">
                  <c:v>1041</c:v>
                </c:pt>
                <c:pt idx="8">
                  <c:v>1086</c:v>
                </c:pt>
                <c:pt idx="9">
                  <c:v>927</c:v>
                </c:pt>
              </c:numCache>
            </c:numRef>
          </c:val>
          <c:extLst>
            <c:ext xmlns:c16="http://schemas.microsoft.com/office/drawing/2014/chart" uri="{C3380CC4-5D6E-409C-BE32-E72D297353CC}">
              <c16:uniqueId val="{00000001-E5EF-4D60-9AEA-A18C9A37806F}"/>
            </c:ext>
          </c:extLst>
        </c:ser>
        <c:ser>
          <c:idx val="2"/>
          <c:order val="2"/>
          <c:tx>
            <c:strRef>
              <c:f>'All Apps'!$E$2</c:f>
              <c:strCache>
                <c:ptCount val="1"/>
                <c:pt idx="0">
                  <c:v>Approved</c:v>
                </c:pt>
              </c:strCache>
            </c:strRef>
          </c:tx>
          <c:spPr>
            <a:solidFill>
              <a:srgbClr val="A5A5A5"/>
            </a:solidFill>
            <a:ln w="25400">
              <a:noFill/>
            </a:ln>
          </c:spPr>
          <c:invertIfNegative val="0"/>
          <c:cat>
            <c:strRef>
              <c:f>'All Apps'!$B$3:$B$12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'All Apps'!$E$3:$E$12</c:f>
              <c:numCache>
                <c:formatCode>#,##0</c:formatCode>
                <c:ptCount val="10"/>
                <c:pt idx="0">
                  <c:v>1148</c:v>
                </c:pt>
                <c:pt idx="1">
                  <c:v>1358</c:v>
                </c:pt>
                <c:pt idx="2">
                  <c:v>1076</c:v>
                </c:pt>
                <c:pt idx="3">
                  <c:v>1189</c:v>
                </c:pt>
                <c:pt idx="4">
                  <c:v>1081</c:v>
                </c:pt>
                <c:pt idx="5">
                  <c:v>885</c:v>
                </c:pt>
                <c:pt idx="6">
                  <c:v>1289</c:v>
                </c:pt>
                <c:pt idx="7">
                  <c:v>971</c:v>
                </c:pt>
                <c:pt idx="8">
                  <c:v>1005</c:v>
                </c:pt>
                <c:pt idx="9">
                  <c:v>861</c:v>
                </c:pt>
              </c:numCache>
            </c:numRef>
          </c:val>
          <c:extLst>
            <c:ext xmlns:c16="http://schemas.microsoft.com/office/drawing/2014/chart" uri="{C3380CC4-5D6E-409C-BE32-E72D297353CC}">
              <c16:uniqueId val="{00000002-E5EF-4D60-9AEA-A18C9A37806F}"/>
            </c:ext>
          </c:extLst>
        </c:ser>
        <c:ser>
          <c:idx val="3"/>
          <c:order val="3"/>
          <c:tx>
            <c:strRef>
              <c:f>'All Apps'!$F$2</c:f>
              <c:strCache>
                <c:ptCount val="1"/>
                <c:pt idx="0">
                  <c:v>Withdrawn</c:v>
                </c:pt>
              </c:strCache>
            </c:strRef>
          </c:tx>
          <c:spPr>
            <a:solidFill>
              <a:srgbClr val="FFC000"/>
            </a:solidFill>
            <a:ln w="25400">
              <a:noFill/>
            </a:ln>
          </c:spPr>
          <c:invertIfNegative val="0"/>
          <c:cat>
            <c:strRef>
              <c:f>'All Apps'!$B$3:$B$12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'All Apps'!$F$3:$F$12</c:f>
              <c:numCache>
                <c:formatCode>General</c:formatCode>
                <c:ptCount val="10"/>
                <c:pt idx="0">
                  <c:v>32</c:v>
                </c:pt>
                <c:pt idx="1">
                  <c:v>58</c:v>
                </c:pt>
                <c:pt idx="2">
                  <c:v>71</c:v>
                </c:pt>
                <c:pt idx="3">
                  <c:v>78</c:v>
                </c:pt>
                <c:pt idx="4">
                  <c:v>80</c:v>
                </c:pt>
                <c:pt idx="5">
                  <c:v>80</c:v>
                </c:pt>
                <c:pt idx="6">
                  <c:v>79</c:v>
                </c:pt>
                <c:pt idx="7">
                  <c:v>72</c:v>
                </c:pt>
                <c:pt idx="8">
                  <c:v>42</c:v>
                </c:pt>
                <c:pt idx="9">
                  <c:v>74</c:v>
                </c:pt>
              </c:numCache>
            </c:numRef>
          </c:val>
          <c:extLst>
            <c:ext xmlns:c16="http://schemas.microsoft.com/office/drawing/2014/chart" uri="{C3380CC4-5D6E-409C-BE32-E72D297353CC}">
              <c16:uniqueId val="{00000003-E5EF-4D60-9AEA-A18C9A37806F}"/>
            </c:ext>
          </c:extLst>
        </c:ser>
        <c:dLbls>
          <c:showLegendKey val="0"/>
          <c:showVal val="0"/>
          <c:showCatName val="0"/>
          <c:showSerName val="0"/>
          <c:showPercent val="0"/>
          <c:showBubbleSize val="0"/>
        </c:dLbls>
        <c:gapWidth val="219"/>
        <c:overlap val="-27"/>
        <c:axId val="210302223"/>
        <c:axId val="1"/>
      </c:barChart>
      <c:catAx>
        <c:axId val="21030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02223"/>
        <c:crosses val="autoZero"/>
        <c:crossBetween val="between"/>
      </c:valAx>
      <c:spPr>
        <a:noFill/>
        <a:ln w="25400">
          <a:noFill/>
        </a:ln>
      </c:spPr>
    </c:plotArea>
    <c:legend>
      <c:legendPos val="r"/>
      <c:layout>
        <c:manualLayout>
          <c:xMode val="edge"/>
          <c:yMode val="edge"/>
          <c:x val="6.0082043607443521E-2"/>
          <c:y val="0.91711635633053223"/>
          <c:w val="0.89388614236060537"/>
          <c:h val="5.527834359538291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Major</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1.0466402803372982E-2"/>
          <c:y val="2.3148277351407023E-2"/>
        </c:manualLayout>
      </c:layout>
      <c:overlay val="0"/>
      <c:spPr>
        <a:noFill/>
        <a:ln w="25400">
          <a:noFill/>
        </a:ln>
      </c:spPr>
    </c:title>
    <c:autoTitleDeleted val="0"/>
    <c:plotArea>
      <c:layout>
        <c:manualLayout>
          <c:layoutTarget val="inner"/>
          <c:xMode val="edge"/>
          <c:yMode val="edge"/>
          <c:x val="5.3193816818170696E-2"/>
          <c:y val="0.14739858906525574"/>
          <c:w val="0.91563287445261088"/>
          <c:h val="0.66654202946853869"/>
        </c:manualLayout>
      </c:layout>
      <c:barChart>
        <c:barDir val="col"/>
        <c:grouping val="clustered"/>
        <c:varyColors val="0"/>
        <c:ser>
          <c:idx val="0"/>
          <c:order val="0"/>
          <c:tx>
            <c:strRef>
              <c:f>'Major Dev'!$C$2</c:f>
              <c:strCache>
                <c:ptCount val="1"/>
                <c:pt idx="0">
                  <c:v>Received</c:v>
                </c:pt>
              </c:strCache>
            </c:strRef>
          </c:tx>
          <c:spPr>
            <a:solidFill>
              <a:srgbClr val="5B9BD5"/>
            </a:solidFill>
            <a:ln w="25400">
              <a:noFill/>
            </a:ln>
          </c:spPr>
          <c:invertIfNegative val="0"/>
          <c:cat>
            <c:strRef>
              <c:f>'Major Dev'!$B$3:$B$12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'Major Dev'!$C$3:$C$12</c:f>
              <c:numCache>
                <c:formatCode>General</c:formatCode>
                <c:ptCount val="10"/>
                <c:pt idx="0">
                  <c:v>13</c:v>
                </c:pt>
                <c:pt idx="1">
                  <c:v>13</c:v>
                </c:pt>
                <c:pt idx="2">
                  <c:v>11</c:v>
                </c:pt>
                <c:pt idx="3">
                  <c:v>13</c:v>
                </c:pt>
                <c:pt idx="4">
                  <c:v>19</c:v>
                </c:pt>
                <c:pt idx="5">
                  <c:v>10</c:v>
                </c:pt>
                <c:pt idx="6">
                  <c:v>17</c:v>
                </c:pt>
                <c:pt idx="7">
                  <c:v>12</c:v>
                </c:pt>
                <c:pt idx="8">
                  <c:v>15</c:v>
                </c:pt>
                <c:pt idx="9">
                  <c:v>19</c:v>
                </c:pt>
              </c:numCache>
            </c:numRef>
          </c:val>
          <c:extLst>
            <c:ext xmlns:c16="http://schemas.microsoft.com/office/drawing/2014/chart" uri="{C3380CC4-5D6E-409C-BE32-E72D297353CC}">
              <c16:uniqueId val="{00000000-9EDE-4A24-804A-1F5AE71AB541}"/>
            </c:ext>
          </c:extLst>
        </c:ser>
        <c:ser>
          <c:idx val="1"/>
          <c:order val="1"/>
          <c:tx>
            <c:strRef>
              <c:f>'Major Dev'!$D$2</c:f>
              <c:strCache>
                <c:ptCount val="1"/>
                <c:pt idx="0">
                  <c:v>Decided</c:v>
                </c:pt>
              </c:strCache>
            </c:strRef>
          </c:tx>
          <c:spPr>
            <a:solidFill>
              <a:srgbClr val="ED7D31"/>
            </a:solidFill>
            <a:ln w="25400">
              <a:noFill/>
            </a:ln>
          </c:spPr>
          <c:invertIfNegative val="0"/>
          <c:cat>
            <c:strRef>
              <c:f>'Major Dev'!$B$3:$B$12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'Major Dev'!$D$3:$D$12</c:f>
              <c:numCache>
                <c:formatCode>General</c:formatCode>
                <c:ptCount val="10"/>
                <c:pt idx="0">
                  <c:v>13</c:v>
                </c:pt>
                <c:pt idx="1">
                  <c:v>17</c:v>
                </c:pt>
                <c:pt idx="2">
                  <c:v>15</c:v>
                </c:pt>
                <c:pt idx="3">
                  <c:v>8</c:v>
                </c:pt>
                <c:pt idx="4">
                  <c:v>12</c:v>
                </c:pt>
                <c:pt idx="5">
                  <c:v>15</c:v>
                </c:pt>
                <c:pt idx="6">
                  <c:v>13</c:v>
                </c:pt>
                <c:pt idx="7">
                  <c:v>15</c:v>
                </c:pt>
                <c:pt idx="8">
                  <c:v>11</c:v>
                </c:pt>
                <c:pt idx="9">
                  <c:v>14</c:v>
                </c:pt>
              </c:numCache>
            </c:numRef>
          </c:val>
          <c:extLst>
            <c:ext xmlns:c16="http://schemas.microsoft.com/office/drawing/2014/chart" uri="{C3380CC4-5D6E-409C-BE32-E72D297353CC}">
              <c16:uniqueId val="{00000001-9EDE-4A24-804A-1F5AE71AB541}"/>
            </c:ext>
          </c:extLst>
        </c:ser>
        <c:ser>
          <c:idx val="2"/>
          <c:order val="2"/>
          <c:tx>
            <c:strRef>
              <c:f>'Major Dev'!$E$2</c:f>
              <c:strCache>
                <c:ptCount val="1"/>
                <c:pt idx="0">
                  <c:v>Approved</c:v>
                </c:pt>
              </c:strCache>
            </c:strRef>
          </c:tx>
          <c:spPr>
            <a:solidFill>
              <a:srgbClr val="A5A5A5"/>
            </a:solidFill>
            <a:ln w="25400">
              <a:noFill/>
            </a:ln>
          </c:spPr>
          <c:invertIfNegative val="0"/>
          <c:cat>
            <c:strRef>
              <c:f>'Major Dev'!$B$3:$B$12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'Major Dev'!$E$3:$E$12</c:f>
              <c:numCache>
                <c:formatCode>General</c:formatCode>
                <c:ptCount val="10"/>
                <c:pt idx="0">
                  <c:v>13</c:v>
                </c:pt>
                <c:pt idx="1">
                  <c:v>17</c:v>
                </c:pt>
                <c:pt idx="2">
                  <c:v>15</c:v>
                </c:pt>
                <c:pt idx="3">
                  <c:v>8</c:v>
                </c:pt>
                <c:pt idx="4">
                  <c:v>12</c:v>
                </c:pt>
                <c:pt idx="5">
                  <c:v>15</c:v>
                </c:pt>
                <c:pt idx="6">
                  <c:v>13</c:v>
                </c:pt>
                <c:pt idx="7">
                  <c:v>15</c:v>
                </c:pt>
                <c:pt idx="8">
                  <c:v>11</c:v>
                </c:pt>
                <c:pt idx="9">
                  <c:v>14</c:v>
                </c:pt>
              </c:numCache>
            </c:numRef>
          </c:val>
          <c:extLst>
            <c:ext xmlns:c16="http://schemas.microsoft.com/office/drawing/2014/chart" uri="{C3380CC4-5D6E-409C-BE32-E72D297353CC}">
              <c16:uniqueId val="{00000002-9EDE-4A24-804A-1F5AE71AB541}"/>
            </c:ext>
          </c:extLst>
        </c:ser>
        <c:ser>
          <c:idx val="3"/>
          <c:order val="3"/>
          <c:tx>
            <c:strRef>
              <c:f>'Major Dev'!$F$2</c:f>
              <c:strCache>
                <c:ptCount val="1"/>
                <c:pt idx="0">
                  <c:v>Withdrawn</c:v>
                </c:pt>
              </c:strCache>
            </c:strRef>
          </c:tx>
          <c:spPr>
            <a:solidFill>
              <a:srgbClr val="FFC000"/>
            </a:solidFill>
            <a:ln w="25400">
              <a:noFill/>
            </a:ln>
          </c:spPr>
          <c:invertIfNegative val="0"/>
          <c:cat>
            <c:strRef>
              <c:f>'Major Dev'!$B$3:$B$12</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'Major Dev'!$F$3:$F$12</c:f>
              <c:numCache>
                <c:formatCode>General</c:formatCode>
                <c:ptCount val="10"/>
                <c:pt idx="0">
                  <c:v>0</c:v>
                </c:pt>
                <c:pt idx="1">
                  <c:v>1</c:v>
                </c:pt>
                <c:pt idx="2">
                  <c:v>0</c:v>
                </c:pt>
                <c:pt idx="3">
                  <c:v>1</c:v>
                </c:pt>
                <c:pt idx="4">
                  <c:v>2</c:v>
                </c:pt>
                <c:pt idx="5">
                  <c:v>0</c:v>
                </c:pt>
                <c:pt idx="6">
                  <c:v>0</c:v>
                </c:pt>
                <c:pt idx="7">
                  <c:v>2</c:v>
                </c:pt>
                <c:pt idx="8">
                  <c:v>0</c:v>
                </c:pt>
                <c:pt idx="9">
                  <c:v>5</c:v>
                </c:pt>
              </c:numCache>
            </c:numRef>
          </c:val>
          <c:extLst>
            <c:ext xmlns:c16="http://schemas.microsoft.com/office/drawing/2014/chart" uri="{C3380CC4-5D6E-409C-BE32-E72D297353CC}">
              <c16:uniqueId val="{00000003-9EDE-4A24-804A-1F5AE71AB541}"/>
            </c:ext>
          </c:extLst>
        </c:ser>
        <c:dLbls>
          <c:showLegendKey val="0"/>
          <c:showVal val="0"/>
          <c:showCatName val="0"/>
          <c:showSerName val="0"/>
          <c:showPercent val="0"/>
          <c:showBubbleSize val="0"/>
        </c:dLbls>
        <c:gapWidth val="219"/>
        <c:overlap val="-27"/>
        <c:axId val="661869615"/>
        <c:axId val="1"/>
      </c:barChart>
      <c:catAx>
        <c:axId val="66186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869615"/>
        <c:crosses val="autoZero"/>
        <c:crossBetween val="between"/>
      </c:valAx>
      <c:spPr>
        <a:noFill/>
        <a:ln w="25400">
          <a:noFill/>
        </a:ln>
      </c:spPr>
    </c:plotArea>
    <c:legend>
      <c:legendPos val="r"/>
      <c:layout>
        <c:manualLayout>
          <c:xMode val="edge"/>
          <c:yMode val="edge"/>
          <c:x val="6.4584295653357104E-2"/>
          <c:y val="0.91328095033027645"/>
          <c:w val="0.88496023604143614"/>
          <c:h val="6.265251902001896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Local</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8.3099683014400648E-3"/>
          <c:y val="1.8518700787401577E-2"/>
        </c:manualLayout>
      </c:layout>
      <c:overlay val="0"/>
      <c:spPr>
        <a:noFill/>
        <a:ln w="25400">
          <a:noFill/>
        </a:ln>
      </c:spPr>
    </c:title>
    <c:autoTitleDeleted val="0"/>
    <c:plotArea>
      <c:layout>
        <c:manualLayout>
          <c:layoutTarget val="inner"/>
          <c:xMode val="edge"/>
          <c:yMode val="edge"/>
          <c:x val="8.1905825749528177E-2"/>
          <c:y val="0.15650749063670413"/>
          <c:w val="0.8808599071743598"/>
          <c:h val="0.65061672417352323"/>
        </c:manualLayout>
      </c:layout>
      <c:barChart>
        <c:barDir val="col"/>
        <c:grouping val="clustered"/>
        <c:varyColors val="0"/>
        <c:ser>
          <c:idx val="0"/>
          <c:order val="0"/>
          <c:tx>
            <c:strRef>
              <c:f>'Local Dev'!$C$3</c:f>
              <c:strCache>
                <c:ptCount val="1"/>
                <c:pt idx="0">
                  <c:v>Received</c:v>
                </c:pt>
              </c:strCache>
            </c:strRef>
          </c:tx>
          <c:spPr>
            <a:solidFill>
              <a:srgbClr val="5B9BD5"/>
            </a:solidFill>
            <a:ln w="25400">
              <a:noFill/>
            </a:ln>
          </c:spPr>
          <c:invertIfNegative val="0"/>
          <c:cat>
            <c:strRef>
              <c:f>'Local Dev'!$B$4:$B$13</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'Local Dev'!$C$4:$C$13</c:f>
              <c:numCache>
                <c:formatCode>#,##0</c:formatCode>
                <c:ptCount val="10"/>
                <c:pt idx="0">
                  <c:v>1238</c:v>
                </c:pt>
                <c:pt idx="1">
                  <c:v>1370</c:v>
                </c:pt>
                <c:pt idx="2">
                  <c:v>1320</c:v>
                </c:pt>
                <c:pt idx="3">
                  <c:v>1335</c:v>
                </c:pt>
                <c:pt idx="4">
                  <c:v>1244</c:v>
                </c:pt>
                <c:pt idx="5">
                  <c:v>1330</c:v>
                </c:pt>
                <c:pt idx="6">
                  <c:v>1293</c:v>
                </c:pt>
                <c:pt idx="7">
                  <c:v>1053</c:v>
                </c:pt>
                <c:pt idx="8">
                  <c:v>948</c:v>
                </c:pt>
                <c:pt idx="9">
                  <c:v>992</c:v>
                </c:pt>
              </c:numCache>
            </c:numRef>
          </c:val>
          <c:extLst>
            <c:ext xmlns:c16="http://schemas.microsoft.com/office/drawing/2014/chart" uri="{C3380CC4-5D6E-409C-BE32-E72D297353CC}">
              <c16:uniqueId val="{00000000-E758-4FAB-8CBB-425B9185D575}"/>
            </c:ext>
          </c:extLst>
        </c:ser>
        <c:ser>
          <c:idx val="1"/>
          <c:order val="1"/>
          <c:tx>
            <c:strRef>
              <c:f>'Local Dev'!$D$3</c:f>
              <c:strCache>
                <c:ptCount val="1"/>
                <c:pt idx="0">
                  <c:v>Decided</c:v>
                </c:pt>
              </c:strCache>
            </c:strRef>
          </c:tx>
          <c:spPr>
            <a:solidFill>
              <a:srgbClr val="ED7D31"/>
            </a:solidFill>
            <a:ln w="25400">
              <a:noFill/>
            </a:ln>
          </c:spPr>
          <c:invertIfNegative val="0"/>
          <c:cat>
            <c:strRef>
              <c:f>'Local Dev'!$B$4:$B$13</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'Local Dev'!$D$4:$D$13</c:f>
              <c:numCache>
                <c:formatCode>#,##0</c:formatCode>
                <c:ptCount val="10"/>
                <c:pt idx="0">
                  <c:v>1202</c:v>
                </c:pt>
                <c:pt idx="1">
                  <c:v>1406</c:v>
                </c:pt>
                <c:pt idx="2">
                  <c:v>1108</c:v>
                </c:pt>
                <c:pt idx="3">
                  <c:v>1236</c:v>
                </c:pt>
                <c:pt idx="4">
                  <c:v>1120</c:v>
                </c:pt>
                <c:pt idx="5">
                  <c:v>911</c:v>
                </c:pt>
                <c:pt idx="6">
                  <c:v>1361</c:v>
                </c:pt>
                <c:pt idx="7">
                  <c:v>1026</c:v>
                </c:pt>
                <c:pt idx="8">
                  <c:v>1075</c:v>
                </c:pt>
                <c:pt idx="9">
                  <c:v>913</c:v>
                </c:pt>
              </c:numCache>
            </c:numRef>
          </c:val>
          <c:extLst>
            <c:ext xmlns:c16="http://schemas.microsoft.com/office/drawing/2014/chart" uri="{C3380CC4-5D6E-409C-BE32-E72D297353CC}">
              <c16:uniqueId val="{00000001-E758-4FAB-8CBB-425B9185D575}"/>
            </c:ext>
          </c:extLst>
        </c:ser>
        <c:ser>
          <c:idx val="2"/>
          <c:order val="2"/>
          <c:tx>
            <c:strRef>
              <c:f>'Local Dev'!$E$3</c:f>
              <c:strCache>
                <c:ptCount val="1"/>
                <c:pt idx="0">
                  <c:v>Approved</c:v>
                </c:pt>
              </c:strCache>
            </c:strRef>
          </c:tx>
          <c:spPr>
            <a:solidFill>
              <a:srgbClr val="A5A5A5"/>
            </a:solidFill>
            <a:ln w="25400">
              <a:noFill/>
            </a:ln>
          </c:spPr>
          <c:invertIfNegative val="0"/>
          <c:cat>
            <c:strRef>
              <c:f>'Local Dev'!$B$4:$B$13</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'Local Dev'!$E$4:$E$13</c:f>
              <c:numCache>
                <c:formatCode>#,##0</c:formatCode>
                <c:ptCount val="10"/>
                <c:pt idx="0">
                  <c:v>1135</c:v>
                </c:pt>
                <c:pt idx="1">
                  <c:v>1341</c:v>
                </c:pt>
                <c:pt idx="2">
                  <c:v>1061</c:v>
                </c:pt>
                <c:pt idx="3">
                  <c:v>1181</c:v>
                </c:pt>
                <c:pt idx="4">
                  <c:v>1069</c:v>
                </c:pt>
                <c:pt idx="5">
                  <c:v>870</c:v>
                </c:pt>
                <c:pt idx="6">
                  <c:v>1276</c:v>
                </c:pt>
                <c:pt idx="7">
                  <c:v>956</c:v>
                </c:pt>
                <c:pt idx="8">
                  <c:v>994</c:v>
                </c:pt>
                <c:pt idx="9">
                  <c:v>847</c:v>
                </c:pt>
              </c:numCache>
            </c:numRef>
          </c:val>
          <c:extLst>
            <c:ext xmlns:c16="http://schemas.microsoft.com/office/drawing/2014/chart" uri="{C3380CC4-5D6E-409C-BE32-E72D297353CC}">
              <c16:uniqueId val="{00000002-E758-4FAB-8CBB-425B9185D575}"/>
            </c:ext>
          </c:extLst>
        </c:ser>
        <c:ser>
          <c:idx val="3"/>
          <c:order val="3"/>
          <c:tx>
            <c:strRef>
              <c:f>'Local Dev'!$F$3</c:f>
              <c:strCache>
                <c:ptCount val="1"/>
                <c:pt idx="0">
                  <c:v>Withdrawn</c:v>
                </c:pt>
              </c:strCache>
            </c:strRef>
          </c:tx>
          <c:spPr>
            <a:solidFill>
              <a:srgbClr val="FFC000"/>
            </a:solidFill>
            <a:ln w="25400">
              <a:noFill/>
            </a:ln>
          </c:spPr>
          <c:invertIfNegative val="0"/>
          <c:cat>
            <c:strRef>
              <c:f>'Local Dev'!$B$4:$B$13</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'Local Dev'!$F$4:$F$13</c:f>
              <c:numCache>
                <c:formatCode>General</c:formatCode>
                <c:ptCount val="10"/>
                <c:pt idx="0">
                  <c:v>32</c:v>
                </c:pt>
                <c:pt idx="1">
                  <c:v>57</c:v>
                </c:pt>
                <c:pt idx="2">
                  <c:v>71</c:v>
                </c:pt>
                <c:pt idx="3">
                  <c:v>77</c:v>
                </c:pt>
                <c:pt idx="4">
                  <c:v>78</c:v>
                </c:pt>
                <c:pt idx="5">
                  <c:v>80</c:v>
                </c:pt>
                <c:pt idx="6">
                  <c:v>79</c:v>
                </c:pt>
                <c:pt idx="7">
                  <c:v>70</c:v>
                </c:pt>
                <c:pt idx="8">
                  <c:v>42</c:v>
                </c:pt>
                <c:pt idx="9">
                  <c:v>69</c:v>
                </c:pt>
              </c:numCache>
            </c:numRef>
          </c:val>
          <c:extLst>
            <c:ext xmlns:c16="http://schemas.microsoft.com/office/drawing/2014/chart" uri="{C3380CC4-5D6E-409C-BE32-E72D297353CC}">
              <c16:uniqueId val="{00000003-E758-4FAB-8CBB-425B9185D575}"/>
            </c:ext>
          </c:extLst>
        </c:ser>
        <c:dLbls>
          <c:showLegendKey val="0"/>
          <c:showVal val="0"/>
          <c:showCatName val="0"/>
          <c:showSerName val="0"/>
          <c:showPercent val="0"/>
          <c:showBubbleSize val="0"/>
        </c:dLbls>
        <c:gapWidth val="115"/>
        <c:overlap val="-27"/>
        <c:axId val="1877950527"/>
        <c:axId val="1"/>
      </c:barChart>
      <c:catAx>
        <c:axId val="187795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950527"/>
        <c:crosses val="autoZero"/>
        <c:crossBetween val="between"/>
      </c:valAx>
      <c:spPr>
        <a:noFill/>
        <a:ln w="25400">
          <a:noFill/>
        </a:ln>
      </c:spPr>
    </c:plotArea>
    <c:legend>
      <c:legendPos val="r"/>
      <c:layout>
        <c:manualLayout>
          <c:xMode val="edge"/>
          <c:yMode val="edge"/>
          <c:x val="9.4201896066066396E-2"/>
          <c:y val="0.91000472406401978"/>
          <c:w val="0.86824108553048729"/>
          <c:h val="6.3262360496429179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Residential Applications</a:t>
            </a:r>
          </a:p>
        </c:rich>
      </c:tx>
      <c:layout>
        <c:manualLayout>
          <c:xMode val="edge"/>
          <c:yMode val="edge"/>
          <c:x val="1.329654961013085E-2"/>
          <c:y val="1.8518439911992132E-2"/>
        </c:manualLayout>
      </c:layout>
      <c:overlay val="0"/>
      <c:spPr>
        <a:noFill/>
        <a:ln w="25400">
          <a:noFill/>
        </a:ln>
      </c:spPr>
    </c:title>
    <c:autoTitleDeleted val="0"/>
    <c:plotArea>
      <c:layout>
        <c:manualLayout>
          <c:layoutTarget val="inner"/>
          <c:xMode val="edge"/>
          <c:yMode val="edge"/>
          <c:x val="7.9122749541529688E-2"/>
          <c:y val="0.16196705426356589"/>
          <c:w val="0.89446239413760509"/>
          <c:h val="0.6445870587314797"/>
        </c:manualLayout>
      </c:layout>
      <c:barChart>
        <c:barDir val="col"/>
        <c:grouping val="clustered"/>
        <c:varyColors val="0"/>
        <c:ser>
          <c:idx val="0"/>
          <c:order val="0"/>
          <c:tx>
            <c:strRef>
              <c:f>Residential!$C$20</c:f>
              <c:strCache>
                <c:ptCount val="1"/>
                <c:pt idx="0">
                  <c:v>Received</c:v>
                </c:pt>
              </c:strCache>
            </c:strRef>
          </c:tx>
          <c:spPr>
            <a:solidFill>
              <a:srgbClr val="5B9BD5"/>
            </a:solidFill>
            <a:ln w="25400">
              <a:noFill/>
            </a:ln>
          </c:spPr>
          <c:invertIfNegative val="0"/>
          <c:cat>
            <c:strRef>
              <c:f>Residential!$B$21:$B$30</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Residential!$C$21:$C$30</c:f>
              <c:numCache>
                <c:formatCode>General</c:formatCode>
                <c:ptCount val="10"/>
                <c:pt idx="0">
                  <c:v>749</c:v>
                </c:pt>
                <c:pt idx="1">
                  <c:v>917</c:v>
                </c:pt>
                <c:pt idx="2">
                  <c:v>866</c:v>
                </c:pt>
                <c:pt idx="3">
                  <c:v>863</c:v>
                </c:pt>
                <c:pt idx="4">
                  <c:v>849</c:v>
                </c:pt>
                <c:pt idx="5">
                  <c:v>946</c:v>
                </c:pt>
                <c:pt idx="6">
                  <c:v>867</c:v>
                </c:pt>
                <c:pt idx="7">
                  <c:v>706</c:v>
                </c:pt>
                <c:pt idx="8">
                  <c:v>628</c:v>
                </c:pt>
                <c:pt idx="9">
                  <c:v>633</c:v>
                </c:pt>
              </c:numCache>
            </c:numRef>
          </c:val>
          <c:extLst>
            <c:ext xmlns:c16="http://schemas.microsoft.com/office/drawing/2014/chart" uri="{C3380CC4-5D6E-409C-BE32-E72D297353CC}">
              <c16:uniqueId val="{00000000-AEA2-431D-A0AA-E9DED8620280}"/>
            </c:ext>
          </c:extLst>
        </c:ser>
        <c:ser>
          <c:idx val="1"/>
          <c:order val="1"/>
          <c:tx>
            <c:strRef>
              <c:f>Residential!$D$20</c:f>
              <c:strCache>
                <c:ptCount val="1"/>
                <c:pt idx="0">
                  <c:v>Decided</c:v>
                </c:pt>
              </c:strCache>
            </c:strRef>
          </c:tx>
          <c:spPr>
            <a:solidFill>
              <a:srgbClr val="ED7D31"/>
            </a:solidFill>
            <a:ln w="25400">
              <a:noFill/>
            </a:ln>
          </c:spPr>
          <c:invertIfNegative val="0"/>
          <c:cat>
            <c:strRef>
              <c:f>Residential!$B$21:$B$30</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Residential!$D$21:$D$30</c:f>
              <c:numCache>
                <c:formatCode>General</c:formatCode>
                <c:ptCount val="10"/>
                <c:pt idx="0">
                  <c:v>756</c:v>
                </c:pt>
                <c:pt idx="1">
                  <c:v>908</c:v>
                </c:pt>
                <c:pt idx="2">
                  <c:v>739</c:v>
                </c:pt>
                <c:pt idx="3">
                  <c:v>815</c:v>
                </c:pt>
                <c:pt idx="4">
                  <c:v>731</c:v>
                </c:pt>
                <c:pt idx="5">
                  <c:v>661</c:v>
                </c:pt>
                <c:pt idx="6">
                  <c:v>951</c:v>
                </c:pt>
                <c:pt idx="7">
                  <c:v>703</c:v>
                </c:pt>
                <c:pt idx="8">
                  <c:v>723</c:v>
                </c:pt>
                <c:pt idx="9">
                  <c:v>593</c:v>
                </c:pt>
              </c:numCache>
            </c:numRef>
          </c:val>
          <c:extLst>
            <c:ext xmlns:c16="http://schemas.microsoft.com/office/drawing/2014/chart" uri="{C3380CC4-5D6E-409C-BE32-E72D297353CC}">
              <c16:uniqueId val="{00000001-AEA2-431D-A0AA-E9DED8620280}"/>
            </c:ext>
          </c:extLst>
        </c:ser>
        <c:ser>
          <c:idx val="2"/>
          <c:order val="2"/>
          <c:tx>
            <c:strRef>
              <c:f>Residential!$E$20</c:f>
              <c:strCache>
                <c:ptCount val="1"/>
                <c:pt idx="0">
                  <c:v>Approved</c:v>
                </c:pt>
              </c:strCache>
            </c:strRef>
          </c:tx>
          <c:spPr>
            <a:solidFill>
              <a:srgbClr val="A5A5A5"/>
            </a:solidFill>
            <a:ln w="25400">
              <a:noFill/>
            </a:ln>
          </c:spPr>
          <c:invertIfNegative val="0"/>
          <c:cat>
            <c:strRef>
              <c:f>Residential!$B$21:$B$30</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Residential!$E$21:$E$30</c:f>
              <c:numCache>
                <c:formatCode>General</c:formatCode>
                <c:ptCount val="10"/>
                <c:pt idx="0">
                  <c:v>710</c:v>
                </c:pt>
                <c:pt idx="1">
                  <c:v>864</c:v>
                </c:pt>
                <c:pt idx="2">
                  <c:v>704</c:v>
                </c:pt>
                <c:pt idx="3">
                  <c:v>774</c:v>
                </c:pt>
                <c:pt idx="4">
                  <c:v>697</c:v>
                </c:pt>
                <c:pt idx="5">
                  <c:v>632</c:v>
                </c:pt>
                <c:pt idx="6">
                  <c:v>888</c:v>
                </c:pt>
                <c:pt idx="7">
                  <c:v>651</c:v>
                </c:pt>
                <c:pt idx="8">
                  <c:v>666</c:v>
                </c:pt>
                <c:pt idx="9">
                  <c:v>546</c:v>
                </c:pt>
              </c:numCache>
            </c:numRef>
          </c:val>
          <c:extLst>
            <c:ext xmlns:c16="http://schemas.microsoft.com/office/drawing/2014/chart" uri="{C3380CC4-5D6E-409C-BE32-E72D297353CC}">
              <c16:uniqueId val="{00000002-AEA2-431D-A0AA-E9DED8620280}"/>
            </c:ext>
          </c:extLst>
        </c:ser>
        <c:ser>
          <c:idx val="3"/>
          <c:order val="3"/>
          <c:tx>
            <c:strRef>
              <c:f>Residential!$F$20</c:f>
              <c:strCache>
                <c:ptCount val="1"/>
                <c:pt idx="0">
                  <c:v>Withdrawn</c:v>
                </c:pt>
              </c:strCache>
            </c:strRef>
          </c:tx>
          <c:spPr>
            <a:solidFill>
              <a:srgbClr val="FFC000"/>
            </a:solidFill>
            <a:ln w="25400">
              <a:noFill/>
            </a:ln>
          </c:spPr>
          <c:invertIfNegative val="0"/>
          <c:cat>
            <c:strRef>
              <c:f>Residential!$B$21:$B$30</c:f>
              <c:strCache>
                <c:ptCount val="10"/>
                <c:pt idx="0">
                  <c:v>2015/16</c:v>
                </c:pt>
                <c:pt idx="1">
                  <c:v>2016/17</c:v>
                </c:pt>
                <c:pt idx="2">
                  <c:v>2017/18</c:v>
                </c:pt>
                <c:pt idx="3">
                  <c:v>2018/19</c:v>
                </c:pt>
                <c:pt idx="4">
                  <c:v>2019/20</c:v>
                </c:pt>
                <c:pt idx="5">
                  <c:v>2020/21</c:v>
                </c:pt>
                <c:pt idx="6">
                  <c:v>2021/22</c:v>
                </c:pt>
                <c:pt idx="7">
                  <c:v>2022/23</c:v>
                </c:pt>
                <c:pt idx="8">
                  <c:v>2023/24</c:v>
                </c:pt>
                <c:pt idx="9">
                  <c:v>2024/25</c:v>
                </c:pt>
              </c:strCache>
            </c:strRef>
          </c:cat>
          <c:val>
            <c:numRef>
              <c:f>Residential!$F$21:$F$30</c:f>
              <c:numCache>
                <c:formatCode>General</c:formatCode>
                <c:ptCount val="10"/>
                <c:pt idx="0">
                  <c:v>18</c:v>
                </c:pt>
                <c:pt idx="1">
                  <c:v>29</c:v>
                </c:pt>
                <c:pt idx="2">
                  <c:v>41</c:v>
                </c:pt>
                <c:pt idx="3">
                  <c:v>43</c:v>
                </c:pt>
                <c:pt idx="4">
                  <c:v>55</c:v>
                </c:pt>
                <c:pt idx="5">
                  <c:v>58</c:v>
                </c:pt>
                <c:pt idx="6">
                  <c:v>60</c:v>
                </c:pt>
                <c:pt idx="7">
                  <c:v>43</c:v>
                </c:pt>
                <c:pt idx="8">
                  <c:v>22</c:v>
                </c:pt>
                <c:pt idx="9">
                  <c:v>45</c:v>
                </c:pt>
              </c:numCache>
            </c:numRef>
          </c:val>
          <c:extLst>
            <c:ext xmlns:c16="http://schemas.microsoft.com/office/drawing/2014/chart" uri="{C3380CC4-5D6E-409C-BE32-E72D297353CC}">
              <c16:uniqueId val="{00000003-AEA2-431D-A0AA-E9DED8620280}"/>
            </c:ext>
          </c:extLst>
        </c:ser>
        <c:dLbls>
          <c:showLegendKey val="0"/>
          <c:showVal val="0"/>
          <c:showCatName val="0"/>
          <c:showSerName val="0"/>
          <c:showPercent val="0"/>
          <c:showBubbleSize val="0"/>
        </c:dLbls>
        <c:gapWidth val="115"/>
        <c:overlap val="-27"/>
        <c:axId val="210209215"/>
        <c:axId val="1"/>
      </c:barChart>
      <c:catAx>
        <c:axId val="210209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9215"/>
        <c:crosses val="autoZero"/>
        <c:crossBetween val="between"/>
      </c:valAx>
      <c:spPr>
        <a:noFill/>
        <a:ln w="25400">
          <a:noFill/>
        </a:ln>
      </c:spPr>
    </c:plotArea>
    <c:legend>
      <c:legendPos val="r"/>
      <c:layout>
        <c:manualLayout>
          <c:xMode val="edge"/>
          <c:yMode val="edge"/>
          <c:x val="8.8641277138045621E-2"/>
          <c:y val="0.90935762721325264"/>
          <c:w val="0.86851019525738493"/>
          <c:h val="6.2178299296632655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B13A-1BFE-4518-8ED2-E63ABDD7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20</cp:revision>
  <cp:lastPrinted>2025-08-19T10:26:00Z</cp:lastPrinted>
  <dcterms:created xsi:type="dcterms:W3CDTF">2023-07-10T11:41:00Z</dcterms:created>
  <dcterms:modified xsi:type="dcterms:W3CDTF">2025-08-19T11:29:00Z</dcterms:modified>
</cp:coreProperties>
</file>