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16ED" w14:textId="44B4DD1D" w:rsidR="009759F5" w:rsidRPr="009759F5" w:rsidRDefault="003D7492" w:rsidP="009759F5">
      <w:pPr>
        <w:spacing w:line="259" w:lineRule="auto"/>
        <w:rPr>
          <w:b/>
        </w:rPr>
      </w:pPr>
      <w:r w:rsidRPr="00C07F67">
        <w:rPr>
          <w:b/>
        </w:rPr>
        <w:t>Employment</w:t>
      </w:r>
    </w:p>
    <w:p w14:paraId="01534E14" w14:textId="3504556D" w:rsidR="009759F5" w:rsidRPr="009A7319" w:rsidRDefault="009759F5" w:rsidP="009759F5">
      <w:pPr>
        <w:pStyle w:val="ListParagraph"/>
        <w:numPr>
          <w:ilvl w:val="0"/>
          <w:numId w:val="1"/>
        </w:numPr>
        <w:rPr>
          <w:b/>
          <w:bCs/>
        </w:rPr>
      </w:pPr>
      <w:r w:rsidRPr="009A7319">
        <w:rPr>
          <w:b/>
          <w:bCs/>
        </w:rPr>
        <w:t>The 202</w:t>
      </w:r>
      <w:r w:rsidR="00A10F8D">
        <w:rPr>
          <w:b/>
          <w:bCs/>
        </w:rPr>
        <w:t>4</w:t>
      </w:r>
      <w:r w:rsidRPr="009A7319">
        <w:rPr>
          <w:b/>
          <w:bCs/>
        </w:rPr>
        <w:t xml:space="preserve"> employment rate (16-64) in Armagh City, Banbridge and Craigavon </w:t>
      </w:r>
      <w:r w:rsidR="00A10F8D">
        <w:rPr>
          <w:b/>
          <w:bCs/>
        </w:rPr>
        <w:t>B</w:t>
      </w:r>
      <w:r w:rsidRPr="009A7319">
        <w:rPr>
          <w:b/>
          <w:bCs/>
        </w:rPr>
        <w:t xml:space="preserve">orough was estimated at </w:t>
      </w:r>
      <w:r w:rsidR="00A10F8D">
        <w:rPr>
          <w:b/>
          <w:bCs/>
        </w:rPr>
        <w:t>79.3</w:t>
      </w:r>
      <w:r w:rsidRPr="009A7319">
        <w:rPr>
          <w:b/>
          <w:bCs/>
        </w:rPr>
        <w:t xml:space="preserve">%, an increase of </w:t>
      </w:r>
      <w:r w:rsidR="00A10F8D">
        <w:rPr>
          <w:b/>
          <w:bCs/>
        </w:rPr>
        <w:t>2.7</w:t>
      </w:r>
      <w:r w:rsidR="009E1B8A" w:rsidRPr="009A7319">
        <w:rPr>
          <w:b/>
          <w:bCs/>
        </w:rPr>
        <w:t xml:space="preserve"> </w:t>
      </w:r>
      <w:r w:rsidRPr="009A7319">
        <w:rPr>
          <w:b/>
          <w:bCs/>
        </w:rPr>
        <w:t xml:space="preserve">percentage points </w:t>
      </w:r>
      <w:proofErr w:type="gramStart"/>
      <w:r w:rsidRPr="009A7319">
        <w:rPr>
          <w:b/>
          <w:bCs/>
        </w:rPr>
        <w:t>on</w:t>
      </w:r>
      <w:proofErr w:type="gramEnd"/>
      <w:r w:rsidRPr="009A7319">
        <w:rPr>
          <w:b/>
          <w:bCs/>
        </w:rPr>
        <w:t xml:space="preserve"> 202</w:t>
      </w:r>
      <w:r w:rsidR="00A10F8D">
        <w:rPr>
          <w:b/>
          <w:bCs/>
        </w:rPr>
        <w:t>3</w:t>
      </w:r>
      <w:r w:rsidRPr="009A7319">
        <w:rPr>
          <w:b/>
          <w:bCs/>
        </w:rPr>
        <w:t xml:space="preserve"> and</w:t>
      </w:r>
      <w:r w:rsidR="00A10F8D">
        <w:rPr>
          <w:b/>
          <w:bCs/>
        </w:rPr>
        <w:t xml:space="preserve"> 5</w:t>
      </w:r>
      <w:r w:rsidR="009E1B8A" w:rsidRPr="009A7319">
        <w:rPr>
          <w:b/>
          <w:bCs/>
        </w:rPr>
        <w:t xml:space="preserve"> </w:t>
      </w:r>
      <w:r w:rsidRPr="009A7319">
        <w:rPr>
          <w:b/>
          <w:bCs/>
        </w:rPr>
        <w:t xml:space="preserve">percentage points above the Northern Ireland average. </w:t>
      </w:r>
    </w:p>
    <w:p w14:paraId="73E70FC8" w14:textId="63A60645" w:rsidR="009759F5" w:rsidRPr="009A7319" w:rsidRDefault="009759F5" w:rsidP="009759F5">
      <w:pPr>
        <w:pStyle w:val="ListParagraph"/>
        <w:numPr>
          <w:ilvl w:val="0"/>
          <w:numId w:val="1"/>
        </w:numPr>
        <w:rPr>
          <w:b/>
          <w:bCs/>
        </w:rPr>
      </w:pPr>
      <w:r w:rsidRPr="009A7319">
        <w:rPr>
          <w:b/>
          <w:bCs/>
        </w:rPr>
        <w:t>The number of persons in employment (16-64) was estimated at 1</w:t>
      </w:r>
      <w:r w:rsidR="00A10F8D">
        <w:rPr>
          <w:b/>
          <w:bCs/>
        </w:rPr>
        <w:t>14</w:t>
      </w:r>
      <w:r w:rsidRPr="009A7319">
        <w:rPr>
          <w:b/>
          <w:bCs/>
        </w:rPr>
        <w:t>,000</w:t>
      </w:r>
      <w:r w:rsidR="00A10F8D">
        <w:rPr>
          <w:b/>
          <w:bCs/>
        </w:rPr>
        <w:t xml:space="preserve"> (2024)</w:t>
      </w:r>
      <w:r w:rsidRPr="009A7319">
        <w:rPr>
          <w:b/>
          <w:bCs/>
        </w:rPr>
        <w:t>.</w:t>
      </w:r>
    </w:p>
    <w:p w14:paraId="0255668B" w14:textId="514B9F51" w:rsidR="009759F5" w:rsidRPr="009A7319" w:rsidRDefault="009759F5" w:rsidP="009759F5">
      <w:pPr>
        <w:pStyle w:val="ListParagraph"/>
        <w:numPr>
          <w:ilvl w:val="0"/>
          <w:numId w:val="1"/>
        </w:numPr>
        <w:rPr>
          <w:b/>
          <w:bCs/>
        </w:rPr>
      </w:pPr>
      <w:r w:rsidRPr="009A7319">
        <w:rPr>
          <w:b/>
          <w:bCs/>
        </w:rPr>
        <w:t xml:space="preserve">The estimated employment rate (16-64) was </w:t>
      </w:r>
      <w:r w:rsidR="00A10F8D">
        <w:rPr>
          <w:b/>
          <w:bCs/>
        </w:rPr>
        <w:t>84.1</w:t>
      </w:r>
      <w:r w:rsidRPr="009A7319">
        <w:rPr>
          <w:b/>
          <w:bCs/>
        </w:rPr>
        <w:t xml:space="preserve">% for males and </w:t>
      </w:r>
      <w:r w:rsidR="004E191A">
        <w:rPr>
          <w:b/>
          <w:bCs/>
        </w:rPr>
        <w:t>7</w:t>
      </w:r>
      <w:r w:rsidR="00A10F8D">
        <w:rPr>
          <w:b/>
          <w:bCs/>
        </w:rPr>
        <w:t>4.8</w:t>
      </w:r>
      <w:r w:rsidRPr="009A7319">
        <w:rPr>
          <w:b/>
          <w:bCs/>
        </w:rPr>
        <w:t>% for females.</w:t>
      </w:r>
    </w:p>
    <w:p w14:paraId="214B9D51" w14:textId="484DD820" w:rsidR="009759F5" w:rsidRPr="009A7319" w:rsidRDefault="009759F5" w:rsidP="009759F5">
      <w:pPr>
        <w:rPr>
          <w:b/>
          <w:bCs/>
        </w:rPr>
      </w:pPr>
      <w:r w:rsidRPr="009A7319">
        <w:rPr>
          <w:b/>
          <w:bCs/>
        </w:rPr>
        <w:t xml:space="preserve">Of those aged 16-64 in employment, approximately </w:t>
      </w:r>
      <w:r w:rsidR="00A10F8D">
        <w:rPr>
          <w:b/>
          <w:bCs/>
        </w:rPr>
        <w:t>51</w:t>
      </w:r>
      <w:r w:rsidRPr="009A7319">
        <w:rPr>
          <w:b/>
          <w:bCs/>
        </w:rPr>
        <w:t>% (5</w:t>
      </w:r>
      <w:r w:rsidR="00A10F8D">
        <w:rPr>
          <w:b/>
          <w:bCs/>
        </w:rPr>
        <w:t>9</w:t>
      </w:r>
      <w:r w:rsidRPr="009A7319">
        <w:rPr>
          <w:b/>
          <w:bCs/>
        </w:rPr>
        <w:t xml:space="preserve">,000) were male and </w:t>
      </w:r>
      <w:r w:rsidR="00A10F8D">
        <w:rPr>
          <w:b/>
          <w:bCs/>
        </w:rPr>
        <w:t>49</w:t>
      </w:r>
      <w:r w:rsidRPr="009A7319">
        <w:rPr>
          <w:b/>
          <w:bCs/>
        </w:rPr>
        <w:t>% (</w:t>
      </w:r>
      <w:r w:rsidR="009E1B8A" w:rsidRPr="009A7319">
        <w:rPr>
          <w:b/>
          <w:bCs/>
        </w:rPr>
        <w:t>5</w:t>
      </w:r>
      <w:r w:rsidR="00A10F8D">
        <w:rPr>
          <w:b/>
          <w:bCs/>
        </w:rPr>
        <w:t>6</w:t>
      </w:r>
      <w:r w:rsidRPr="009A7319">
        <w:rPr>
          <w:b/>
          <w:bCs/>
        </w:rPr>
        <w:t xml:space="preserve">,000) were female. </w:t>
      </w:r>
    </w:p>
    <w:p w14:paraId="5534D54B" w14:textId="3835DFC5" w:rsidR="003D7492" w:rsidRPr="009A7319" w:rsidRDefault="00732701" w:rsidP="003D7492">
      <w:r w:rsidRPr="009A7319">
        <w:t>I</w:t>
      </w:r>
      <w:r w:rsidR="000B4EFA" w:rsidRPr="009A7319">
        <w:t>t is estimated that</w:t>
      </w:r>
      <w:r w:rsidR="00C07F67" w:rsidRPr="009A7319">
        <w:t xml:space="preserve"> </w:t>
      </w:r>
      <w:r w:rsidR="001A5FB9" w:rsidRPr="009A7319">
        <w:t>1</w:t>
      </w:r>
      <w:r w:rsidR="00A10F8D">
        <w:t>21</w:t>
      </w:r>
      <w:r w:rsidR="000B4EFA" w:rsidRPr="009A7319">
        <w:t>,000 people</w:t>
      </w:r>
      <w:r w:rsidR="001A5FB9" w:rsidRPr="009A7319">
        <w:t xml:space="preserve"> (aged 16+)</w:t>
      </w:r>
      <w:r w:rsidR="000B4EFA" w:rsidRPr="009A7319">
        <w:t xml:space="preserve"> in the borough were in employment</w:t>
      </w:r>
      <w:r w:rsidRPr="009A7319">
        <w:t xml:space="preserve"> in 20</w:t>
      </w:r>
      <w:r w:rsidR="00A22690" w:rsidRPr="009A7319">
        <w:t>2</w:t>
      </w:r>
      <w:r w:rsidR="00A10F8D">
        <w:t>4</w:t>
      </w:r>
      <w:r w:rsidR="000B4EFA" w:rsidRPr="009A7319">
        <w:t>. The majority of those in employment were working full-time (</w:t>
      </w:r>
      <w:r w:rsidR="00843348">
        <w:t>77</w:t>
      </w:r>
      <w:r w:rsidR="00A22690" w:rsidRPr="009A7319">
        <w:t>% of those aged 16+).</w:t>
      </w:r>
    </w:p>
    <w:tbl>
      <w:tblPr>
        <w:tblStyle w:val="GridTable1Light"/>
        <w:tblW w:w="3007" w:type="dxa"/>
        <w:tblLayout w:type="fixed"/>
        <w:tblLook w:val="04A0" w:firstRow="1" w:lastRow="0" w:firstColumn="1" w:lastColumn="0" w:noHBand="0" w:noVBand="1"/>
        <w:tblCaption w:val="Number of people in employment in Armagh City, Banbridge and Craigavon Borough in 2020"/>
      </w:tblPr>
      <w:tblGrid>
        <w:gridCol w:w="1199"/>
        <w:gridCol w:w="1808"/>
      </w:tblGrid>
      <w:tr w:rsidR="00A22690" w:rsidRPr="009A7319" w14:paraId="662AE6C1" w14:textId="77777777" w:rsidTr="009A7319">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199" w:type="dxa"/>
            <w:hideMark/>
          </w:tcPr>
          <w:p w14:paraId="66E77A68" w14:textId="77777777" w:rsidR="00A22690" w:rsidRPr="009A7319" w:rsidRDefault="00A22690" w:rsidP="00C07F67">
            <w:pPr>
              <w:spacing w:line="240" w:lineRule="auto"/>
              <w:rPr>
                <w:rFonts w:ascii="Calibri" w:eastAsia="Times New Roman" w:hAnsi="Calibri" w:cs="Calibri"/>
                <w:lang w:eastAsia="en-GB"/>
              </w:rPr>
            </w:pPr>
            <w:r w:rsidRPr="009A7319">
              <w:rPr>
                <w:rFonts w:ascii="Calibri" w:eastAsia="Times New Roman" w:hAnsi="Calibri" w:cs="Calibri"/>
                <w:lang w:eastAsia="en-GB"/>
              </w:rPr>
              <w:t> </w:t>
            </w:r>
          </w:p>
        </w:tc>
        <w:tc>
          <w:tcPr>
            <w:tcW w:w="1808" w:type="dxa"/>
            <w:hideMark/>
          </w:tcPr>
          <w:p w14:paraId="594FD1A7" w14:textId="77777777" w:rsidR="00A22690" w:rsidRPr="009A7319" w:rsidRDefault="00A22690" w:rsidP="002112D9">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n-GB"/>
              </w:rPr>
            </w:pPr>
            <w:r w:rsidRPr="009A7319">
              <w:rPr>
                <w:rFonts w:ascii="Calibri" w:eastAsia="Times New Roman" w:hAnsi="Calibri" w:cs="Calibri"/>
                <w:lang w:eastAsia="en-GB"/>
              </w:rPr>
              <w:t xml:space="preserve"> In Employment (16+)</w:t>
            </w:r>
          </w:p>
        </w:tc>
      </w:tr>
      <w:tr w:rsidR="00A22690" w:rsidRPr="009A7319" w14:paraId="172C6379" w14:textId="77777777" w:rsidTr="009A7319">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1199" w:type="dxa"/>
            <w:hideMark/>
          </w:tcPr>
          <w:p w14:paraId="16E37A52" w14:textId="77777777" w:rsidR="00A22690" w:rsidRPr="009A7319" w:rsidRDefault="00A22690" w:rsidP="00C07F67">
            <w:pPr>
              <w:spacing w:line="240" w:lineRule="auto"/>
              <w:rPr>
                <w:rFonts w:ascii="Arial" w:eastAsia="Times New Roman" w:hAnsi="Arial" w:cs="Arial"/>
                <w:sz w:val="18"/>
                <w:szCs w:val="18"/>
                <w:lang w:eastAsia="en-GB"/>
              </w:rPr>
            </w:pPr>
            <w:r w:rsidRPr="009A7319">
              <w:rPr>
                <w:rFonts w:ascii="Arial" w:eastAsia="Times New Roman" w:hAnsi="Arial" w:cs="Arial"/>
                <w:sz w:val="18"/>
                <w:szCs w:val="18"/>
                <w:lang w:eastAsia="en-GB"/>
              </w:rPr>
              <w:t>All</w:t>
            </w:r>
          </w:p>
        </w:tc>
        <w:tc>
          <w:tcPr>
            <w:tcW w:w="1808" w:type="dxa"/>
            <w:noWrap/>
            <w:hideMark/>
          </w:tcPr>
          <w:p w14:paraId="2FD84719" w14:textId="0C4666F8" w:rsidR="00A22690" w:rsidRPr="009A7319" w:rsidRDefault="001A5FB9" w:rsidP="00DC0DA3">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lang w:eastAsia="en-GB"/>
              </w:rPr>
            </w:pPr>
            <w:r w:rsidRPr="009A7319">
              <w:rPr>
                <w:rFonts w:ascii="Calibri" w:eastAsia="Times New Roman" w:hAnsi="Calibri" w:cs="Calibri"/>
                <w:b w:val="0"/>
                <w:lang w:eastAsia="en-GB"/>
              </w:rPr>
              <w:t>1</w:t>
            </w:r>
            <w:r w:rsidR="00A10F8D">
              <w:rPr>
                <w:rFonts w:ascii="Calibri" w:eastAsia="Times New Roman" w:hAnsi="Calibri" w:cs="Calibri"/>
                <w:b w:val="0"/>
                <w:lang w:eastAsia="en-GB"/>
              </w:rPr>
              <w:t>21</w:t>
            </w:r>
            <w:r w:rsidR="00A22690" w:rsidRPr="009A7319">
              <w:rPr>
                <w:rFonts w:ascii="Calibri" w:eastAsia="Times New Roman" w:hAnsi="Calibri" w:cs="Calibri"/>
                <w:b w:val="0"/>
                <w:lang w:eastAsia="en-GB"/>
              </w:rPr>
              <w:t>,000</w:t>
            </w:r>
          </w:p>
        </w:tc>
      </w:tr>
      <w:tr w:rsidR="00A22690" w:rsidRPr="009A7319" w14:paraId="4FD5ADFE" w14:textId="77777777" w:rsidTr="009A7319">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1199" w:type="dxa"/>
            <w:hideMark/>
          </w:tcPr>
          <w:p w14:paraId="1CF0E72F" w14:textId="77777777" w:rsidR="00A22690" w:rsidRPr="009A7319" w:rsidRDefault="00A22690" w:rsidP="00C07F67">
            <w:pPr>
              <w:spacing w:line="240" w:lineRule="auto"/>
              <w:rPr>
                <w:rFonts w:ascii="Arial" w:eastAsia="Times New Roman" w:hAnsi="Arial" w:cs="Arial"/>
                <w:sz w:val="18"/>
                <w:szCs w:val="18"/>
                <w:lang w:eastAsia="en-GB"/>
              </w:rPr>
            </w:pPr>
            <w:r w:rsidRPr="009A7319">
              <w:rPr>
                <w:rFonts w:ascii="Arial" w:eastAsia="Times New Roman" w:hAnsi="Arial" w:cs="Arial"/>
                <w:sz w:val="18"/>
                <w:szCs w:val="18"/>
                <w:lang w:eastAsia="en-GB"/>
              </w:rPr>
              <w:t> </w:t>
            </w:r>
          </w:p>
        </w:tc>
        <w:tc>
          <w:tcPr>
            <w:tcW w:w="1808" w:type="dxa"/>
            <w:noWrap/>
          </w:tcPr>
          <w:p w14:paraId="60E1C1D3" w14:textId="77777777" w:rsidR="00A22690" w:rsidRPr="009A7319" w:rsidRDefault="00A22690" w:rsidP="002112D9">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lang w:eastAsia="en-GB"/>
              </w:rPr>
            </w:pPr>
          </w:p>
        </w:tc>
      </w:tr>
      <w:tr w:rsidR="00A22690" w:rsidRPr="009A7319" w14:paraId="1778095E" w14:textId="77777777" w:rsidTr="009A7319">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1199" w:type="dxa"/>
            <w:hideMark/>
          </w:tcPr>
          <w:p w14:paraId="5380CA28" w14:textId="77777777" w:rsidR="00A22690" w:rsidRPr="009A7319" w:rsidRDefault="00A22690" w:rsidP="00C07F67">
            <w:pPr>
              <w:spacing w:line="240" w:lineRule="auto"/>
              <w:rPr>
                <w:rFonts w:ascii="Arial" w:eastAsia="Times New Roman" w:hAnsi="Arial" w:cs="Arial"/>
                <w:sz w:val="18"/>
                <w:szCs w:val="18"/>
                <w:lang w:eastAsia="en-GB"/>
              </w:rPr>
            </w:pPr>
            <w:r w:rsidRPr="009A7319">
              <w:rPr>
                <w:rFonts w:ascii="Arial" w:eastAsia="Times New Roman" w:hAnsi="Arial" w:cs="Arial"/>
                <w:sz w:val="18"/>
                <w:szCs w:val="18"/>
                <w:lang w:eastAsia="en-GB"/>
              </w:rPr>
              <w:t>Full-time</w:t>
            </w:r>
          </w:p>
        </w:tc>
        <w:tc>
          <w:tcPr>
            <w:tcW w:w="1808" w:type="dxa"/>
            <w:noWrap/>
          </w:tcPr>
          <w:p w14:paraId="0ED8350E" w14:textId="7214EA1E" w:rsidR="00A22690" w:rsidRPr="009A7319" w:rsidRDefault="009A7319" w:rsidP="002112D9">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lang w:eastAsia="en-GB"/>
              </w:rPr>
            </w:pPr>
            <w:r w:rsidRPr="009A7319">
              <w:rPr>
                <w:rFonts w:ascii="Calibri" w:eastAsia="Times New Roman" w:hAnsi="Calibri" w:cs="Calibri"/>
                <w:b w:val="0"/>
                <w:lang w:eastAsia="en-GB"/>
              </w:rPr>
              <w:t>9</w:t>
            </w:r>
            <w:r w:rsidR="00843348">
              <w:rPr>
                <w:rFonts w:ascii="Calibri" w:eastAsia="Times New Roman" w:hAnsi="Calibri" w:cs="Calibri"/>
                <w:b w:val="0"/>
                <w:lang w:eastAsia="en-GB"/>
              </w:rPr>
              <w:t>3</w:t>
            </w:r>
            <w:r w:rsidR="00A22690" w:rsidRPr="009A7319">
              <w:rPr>
                <w:rFonts w:ascii="Calibri" w:eastAsia="Times New Roman" w:hAnsi="Calibri" w:cs="Calibri"/>
                <w:b w:val="0"/>
                <w:lang w:eastAsia="en-GB"/>
              </w:rPr>
              <w:t>,000</w:t>
            </w:r>
          </w:p>
        </w:tc>
      </w:tr>
      <w:tr w:rsidR="00A22690" w:rsidRPr="009A7319" w14:paraId="4B1C7422" w14:textId="77777777" w:rsidTr="009A7319">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1199" w:type="dxa"/>
            <w:hideMark/>
          </w:tcPr>
          <w:p w14:paraId="730C2639" w14:textId="77777777" w:rsidR="00A22690" w:rsidRPr="009A7319" w:rsidRDefault="00A22690" w:rsidP="00C07F67">
            <w:pPr>
              <w:spacing w:line="240" w:lineRule="auto"/>
              <w:rPr>
                <w:rFonts w:ascii="Arial" w:eastAsia="Times New Roman" w:hAnsi="Arial" w:cs="Arial"/>
                <w:sz w:val="18"/>
                <w:szCs w:val="18"/>
                <w:lang w:eastAsia="en-GB"/>
              </w:rPr>
            </w:pPr>
            <w:r w:rsidRPr="009A7319">
              <w:rPr>
                <w:rFonts w:ascii="Arial" w:eastAsia="Times New Roman" w:hAnsi="Arial" w:cs="Arial"/>
                <w:sz w:val="18"/>
                <w:szCs w:val="18"/>
                <w:lang w:eastAsia="en-GB"/>
              </w:rPr>
              <w:t>Part-time</w:t>
            </w:r>
          </w:p>
        </w:tc>
        <w:tc>
          <w:tcPr>
            <w:tcW w:w="1808" w:type="dxa"/>
            <w:noWrap/>
          </w:tcPr>
          <w:p w14:paraId="3423590F" w14:textId="1F9F34C9" w:rsidR="00A22690" w:rsidRPr="009A7319" w:rsidRDefault="00A22690" w:rsidP="002112D9">
            <w:pPr>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lang w:eastAsia="en-GB"/>
              </w:rPr>
            </w:pPr>
            <w:r w:rsidRPr="009A7319">
              <w:rPr>
                <w:rFonts w:ascii="Calibri" w:eastAsia="Times New Roman" w:hAnsi="Calibri" w:cs="Calibri"/>
                <w:b w:val="0"/>
                <w:lang w:eastAsia="en-GB"/>
              </w:rPr>
              <w:t>2</w:t>
            </w:r>
            <w:r w:rsidR="00843348">
              <w:rPr>
                <w:rFonts w:ascii="Calibri" w:eastAsia="Times New Roman" w:hAnsi="Calibri" w:cs="Calibri"/>
                <w:b w:val="0"/>
                <w:lang w:eastAsia="en-GB"/>
              </w:rPr>
              <w:t>8</w:t>
            </w:r>
            <w:r w:rsidRPr="009A7319">
              <w:rPr>
                <w:rFonts w:ascii="Calibri" w:eastAsia="Times New Roman" w:hAnsi="Calibri" w:cs="Calibri"/>
                <w:b w:val="0"/>
                <w:lang w:eastAsia="en-GB"/>
              </w:rPr>
              <w:t>,000</w:t>
            </w:r>
          </w:p>
        </w:tc>
      </w:tr>
    </w:tbl>
    <w:p w14:paraId="1DA01478" w14:textId="7F9F87E6" w:rsidR="00C07F67" w:rsidRPr="009A7319" w:rsidRDefault="00C07F67" w:rsidP="00C07F67">
      <w:pPr>
        <w:rPr>
          <w:i/>
          <w:sz w:val="20"/>
          <w:szCs w:val="20"/>
        </w:rPr>
      </w:pPr>
      <w:r w:rsidRPr="009A7319">
        <w:rPr>
          <w:i/>
          <w:sz w:val="20"/>
          <w:szCs w:val="20"/>
        </w:rPr>
        <w:t>Table 1: Number of people</w:t>
      </w:r>
      <w:r w:rsidR="00D85EC5" w:rsidRPr="009A7319">
        <w:rPr>
          <w:i/>
          <w:sz w:val="20"/>
          <w:szCs w:val="20"/>
        </w:rPr>
        <w:t xml:space="preserve"> aged 16+</w:t>
      </w:r>
      <w:r w:rsidRPr="009A7319">
        <w:rPr>
          <w:i/>
          <w:sz w:val="20"/>
          <w:szCs w:val="20"/>
        </w:rPr>
        <w:t xml:space="preserve"> in employment in Armagh City, Banbridge and Craigavon Borough in 202</w:t>
      </w:r>
      <w:r w:rsidR="00843348">
        <w:rPr>
          <w:i/>
          <w:sz w:val="20"/>
          <w:szCs w:val="20"/>
        </w:rPr>
        <w:t>4</w:t>
      </w:r>
      <w:r w:rsidRPr="009A7319">
        <w:rPr>
          <w:i/>
          <w:sz w:val="20"/>
          <w:szCs w:val="20"/>
        </w:rPr>
        <w:t>. Source: Labour Force Survey, NISRA. Please note figures have been rounded to the nearest thousand so may not sum.</w:t>
      </w:r>
    </w:p>
    <w:p w14:paraId="0484D66E" w14:textId="0849EAFA" w:rsidR="006E3964" w:rsidRDefault="00EB0776" w:rsidP="001A5FB9">
      <w:r w:rsidRPr="006E3964">
        <w:t xml:space="preserve">The employment rate for the </w:t>
      </w:r>
      <w:r w:rsidR="00843348">
        <w:t>B</w:t>
      </w:r>
      <w:r w:rsidRPr="006E3964">
        <w:t>orough in 20</w:t>
      </w:r>
      <w:r w:rsidR="00B26715" w:rsidRPr="006E3964">
        <w:t>2</w:t>
      </w:r>
      <w:r w:rsidR="00843348">
        <w:t>4</w:t>
      </w:r>
      <w:r w:rsidR="00B26715" w:rsidRPr="006E3964">
        <w:t xml:space="preserve"> </w:t>
      </w:r>
      <w:r w:rsidRPr="006E3964">
        <w:t xml:space="preserve">was </w:t>
      </w:r>
      <w:r w:rsidR="009A7319" w:rsidRPr="006E3964">
        <w:t>6</w:t>
      </w:r>
      <w:r w:rsidR="00843348">
        <w:t>7.6</w:t>
      </w:r>
      <w:r w:rsidRPr="006E3964">
        <w:t xml:space="preserve">% for those aged 16+ and </w:t>
      </w:r>
      <w:r w:rsidR="00843348">
        <w:t>79.3</w:t>
      </w:r>
      <w:r w:rsidRPr="006E3964">
        <w:t xml:space="preserve">% for those aged 16 to 64. </w:t>
      </w:r>
      <w:r w:rsidR="001B7F34" w:rsidRPr="006E3964">
        <w:t>The e</w:t>
      </w:r>
      <w:r w:rsidRPr="006E3964">
        <w:t xml:space="preserve">mployment rate for both age groups </w:t>
      </w:r>
      <w:r w:rsidR="00B26715" w:rsidRPr="006E3964">
        <w:t>is</w:t>
      </w:r>
      <w:r w:rsidRPr="006E3964">
        <w:t xml:space="preserve"> higher in the </w:t>
      </w:r>
      <w:r w:rsidR="00843348">
        <w:t>B</w:t>
      </w:r>
      <w:r w:rsidRPr="006E3964">
        <w:t xml:space="preserve">orough than Northern Ireland </w:t>
      </w:r>
      <w:r w:rsidRPr="001C3ABE">
        <w:t xml:space="preserve">overall. </w:t>
      </w:r>
      <w:r w:rsidR="00B26715" w:rsidRPr="001C3ABE">
        <w:t xml:space="preserve"> For those aged 16 to 64, the employment rate </w:t>
      </w:r>
      <w:r w:rsidRPr="001C3ABE">
        <w:t>has been higher</w:t>
      </w:r>
      <w:r w:rsidR="001B7F34" w:rsidRPr="001C3ABE">
        <w:t xml:space="preserve"> in Armagh City, Banbridge and Craigavon Borough</w:t>
      </w:r>
      <w:r w:rsidRPr="001C3ABE">
        <w:t xml:space="preserve"> than Northern Ireland for each of the last </w:t>
      </w:r>
      <w:r w:rsidR="00843348" w:rsidRPr="00D612B9">
        <w:t>sixteen</w:t>
      </w:r>
      <w:r w:rsidR="006E3964" w:rsidRPr="00D612B9">
        <w:t xml:space="preserve"> </w:t>
      </w:r>
      <w:r w:rsidRPr="00D612B9">
        <w:t>years.</w:t>
      </w:r>
      <w:r w:rsidR="00B26715" w:rsidRPr="00D612B9">
        <w:t xml:space="preserve">  The employment rate for both age groups in Armagh City, Banbridge and Craigavon Borough </w:t>
      </w:r>
      <w:r w:rsidR="00DC0DA3" w:rsidRPr="00D612B9">
        <w:t>ha</w:t>
      </w:r>
      <w:r w:rsidR="001A5FB9" w:rsidRPr="00D612B9">
        <w:t>d</w:t>
      </w:r>
      <w:r w:rsidR="00DC0DA3" w:rsidRPr="00D612B9">
        <w:t xml:space="preserve"> been in decline </w:t>
      </w:r>
      <w:r w:rsidR="001A5FB9" w:rsidRPr="00D612B9">
        <w:t>between</w:t>
      </w:r>
      <w:r w:rsidR="00DC0DA3" w:rsidRPr="00D612B9">
        <w:t xml:space="preserve"> 2018</w:t>
      </w:r>
      <w:r w:rsidR="001A5FB9" w:rsidRPr="00D612B9">
        <w:t xml:space="preserve"> and 2021 but increased greatly in 2022</w:t>
      </w:r>
      <w:r w:rsidR="006E3964" w:rsidRPr="00D612B9">
        <w:t xml:space="preserve"> and again in 2023 </w:t>
      </w:r>
      <w:r w:rsidR="001C3ABE" w:rsidRPr="00D612B9">
        <w:t xml:space="preserve">and 2024 </w:t>
      </w:r>
      <w:r w:rsidR="006E3964" w:rsidRPr="00D612B9">
        <w:t xml:space="preserve">to what is now the highest of the years presented. At </w:t>
      </w:r>
      <w:r w:rsidR="001C3ABE" w:rsidRPr="00D612B9">
        <w:t>79.3</w:t>
      </w:r>
      <w:r w:rsidR="006E3964" w:rsidRPr="00D612B9">
        <w:t>% in 202</w:t>
      </w:r>
      <w:r w:rsidR="001C3ABE" w:rsidRPr="00D612B9">
        <w:t>4</w:t>
      </w:r>
      <w:r w:rsidR="006E3964" w:rsidRPr="00D612B9">
        <w:t xml:space="preserve">, the working age employment rate in the </w:t>
      </w:r>
      <w:r w:rsidR="001C3ABE" w:rsidRPr="00D612B9">
        <w:t>B</w:t>
      </w:r>
      <w:r w:rsidR="006E3964" w:rsidRPr="00D612B9">
        <w:t xml:space="preserve">orough is now </w:t>
      </w:r>
      <w:r w:rsidR="001C3ABE" w:rsidRPr="00D612B9">
        <w:t>5</w:t>
      </w:r>
      <w:r w:rsidR="006E3964" w:rsidRPr="00D612B9">
        <w:t xml:space="preserve"> percentage points above the Northern Ireland average while the employment rate for those aged 16+ in the Borough is </w:t>
      </w:r>
      <w:r w:rsidR="00D612B9" w:rsidRPr="00D612B9">
        <w:t>6.2</w:t>
      </w:r>
      <w:r w:rsidR="006E3964" w:rsidRPr="00D612B9">
        <w:t xml:space="preserve"> percentage points above the Northern Ireland average.</w:t>
      </w:r>
    </w:p>
    <w:p w14:paraId="1115BDB5" w14:textId="77777777" w:rsidR="006E3964" w:rsidRDefault="006E3964" w:rsidP="001A5FB9"/>
    <w:p w14:paraId="09255652" w14:textId="7E869B30" w:rsidR="00E57F4E" w:rsidRPr="00E57F4E" w:rsidRDefault="00E57F4E" w:rsidP="00E57F4E">
      <w:pPr>
        <w:tabs>
          <w:tab w:val="left" w:pos="1680"/>
        </w:tabs>
      </w:pPr>
    </w:p>
    <w:tbl>
      <w:tblPr>
        <w:tblStyle w:val="GridTable1Light"/>
        <w:tblW w:w="9067" w:type="dxa"/>
        <w:tblLook w:val="04A0" w:firstRow="1" w:lastRow="0" w:firstColumn="1" w:lastColumn="0" w:noHBand="0" w:noVBand="1"/>
        <w:tblCaption w:val="Employment rate for Armagh City, Banbridge and Craigavon Borough and Northern Ireland between 2009 and 2020.  "/>
      </w:tblPr>
      <w:tblGrid>
        <w:gridCol w:w="955"/>
        <w:gridCol w:w="2017"/>
        <w:gridCol w:w="1947"/>
        <w:gridCol w:w="2306"/>
        <w:gridCol w:w="1842"/>
      </w:tblGrid>
      <w:tr w:rsidR="006D0527" w:rsidRPr="006D0527" w14:paraId="5FFA7985" w14:textId="77777777" w:rsidTr="001A5FB9">
        <w:trPr>
          <w:cnfStyle w:val="100000000000" w:firstRow="1" w:lastRow="0" w:firstColumn="0" w:lastColumn="0" w:oddVBand="0" w:evenVBand="0" w:oddHBand="0" w:evenHBand="0" w:firstRowFirstColumn="0" w:firstRowLastColumn="0" w:lastRowFirstColumn="0" w:lastRowLastColumn="0"/>
          <w:trHeight w:val="361"/>
          <w:tblHeader/>
        </w:trPr>
        <w:tc>
          <w:tcPr>
            <w:cnfStyle w:val="001000000000" w:firstRow="0" w:lastRow="0" w:firstColumn="1" w:lastColumn="0" w:oddVBand="0" w:evenVBand="0" w:oddHBand="0" w:evenHBand="0" w:firstRowFirstColumn="0" w:firstRowLastColumn="0" w:lastRowFirstColumn="0" w:lastRowLastColumn="0"/>
            <w:tcW w:w="955" w:type="dxa"/>
            <w:vMerge w:val="restart"/>
            <w:hideMark/>
          </w:tcPr>
          <w:p w14:paraId="6423A2DC"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lastRenderedPageBreak/>
              <w:t> </w:t>
            </w:r>
          </w:p>
        </w:tc>
        <w:tc>
          <w:tcPr>
            <w:tcW w:w="3964" w:type="dxa"/>
            <w:gridSpan w:val="2"/>
            <w:noWrap/>
            <w:hideMark/>
          </w:tcPr>
          <w:p w14:paraId="462BBDE5" w14:textId="77777777" w:rsidR="006D0527" w:rsidRPr="006D0527"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6D0527">
              <w:rPr>
                <w:rFonts w:eastAsia="Times New Roman" w:cstheme="minorHAnsi"/>
                <w:lang w:eastAsia="en-GB"/>
              </w:rPr>
              <w:t>Employment Rate (16+)</w:t>
            </w:r>
          </w:p>
        </w:tc>
        <w:tc>
          <w:tcPr>
            <w:tcW w:w="4148" w:type="dxa"/>
            <w:gridSpan w:val="2"/>
            <w:hideMark/>
          </w:tcPr>
          <w:p w14:paraId="1720CA38" w14:textId="77777777" w:rsidR="006D0527" w:rsidRPr="006D0527"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6D0527">
              <w:rPr>
                <w:rFonts w:eastAsia="Times New Roman" w:cstheme="minorHAnsi"/>
                <w:lang w:eastAsia="en-GB"/>
              </w:rPr>
              <w:t>Employment Rate (16 – 64)</w:t>
            </w:r>
          </w:p>
        </w:tc>
      </w:tr>
      <w:tr w:rsidR="006D0527" w:rsidRPr="006D0527" w14:paraId="440A8D49"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vMerge/>
            <w:hideMark/>
          </w:tcPr>
          <w:p w14:paraId="2714BF7B" w14:textId="77777777" w:rsidR="006D0527" w:rsidRPr="006D0527" w:rsidRDefault="006D0527" w:rsidP="006D0527">
            <w:pPr>
              <w:spacing w:line="240" w:lineRule="auto"/>
              <w:rPr>
                <w:rFonts w:eastAsia="Times New Roman" w:cstheme="minorHAnsi"/>
                <w:lang w:eastAsia="en-GB"/>
              </w:rPr>
            </w:pPr>
          </w:p>
        </w:tc>
        <w:tc>
          <w:tcPr>
            <w:tcW w:w="2017" w:type="dxa"/>
            <w:noWrap/>
            <w:hideMark/>
          </w:tcPr>
          <w:p w14:paraId="62029531" w14:textId="77777777" w:rsidR="006D0527" w:rsidRPr="006D0527"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sidRPr="006D0527">
              <w:rPr>
                <w:rFonts w:eastAsia="Times New Roman" w:cstheme="minorHAnsi"/>
                <w:lang w:eastAsia="en-GB"/>
              </w:rPr>
              <w:t>ABC</w:t>
            </w:r>
          </w:p>
        </w:tc>
        <w:tc>
          <w:tcPr>
            <w:tcW w:w="1947" w:type="dxa"/>
            <w:noWrap/>
            <w:hideMark/>
          </w:tcPr>
          <w:p w14:paraId="18226BE5" w14:textId="77777777" w:rsidR="006D0527" w:rsidRPr="006D0527"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sidRPr="006D0527">
              <w:rPr>
                <w:rFonts w:eastAsia="Times New Roman" w:cstheme="minorHAnsi"/>
                <w:lang w:eastAsia="en-GB"/>
              </w:rPr>
              <w:t>NI</w:t>
            </w:r>
          </w:p>
        </w:tc>
        <w:tc>
          <w:tcPr>
            <w:tcW w:w="2306" w:type="dxa"/>
            <w:hideMark/>
          </w:tcPr>
          <w:p w14:paraId="7B91E3AA" w14:textId="77777777" w:rsidR="006D0527" w:rsidRPr="006D0527"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sidRPr="006D0527">
              <w:rPr>
                <w:rFonts w:eastAsia="Times New Roman" w:cstheme="minorHAnsi"/>
                <w:lang w:eastAsia="en-GB"/>
              </w:rPr>
              <w:t>ABC</w:t>
            </w:r>
          </w:p>
        </w:tc>
        <w:tc>
          <w:tcPr>
            <w:tcW w:w="1842" w:type="dxa"/>
            <w:hideMark/>
          </w:tcPr>
          <w:p w14:paraId="26D7E8CB" w14:textId="77777777" w:rsidR="006D0527" w:rsidRPr="006D0527"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sidRPr="006D0527">
              <w:rPr>
                <w:rFonts w:eastAsia="Times New Roman" w:cstheme="minorHAnsi"/>
                <w:lang w:eastAsia="en-GB"/>
              </w:rPr>
              <w:t>NI</w:t>
            </w:r>
          </w:p>
        </w:tc>
      </w:tr>
      <w:tr w:rsidR="006D0527" w:rsidRPr="006D0527" w14:paraId="0E7FBB48"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63DB05AE"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2009</w:t>
            </w:r>
          </w:p>
        </w:tc>
        <w:tc>
          <w:tcPr>
            <w:tcW w:w="2017" w:type="dxa"/>
            <w:noWrap/>
            <w:hideMark/>
          </w:tcPr>
          <w:p w14:paraId="6475CE15"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58.4%</w:t>
            </w:r>
          </w:p>
        </w:tc>
        <w:tc>
          <w:tcPr>
            <w:tcW w:w="1947" w:type="dxa"/>
            <w:noWrap/>
            <w:hideMark/>
          </w:tcPr>
          <w:p w14:paraId="166FEEB9"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55.0%</w:t>
            </w:r>
          </w:p>
        </w:tc>
        <w:tc>
          <w:tcPr>
            <w:tcW w:w="2306" w:type="dxa"/>
            <w:hideMark/>
          </w:tcPr>
          <w:p w14:paraId="5F25E2AE"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67.2%</w:t>
            </w:r>
          </w:p>
        </w:tc>
        <w:tc>
          <w:tcPr>
            <w:tcW w:w="1842" w:type="dxa"/>
            <w:hideMark/>
          </w:tcPr>
          <w:p w14:paraId="4B76253F"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65.1%</w:t>
            </w:r>
          </w:p>
        </w:tc>
      </w:tr>
      <w:tr w:rsidR="006D0527" w:rsidRPr="006D0527" w14:paraId="3BF8FC7C"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55406104"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2010</w:t>
            </w:r>
          </w:p>
        </w:tc>
        <w:tc>
          <w:tcPr>
            <w:tcW w:w="2017" w:type="dxa"/>
            <w:noWrap/>
            <w:hideMark/>
          </w:tcPr>
          <w:p w14:paraId="21D6C892"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61.4%</w:t>
            </w:r>
          </w:p>
        </w:tc>
        <w:tc>
          <w:tcPr>
            <w:tcW w:w="1947" w:type="dxa"/>
            <w:noWrap/>
            <w:hideMark/>
          </w:tcPr>
          <w:p w14:paraId="47D95504"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55.3%</w:t>
            </w:r>
          </w:p>
        </w:tc>
        <w:tc>
          <w:tcPr>
            <w:tcW w:w="2306" w:type="dxa"/>
            <w:hideMark/>
          </w:tcPr>
          <w:p w14:paraId="779F5B55"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70.2%</w:t>
            </w:r>
          </w:p>
        </w:tc>
        <w:tc>
          <w:tcPr>
            <w:tcW w:w="1842" w:type="dxa"/>
            <w:hideMark/>
          </w:tcPr>
          <w:p w14:paraId="377FC6C3"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65.8%</w:t>
            </w:r>
          </w:p>
        </w:tc>
      </w:tr>
      <w:tr w:rsidR="006D0527" w:rsidRPr="006D0527" w14:paraId="6D8D7096"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59FAEC20"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2011</w:t>
            </w:r>
          </w:p>
        </w:tc>
        <w:tc>
          <w:tcPr>
            <w:tcW w:w="2017" w:type="dxa"/>
            <w:noWrap/>
            <w:hideMark/>
          </w:tcPr>
          <w:p w14:paraId="0A41619E"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60.3%</w:t>
            </w:r>
          </w:p>
        </w:tc>
        <w:tc>
          <w:tcPr>
            <w:tcW w:w="1947" w:type="dxa"/>
            <w:noWrap/>
            <w:hideMark/>
          </w:tcPr>
          <w:p w14:paraId="094AA3A6"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56.4%</w:t>
            </w:r>
          </w:p>
        </w:tc>
        <w:tc>
          <w:tcPr>
            <w:tcW w:w="2306" w:type="dxa"/>
            <w:hideMark/>
          </w:tcPr>
          <w:p w14:paraId="0F74C218"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70.9%</w:t>
            </w:r>
          </w:p>
        </w:tc>
        <w:tc>
          <w:tcPr>
            <w:tcW w:w="1842" w:type="dxa"/>
            <w:hideMark/>
          </w:tcPr>
          <w:p w14:paraId="0D46BB55"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67.0%</w:t>
            </w:r>
          </w:p>
        </w:tc>
      </w:tr>
      <w:tr w:rsidR="006D0527" w:rsidRPr="006D0527" w14:paraId="5F06EBA8"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662519FC"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2012</w:t>
            </w:r>
          </w:p>
        </w:tc>
        <w:tc>
          <w:tcPr>
            <w:tcW w:w="2017" w:type="dxa"/>
            <w:noWrap/>
            <w:hideMark/>
          </w:tcPr>
          <w:p w14:paraId="3862BD2D"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54.2%</w:t>
            </w:r>
          </w:p>
        </w:tc>
        <w:tc>
          <w:tcPr>
            <w:tcW w:w="1947" w:type="dxa"/>
            <w:noWrap/>
            <w:hideMark/>
          </w:tcPr>
          <w:p w14:paraId="3F003F04"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56.0%</w:t>
            </w:r>
          </w:p>
        </w:tc>
        <w:tc>
          <w:tcPr>
            <w:tcW w:w="2306" w:type="dxa"/>
            <w:hideMark/>
          </w:tcPr>
          <w:p w14:paraId="077E43DD"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68.2%</w:t>
            </w:r>
          </w:p>
        </w:tc>
        <w:tc>
          <w:tcPr>
            <w:tcW w:w="1842" w:type="dxa"/>
            <w:hideMark/>
          </w:tcPr>
          <w:p w14:paraId="11FE2CBC"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67.0%</w:t>
            </w:r>
          </w:p>
        </w:tc>
      </w:tr>
      <w:tr w:rsidR="006D0527" w:rsidRPr="006D0527" w14:paraId="691C7F53"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278B7130"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2013</w:t>
            </w:r>
          </w:p>
        </w:tc>
        <w:tc>
          <w:tcPr>
            <w:tcW w:w="2017" w:type="dxa"/>
            <w:noWrap/>
            <w:hideMark/>
          </w:tcPr>
          <w:p w14:paraId="2B81FA28"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56.5%</w:t>
            </w:r>
          </w:p>
        </w:tc>
        <w:tc>
          <w:tcPr>
            <w:tcW w:w="1947" w:type="dxa"/>
            <w:noWrap/>
            <w:hideMark/>
          </w:tcPr>
          <w:p w14:paraId="3466A174"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56.2%</w:t>
            </w:r>
          </w:p>
        </w:tc>
        <w:tc>
          <w:tcPr>
            <w:tcW w:w="2306" w:type="dxa"/>
            <w:hideMark/>
          </w:tcPr>
          <w:p w14:paraId="604CBF92"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68.4%</w:t>
            </w:r>
          </w:p>
        </w:tc>
        <w:tc>
          <w:tcPr>
            <w:tcW w:w="1842" w:type="dxa"/>
            <w:hideMark/>
          </w:tcPr>
          <w:p w14:paraId="7B5E3B79"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67.1%</w:t>
            </w:r>
          </w:p>
        </w:tc>
      </w:tr>
      <w:tr w:rsidR="006D0527" w:rsidRPr="006D0527" w14:paraId="16F72366"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054D826D"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2014</w:t>
            </w:r>
          </w:p>
        </w:tc>
        <w:tc>
          <w:tcPr>
            <w:tcW w:w="2017" w:type="dxa"/>
            <w:noWrap/>
            <w:hideMark/>
          </w:tcPr>
          <w:p w14:paraId="099138F6"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58.0%</w:t>
            </w:r>
          </w:p>
        </w:tc>
        <w:tc>
          <w:tcPr>
            <w:tcW w:w="1947" w:type="dxa"/>
            <w:noWrap/>
            <w:hideMark/>
          </w:tcPr>
          <w:p w14:paraId="2342F309"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56.3%</w:t>
            </w:r>
          </w:p>
        </w:tc>
        <w:tc>
          <w:tcPr>
            <w:tcW w:w="2306" w:type="dxa"/>
            <w:hideMark/>
          </w:tcPr>
          <w:p w14:paraId="5A72668D"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71.0%</w:t>
            </w:r>
          </w:p>
        </w:tc>
        <w:tc>
          <w:tcPr>
            <w:tcW w:w="1842" w:type="dxa"/>
            <w:hideMark/>
          </w:tcPr>
          <w:p w14:paraId="71D51798"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67.7%</w:t>
            </w:r>
          </w:p>
        </w:tc>
      </w:tr>
      <w:tr w:rsidR="006D0527" w:rsidRPr="006D0527" w14:paraId="6816E6CC"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2215B93A"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2015</w:t>
            </w:r>
          </w:p>
        </w:tc>
        <w:tc>
          <w:tcPr>
            <w:tcW w:w="2017" w:type="dxa"/>
            <w:noWrap/>
            <w:hideMark/>
          </w:tcPr>
          <w:p w14:paraId="366FB040"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57.1%</w:t>
            </w:r>
          </w:p>
        </w:tc>
        <w:tc>
          <w:tcPr>
            <w:tcW w:w="1947" w:type="dxa"/>
            <w:noWrap/>
            <w:hideMark/>
          </w:tcPr>
          <w:p w14:paraId="75C95A58"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57.0%</w:t>
            </w:r>
          </w:p>
        </w:tc>
        <w:tc>
          <w:tcPr>
            <w:tcW w:w="2306" w:type="dxa"/>
            <w:hideMark/>
          </w:tcPr>
          <w:p w14:paraId="489BCCAB"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69.4%</w:t>
            </w:r>
          </w:p>
        </w:tc>
        <w:tc>
          <w:tcPr>
            <w:tcW w:w="1842" w:type="dxa"/>
            <w:hideMark/>
          </w:tcPr>
          <w:p w14:paraId="1C0788C6"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68.4%</w:t>
            </w:r>
          </w:p>
        </w:tc>
      </w:tr>
      <w:tr w:rsidR="006D0527" w:rsidRPr="006D0527" w14:paraId="440F8232"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51A11C44"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2016</w:t>
            </w:r>
          </w:p>
        </w:tc>
        <w:tc>
          <w:tcPr>
            <w:tcW w:w="2017" w:type="dxa"/>
            <w:noWrap/>
            <w:hideMark/>
          </w:tcPr>
          <w:p w14:paraId="2CC635B8"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58.7%</w:t>
            </w:r>
          </w:p>
        </w:tc>
        <w:tc>
          <w:tcPr>
            <w:tcW w:w="1947" w:type="dxa"/>
            <w:noWrap/>
            <w:hideMark/>
          </w:tcPr>
          <w:p w14:paraId="4B07A597"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57.5%</w:t>
            </w:r>
          </w:p>
        </w:tc>
        <w:tc>
          <w:tcPr>
            <w:tcW w:w="2306" w:type="dxa"/>
            <w:hideMark/>
          </w:tcPr>
          <w:p w14:paraId="7F687236"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70.8%</w:t>
            </w:r>
          </w:p>
        </w:tc>
        <w:tc>
          <w:tcPr>
            <w:tcW w:w="1842" w:type="dxa"/>
            <w:hideMark/>
          </w:tcPr>
          <w:p w14:paraId="64F27215"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69.4%</w:t>
            </w:r>
          </w:p>
        </w:tc>
      </w:tr>
      <w:tr w:rsidR="006D0527" w:rsidRPr="006D0527" w14:paraId="6B1D9EF0"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22028797"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2017</w:t>
            </w:r>
          </w:p>
        </w:tc>
        <w:tc>
          <w:tcPr>
            <w:tcW w:w="2017" w:type="dxa"/>
            <w:noWrap/>
            <w:hideMark/>
          </w:tcPr>
          <w:p w14:paraId="56187403"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60.6%</w:t>
            </w:r>
          </w:p>
        </w:tc>
        <w:tc>
          <w:tcPr>
            <w:tcW w:w="1947" w:type="dxa"/>
            <w:noWrap/>
            <w:hideMark/>
          </w:tcPr>
          <w:p w14:paraId="03276DDC"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57.2%</w:t>
            </w:r>
          </w:p>
        </w:tc>
        <w:tc>
          <w:tcPr>
            <w:tcW w:w="2306" w:type="dxa"/>
            <w:hideMark/>
          </w:tcPr>
          <w:p w14:paraId="1AAE5170"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73.3%</w:t>
            </w:r>
          </w:p>
        </w:tc>
        <w:tc>
          <w:tcPr>
            <w:tcW w:w="1842" w:type="dxa"/>
            <w:hideMark/>
          </w:tcPr>
          <w:p w14:paraId="2C76F83A"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69.1%</w:t>
            </w:r>
          </w:p>
        </w:tc>
      </w:tr>
      <w:tr w:rsidR="006D0527" w:rsidRPr="006D0527" w14:paraId="1077502F"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6A673D2B"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2018</w:t>
            </w:r>
          </w:p>
        </w:tc>
        <w:tc>
          <w:tcPr>
            <w:tcW w:w="2017" w:type="dxa"/>
            <w:noWrap/>
            <w:hideMark/>
          </w:tcPr>
          <w:p w14:paraId="15A28EB0"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61.8%</w:t>
            </w:r>
          </w:p>
        </w:tc>
        <w:tc>
          <w:tcPr>
            <w:tcW w:w="1947" w:type="dxa"/>
            <w:noWrap/>
            <w:hideMark/>
          </w:tcPr>
          <w:p w14:paraId="1848B747"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58.0%</w:t>
            </w:r>
          </w:p>
        </w:tc>
        <w:tc>
          <w:tcPr>
            <w:tcW w:w="2306" w:type="dxa"/>
            <w:hideMark/>
          </w:tcPr>
          <w:p w14:paraId="38ABE141"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73.9%</w:t>
            </w:r>
          </w:p>
        </w:tc>
        <w:tc>
          <w:tcPr>
            <w:tcW w:w="1842" w:type="dxa"/>
            <w:hideMark/>
          </w:tcPr>
          <w:p w14:paraId="34ED58E0"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70.0%</w:t>
            </w:r>
          </w:p>
        </w:tc>
      </w:tr>
      <w:tr w:rsidR="006D0527" w:rsidRPr="006D0527" w14:paraId="0914D864"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4C4BE780"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2019</w:t>
            </w:r>
          </w:p>
        </w:tc>
        <w:tc>
          <w:tcPr>
            <w:tcW w:w="2017" w:type="dxa"/>
            <w:noWrap/>
            <w:hideMark/>
          </w:tcPr>
          <w:p w14:paraId="16FCFDD5"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59.3%</w:t>
            </w:r>
          </w:p>
        </w:tc>
        <w:tc>
          <w:tcPr>
            <w:tcW w:w="1947" w:type="dxa"/>
            <w:noWrap/>
            <w:hideMark/>
          </w:tcPr>
          <w:p w14:paraId="02A2902D"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59.3%</w:t>
            </w:r>
          </w:p>
        </w:tc>
        <w:tc>
          <w:tcPr>
            <w:tcW w:w="2306" w:type="dxa"/>
            <w:hideMark/>
          </w:tcPr>
          <w:p w14:paraId="3181BFE0"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72.3%</w:t>
            </w:r>
          </w:p>
        </w:tc>
        <w:tc>
          <w:tcPr>
            <w:tcW w:w="1842" w:type="dxa"/>
            <w:hideMark/>
          </w:tcPr>
          <w:p w14:paraId="59AAD0B0" w14:textId="77777777" w:rsidR="006D0527" w:rsidRPr="00DE172F" w:rsidRDefault="006D0527"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E172F">
              <w:rPr>
                <w:rFonts w:eastAsia="Times New Roman" w:cstheme="minorHAnsi"/>
                <w:b w:val="0"/>
                <w:lang w:eastAsia="en-GB"/>
              </w:rPr>
              <w:t>71.9%</w:t>
            </w:r>
          </w:p>
        </w:tc>
      </w:tr>
      <w:tr w:rsidR="006D0527" w:rsidRPr="006D0527" w14:paraId="1BFDCACD"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hideMark/>
          </w:tcPr>
          <w:p w14:paraId="7FBE2FBE" w14:textId="77777777" w:rsidR="006D0527" w:rsidRPr="006D0527" w:rsidRDefault="006D0527" w:rsidP="006D0527">
            <w:pPr>
              <w:spacing w:line="240" w:lineRule="auto"/>
              <w:jc w:val="center"/>
              <w:rPr>
                <w:rFonts w:eastAsia="Times New Roman" w:cstheme="minorHAnsi"/>
                <w:lang w:eastAsia="en-GB"/>
              </w:rPr>
            </w:pPr>
            <w:r w:rsidRPr="006D0527">
              <w:rPr>
                <w:rFonts w:eastAsia="Times New Roman" w:cstheme="minorHAnsi"/>
                <w:lang w:eastAsia="en-GB"/>
              </w:rPr>
              <w:t>2020</w:t>
            </w:r>
          </w:p>
        </w:tc>
        <w:tc>
          <w:tcPr>
            <w:tcW w:w="2017" w:type="dxa"/>
            <w:noWrap/>
            <w:hideMark/>
          </w:tcPr>
          <w:p w14:paraId="3E3A8DCD" w14:textId="77777777" w:rsidR="006D0527" w:rsidRPr="00DE172F" w:rsidRDefault="00DC0DA3"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Pr>
                <w:rFonts w:eastAsia="Times New Roman" w:cstheme="minorHAnsi"/>
                <w:b w:val="0"/>
                <w:lang w:eastAsia="en-GB"/>
              </w:rPr>
              <w:t>58.6</w:t>
            </w:r>
            <w:r w:rsidR="006D0527" w:rsidRPr="00DE172F">
              <w:rPr>
                <w:rFonts w:eastAsia="Times New Roman" w:cstheme="minorHAnsi"/>
                <w:b w:val="0"/>
                <w:lang w:eastAsia="en-GB"/>
              </w:rPr>
              <w:t>%</w:t>
            </w:r>
          </w:p>
        </w:tc>
        <w:tc>
          <w:tcPr>
            <w:tcW w:w="1947" w:type="dxa"/>
            <w:noWrap/>
            <w:hideMark/>
          </w:tcPr>
          <w:p w14:paraId="675EBC06" w14:textId="77777777" w:rsidR="006D0527" w:rsidRPr="00DE172F" w:rsidRDefault="00DC0DA3"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Pr>
                <w:rFonts w:eastAsia="Times New Roman" w:cstheme="minorHAnsi"/>
                <w:b w:val="0"/>
                <w:lang w:eastAsia="en-GB"/>
              </w:rPr>
              <w:t>57.3</w:t>
            </w:r>
            <w:r w:rsidR="006D0527" w:rsidRPr="00DE172F">
              <w:rPr>
                <w:rFonts w:eastAsia="Times New Roman" w:cstheme="minorHAnsi"/>
                <w:b w:val="0"/>
                <w:lang w:eastAsia="en-GB"/>
              </w:rPr>
              <w:t>%</w:t>
            </w:r>
          </w:p>
        </w:tc>
        <w:tc>
          <w:tcPr>
            <w:tcW w:w="2306" w:type="dxa"/>
            <w:hideMark/>
          </w:tcPr>
          <w:p w14:paraId="3860281E" w14:textId="77777777" w:rsidR="006D0527" w:rsidRPr="00DE172F" w:rsidRDefault="00DC0DA3"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Pr>
                <w:rFonts w:eastAsia="Times New Roman" w:cstheme="minorHAnsi"/>
                <w:b w:val="0"/>
                <w:lang w:eastAsia="en-GB"/>
              </w:rPr>
              <w:t>71</w:t>
            </w:r>
            <w:r w:rsidR="006D0527" w:rsidRPr="00DE172F">
              <w:rPr>
                <w:rFonts w:eastAsia="Times New Roman" w:cstheme="minorHAnsi"/>
                <w:b w:val="0"/>
                <w:lang w:eastAsia="en-GB"/>
              </w:rPr>
              <w:t>.3%</w:t>
            </w:r>
          </w:p>
        </w:tc>
        <w:tc>
          <w:tcPr>
            <w:tcW w:w="1842" w:type="dxa"/>
            <w:hideMark/>
          </w:tcPr>
          <w:p w14:paraId="5BEFDCFD" w14:textId="77777777" w:rsidR="006D0527" w:rsidRPr="00DE172F" w:rsidRDefault="00DC0DA3"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Pr>
                <w:rFonts w:eastAsia="Times New Roman" w:cstheme="minorHAnsi"/>
                <w:b w:val="0"/>
                <w:lang w:eastAsia="en-GB"/>
              </w:rPr>
              <w:t>69.8</w:t>
            </w:r>
            <w:r w:rsidR="006D0527" w:rsidRPr="00DE172F">
              <w:rPr>
                <w:rFonts w:eastAsia="Times New Roman" w:cstheme="minorHAnsi"/>
                <w:b w:val="0"/>
                <w:lang w:eastAsia="en-GB"/>
              </w:rPr>
              <w:t>%</w:t>
            </w:r>
          </w:p>
        </w:tc>
      </w:tr>
      <w:tr w:rsidR="00DC0DA3" w:rsidRPr="006D0527" w14:paraId="5A47340D" w14:textId="77777777" w:rsidTr="00DE172F">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tcPr>
          <w:p w14:paraId="7259DBBC" w14:textId="77777777" w:rsidR="00DC0DA3" w:rsidRPr="006D0527" w:rsidRDefault="00DC0DA3" w:rsidP="006D0527">
            <w:pPr>
              <w:spacing w:line="240" w:lineRule="auto"/>
              <w:jc w:val="center"/>
              <w:rPr>
                <w:rFonts w:eastAsia="Times New Roman" w:cstheme="minorHAnsi"/>
                <w:lang w:eastAsia="en-GB"/>
              </w:rPr>
            </w:pPr>
            <w:r>
              <w:rPr>
                <w:rFonts w:eastAsia="Times New Roman" w:cstheme="minorHAnsi"/>
                <w:lang w:eastAsia="en-GB"/>
              </w:rPr>
              <w:t>2021</w:t>
            </w:r>
          </w:p>
        </w:tc>
        <w:tc>
          <w:tcPr>
            <w:tcW w:w="2017" w:type="dxa"/>
            <w:noWrap/>
          </w:tcPr>
          <w:p w14:paraId="7C4F9D26" w14:textId="77777777" w:rsidR="00DC0DA3" w:rsidRPr="00DC0DA3" w:rsidRDefault="00DC0DA3"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C0DA3">
              <w:rPr>
                <w:rFonts w:eastAsia="Times New Roman" w:cstheme="minorHAnsi"/>
                <w:b w:val="0"/>
                <w:lang w:eastAsia="en-GB"/>
              </w:rPr>
              <w:t>58.1%</w:t>
            </w:r>
          </w:p>
        </w:tc>
        <w:tc>
          <w:tcPr>
            <w:tcW w:w="1947" w:type="dxa"/>
            <w:noWrap/>
          </w:tcPr>
          <w:p w14:paraId="154CC3B4" w14:textId="77777777" w:rsidR="00DC0DA3" w:rsidRPr="00DC0DA3" w:rsidRDefault="00DC0DA3"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C0DA3">
              <w:rPr>
                <w:rFonts w:eastAsia="Times New Roman" w:cstheme="minorHAnsi"/>
                <w:b w:val="0"/>
                <w:lang w:eastAsia="en-GB"/>
              </w:rPr>
              <w:t>57.4%</w:t>
            </w:r>
          </w:p>
        </w:tc>
        <w:tc>
          <w:tcPr>
            <w:tcW w:w="2306" w:type="dxa"/>
          </w:tcPr>
          <w:p w14:paraId="3CFC7E79" w14:textId="77777777" w:rsidR="00DC0DA3" w:rsidRPr="00DC0DA3" w:rsidRDefault="00DC0DA3"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C0DA3">
              <w:rPr>
                <w:rFonts w:eastAsia="Times New Roman" w:cstheme="minorHAnsi"/>
                <w:b w:val="0"/>
                <w:lang w:eastAsia="en-GB"/>
              </w:rPr>
              <w:t>70.9%</w:t>
            </w:r>
          </w:p>
        </w:tc>
        <w:tc>
          <w:tcPr>
            <w:tcW w:w="1842" w:type="dxa"/>
          </w:tcPr>
          <w:p w14:paraId="3D8CB6A2" w14:textId="77777777" w:rsidR="00DC0DA3" w:rsidRPr="00DC0DA3" w:rsidRDefault="00DC0DA3" w:rsidP="006D0527">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lang w:eastAsia="en-GB"/>
              </w:rPr>
            </w:pPr>
            <w:r w:rsidRPr="00DC0DA3">
              <w:rPr>
                <w:rFonts w:eastAsia="Times New Roman" w:cstheme="minorHAnsi"/>
                <w:b w:val="0"/>
                <w:lang w:eastAsia="en-GB"/>
              </w:rPr>
              <w:t>70.2%</w:t>
            </w:r>
          </w:p>
        </w:tc>
      </w:tr>
      <w:tr w:rsidR="001A5FB9" w:rsidRPr="001A5FB9" w14:paraId="17EA5770" w14:textId="77777777" w:rsidTr="00345BAE">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vAlign w:val="center"/>
          </w:tcPr>
          <w:p w14:paraId="5B1A1B31" w14:textId="5E39FDC7" w:rsidR="001A5FB9" w:rsidRPr="001A5FB9" w:rsidRDefault="001A5FB9" w:rsidP="001A5FB9">
            <w:pPr>
              <w:spacing w:line="240" w:lineRule="auto"/>
              <w:jc w:val="center"/>
              <w:rPr>
                <w:rFonts w:eastAsia="Times New Roman" w:cstheme="minorHAnsi"/>
                <w:lang w:eastAsia="en-GB"/>
              </w:rPr>
            </w:pPr>
            <w:r w:rsidRPr="001A5FB9">
              <w:rPr>
                <w:rFonts w:cstheme="minorHAnsi"/>
              </w:rPr>
              <w:t>2022</w:t>
            </w:r>
          </w:p>
        </w:tc>
        <w:tc>
          <w:tcPr>
            <w:tcW w:w="2017" w:type="dxa"/>
            <w:noWrap/>
            <w:vAlign w:val="center"/>
          </w:tcPr>
          <w:p w14:paraId="13920F07" w14:textId="71C9B413" w:rsidR="001A5FB9" w:rsidRPr="001A5FB9" w:rsidRDefault="001A5FB9" w:rsidP="001A5FB9">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sidRPr="001A5FB9">
              <w:rPr>
                <w:rFonts w:cstheme="minorHAnsi"/>
                <w:b w:val="0"/>
                <w:bCs w:val="0"/>
              </w:rPr>
              <w:t>63.1%</w:t>
            </w:r>
          </w:p>
        </w:tc>
        <w:tc>
          <w:tcPr>
            <w:tcW w:w="1947" w:type="dxa"/>
            <w:noWrap/>
            <w:vAlign w:val="center"/>
          </w:tcPr>
          <w:p w14:paraId="65574C6B" w14:textId="620E359C" w:rsidR="001A5FB9" w:rsidRPr="001A5FB9" w:rsidRDefault="001A5FB9" w:rsidP="001A5FB9">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sidRPr="001A5FB9">
              <w:rPr>
                <w:rFonts w:cstheme="minorHAnsi"/>
                <w:b w:val="0"/>
                <w:bCs w:val="0"/>
              </w:rPr>
              <w:t>59.2%</w:t>
            </w:r>
          </w:p>
        </w:tc>
        <w:tc>
          <w:tcPr>
            <w:tcW w:w="2306" w:type="dxa"/>
            <w:vAlign w:val="center"/>
          </w:tcPr>
          <w:p w14:paraId="611B8CA5" w14:textId="562B937D" w:rsidR="001A5FB9" w:rsidRPr="001A5FB9" w:rsidRDefault="001A5FB9" w:rsidP="001A5FB9">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sidRPr="001A5FB9">
              <w:rPr>
                <w:rFonts w:cstheme="minorHAnsi"/>
                <w:b w:val="0"/>
                <w:bCs w:val="0"/>
              </w:rPr>
              <w:t>75.2%</w:t>
            </w:r>
          </w:p>
        </w:tc>
        <w:tc>
          <w:tcPr>
            <w:tcW w:w="1842" w:type="dxa"/>
            <w:vAlign w:val="center"/>
          </w:tcPr>
          <w:p w14:paraId="78EF85BB" w14:textId="60C5F8E0" w:rsidR="001A5FB9" w:rsidRPr="001A5FB9" w:rsidRDefault="001A5FB9" w:rsidP="001A5FB9">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lang w:eastAsia="en-GB"/>
              </w:rPr>
            </w:pPr>
            <w:r w:rsidRPr="001A5FB9">
              <w:rPr>
                <w:rFonts w:cstheme="minorHAnsi"/>
                <w:b w:val="0"/>
                <w:bCs w:val="0"/>
              </w:rPr>
              <w:t>71.9%</w:t>
            </w:r>
          </w:p>
        </w:tc>
      </w:tr>
      <w:tr w:rsidR="00DD1E74" w:rsidRPr="00DD1E74" w14:paraId="64B8EBFF" w14:textId="77777777" w:rsidTr="00345BAE">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vAlign w:val="center"/>
          </w:tcPr>
          <w:p w14:paraId="56C103F6" w14:textId="6F8D3E83" w:rsidR="00DD1E74" w:rsidRPr="001A5FB9" w:rsidRDefault="00DD1E74" w:rsidP="00DD1E74">
            <w:pPr>
              <w:spacing w:line="240" w:lineRule="auto"/>
              <w:jc w:val="center"/>
              <w:rPr>
                <w:rFonts w:cstheme="minorHAnsi"/>
              </w:rPr>
            </w:pPr>
            <w:r w:rsidRPr="00DD1E74">
              <w:rPr>
                <w:rFonts w:cstheme="minorHAnsi"/>
              </w:rPr>
              <w:t>2023</w:t>
            </w:r>
          </w:p>
        </w:tc>
        <w:tc>
          <w:tcPr>
            <w:tcW w:w="2017" w:type="dxa"/>
            <w:noWrap/>
            <w:vAlign w:val="center"/>
          </w:tcPr>
          <w:p w14:paraId="45C1E6C8" w14:textId="18A41ECE" w:rsidR="00DD1E74" w:rsidRPr="00DD1E74" w:rsidRDefault="00DD1E74" w:rsidP="00DD1E7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D1E74">
              <w:rPr>
                <w:rFonts w:cstheme="minorHAnsi"/>
                <w:b w:val="0"/>
                <w:bCs w:val="0"/>
              </w:rPr>
              <w:t>64.0%</w:t>
            </w:r>
          </w:p>
        </w:tc>
        <w:tc>
          <w:tcPr>
            <w:tcW w:w="1947" w:type="dxa"/>
            <w:noWrap/>
            <w:vAlign w:val="center"/>
          </w:tcPr>
          <w:p w14:paraId="3ABF6E82" w14:textId="6B3E7802" w:rsidR="00DD1E74" w:rsidRPr="00DD1E74" w:rsidRDefault="00DD1E74" w:rsidP="00DD1E7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D1E74">
              <w:rPr>
                <w:rFonts w:cstheme="minorHAnsi"/>
                <w:b w:val="0"/>
                <w:bCs w:val="0"/>
              </w:rPr>
              <w:t>60.5%</w:t>
            </w:r>
          </w:p>
        </w:tc>
        <w:tc>
          <w:tcPr>
            <w:tcW w:w="2306" w:type="dxa"/>
            <w:vAlign w:val="center"/>
          </w:tcPr>
          <w:p w14:paraId="5CFF41A0" w14:textId="568EE740" w:rsidR="00DD1E74" w:rsidRPr="00DD1E74" w:rsidRDefault="00DD1E74" w:rsidP="00DD1E7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D1E74">
              <w:rPr>
                <w:rFonts w:cstheme="minorHAnsi"/>
                <w:b w:val="0"/>
                <w:bCs w:val="0"/>
              </w:rPr>
              <w:t>76.6%</w:t>
            </w:r>
          </w:p>
        </w:tc>
        <w:tc>
          <w:tcPr>
            <w:tcW w:w="1842" w:type="dxa"/>
            <w:vAlign w:val="center"/>
          </w:tcPr>
          <w:p w14:paraId="47856D24" w14:textId="434A6C46" w:rsidR="00DD1E74" w:rsidRPr="00DD1E74" w:rsidRDefault="00DD1E74" w:rsidP="00DD1E7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D1E74">
              <w:rPr>
                <w:rFonts w:cstheme="minorHAnsi"/>
                <w:b w:val="0"/>
                <w:bCs w:val="0"/>
              </w:rPr>
              <w:t>73.6%</w:t>
            </w:r>
          </w:p>
        </w:tc>
      </w:tr>
      <w:tr w:rsidR="00843348" w:rsidRPr="00DD1E74" w14:paraId="6B430387" w14:textId="77777777" w:rsidTr="00345BAE">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955" w:type="dxa"/>
            <w:vAlign w:val="center"/>
          </w:tcPr>
          <w:p w14:paraId="7F67D979" w14:textId="1C39E3A3" w:rsidR="00843348" w:rsidRPr="00DD1E74" w:rsidRDefault="00843348" w:rsidP="00DD1E74">
            <w:pPr>
              <w:spacing w:line="240" w:lineRule="auto"/>
              <w:jc w:val="center"/>
              <w:rPr>
                <w:rFonts w:cstheme="minorHAnsi"/>
              </w:rPr>
            </w:pPr>
            <w:r>
              <w:rPr>
                <w:rFonts w:cstheme="minorHAnsi"/>
              </w:rPr>
              <w:t>2024</w:t>
            </w:r>
          </w:p>
        </w:tc>
        <w:tc>
          <w:tcPr>
            <w:tcW w:w="2017" w:type="dxa"/>
            <w:noWrap/>
            <w:vAlign w:val="center"/>
          </w:tcPr>
          <w:p w14:paraId="4E0F04CC" w14:textId="56960D88" w:rsidR="00843348" w:rsidRPr="00843348" w:rsidRDefault="00843348" w:rsidP="00DD1E7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843348">
              <w:rPr>
                <w:rFonts w:cstheme="minorHAnsi"/>
                <w:b w:val="0"/>
                <w:bCs w:val="0"/>
              </w:rPr>
              <w:t>67.6%</w:t>
            </w:r>
          </w:p>
        </w:tc>
        <w:tc>
          <w:tcPr>
            <w:tcW w:w="1947" w:type="dxa"/>
            <w:noWrap/>
            <w:vAlign w:val="center"/>
          </w:tcPr>
          <w:p w14:paraId="3137DA1B" w14:textId="5591F6A4" w:rsidR="00843348" w:rsidRPr="00843348" w:rsidRDefault="00843348" w:rsidP="00DD1E7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843348">
              <w:rPr>
                <w:rFonts w:cstheme="minorHAnsi"/>
                <w:b w:val="0"/>
                <w:bCs w:val="0"/>
              </w:rPr>
              <w:t>61.4%</w:t>
            </w:r>
          </w:p>
        </w:tc>
        <w:tc>
          <w:tcPr>
            <w:tcW w:w="2306" w:type="dxa"/>
            <w:vAlign w:val="center"/>
          </w:tcPr>
          <w:p w14:paraId="46B70909" w14:textId="5BAFE26B" w:rsidR="00843348" w:rsidRPr="00843348" w:rsidRDefault="00843348" w:rsidP="00DD1E7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843348">
              <w:rPr>
                <w:rFonts w:cstheme="minorHAnsi"/>
                <w:b w:val="0"/>
                <w:bCs w:val="0"/>
              </w:rPr>
              <w:t>79.3%</w:t>
            </w:r>
          </w:p>
        </w:tc>
        <w:tc>
          <w:tcPr>
            <w:tcW w:w="1842" w:type="dxa"/>
            <w:vAlign w:val="center"/>
          </w:tcPr>
          <w:p w14:paraId="76E28631" w14:textId="18DA1758" w:rsidR="00843348" w:rsidRPr="00843348" w:rsidRDefault="00843348" w:rsidP="00DD1E74">
            <w:pPr>
              <w:spacing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843348">
              <w:rPr>
                <w:rFonts w:cstheme="minorHAnsi"/>
                <w:b w:val="0"/>
                <w:bCs w:val="0"/>
              </w:rPr>
              <w:t>74.3%</w:t>
            </w:r>
          </w:p>
        </w:tc>
      </w:tr>
    </w:tbl>
    <w:p w14:paraId="292B0EBF" w14:textId="7B6E4193" w:rsidR="006E3964" w:rsidRDefault="00BB1AA1" w:rsidP="00436B09">
      <w:pPr>
        <w:rPr>
          <w:i/>
          <w:sz w:val="20"/>
          <w:szCs w:val="20"/>
        </w:rPr>
      </w:pPr>
      <w:r w:rsidRPr="00B26715">
        <w:rPr>
          <w:i/>
          <w:sz w:val="20"/>
          <w:szCs w:val="20"/>
        </w:rPr>
        <w:t xml:space="preserve">Table 2: </w:t>
      </w:r>
      <w:r w:rsidR="004E6185" w:rsidRPr="00B26715">
        <w:rPr>
          <w:i/>
          <w:sz w:val="20"/>
          <w:szCs w:val="20"/>
        </w:rPr>
        <w:t xml:space="preserve">Employment rate for Armagh City, Banbridge and Craigavon </w:t>
      </w:r>
      <w:r w:rsidRPr="00B26715">
        <w:rPr>
          <w:i/>
          <w:sz w:val="20"/>
          <w:szCs w:val="20"/>
        </w:rPr>
        <w:t xml:space="preserve">Borough </w:t>
      </w:r>
      <w:r w:rsidR="004E6185" w:rsidRPr="00B26715">
        <w:rPr>
          <w:i/>
          <w:sz w:val="20"/>
          <w:szCs w:val="20"/>
        </w:rPr>
        <w:t>and Northern Ireland between 2009 and 20</w:t>
      </w:r>
      <w:r w:rsidR="00B26715" w:rsidRPr="00B26715">
        <w:rPr>
          <w:i/>
          <w:sz w:val="20"/>
          <w:szCs w:val="20"/>
        </w:rPr>
        <w:t>2</w:t>
      </w:r>
      <w:r w:rsidR="00843348">
        <w:rPr>
          <w:i/>
          <w:sz w:val="20"/>
          <w:szCs w:val="20"/>
        </w:rPr>
        <w:t>4</w:t>
      </w:r>
      <w:r w:rsidR="004E6185" w:rsidRPr="00B26715">
        <w:rPr>
          <w:i/>
          <w:sz w:val="20"/>
          <w:szCs w:val="20"/>
        </w:rPr>
        <w:t>. Source: Labour Force Survey, NISRA.</w:t>
      </w:r>
    </w:p>
    <w:p w14:paraId="58964BDF" w14:textId="77777777" w:rsidR="006E3964" w:rsidRDefault="006E3964" w:rsidP="00436B09">
      <w:pPr>
        <w:rPr>
          <w:i/>
          <w:sz w:val="20"/>
          <w:szCs w:val="20"/>
        </w:rPr>
      </w:pPr>
    </w:p>
    <w:p w14:paraId="661A4056" w14:textId="4CBE2464" w:rsidR="00436B09" w:rsidRDefault="00D612B9" w:rsidP="00436B09">
      <w:pPr>
        <w:rPr>
          <w:i/>
          <w:sz w:val="20"/>
          <w:szCs w:val="20"/>
        </w:rPr>
      </w:pPr>
      <w:r>
        <w:rPr>
          <w:noProof/>
        </w:rPr>
        <w:drawing>
          <wp:inline distT="0" distB="0" distL="0" distR="0" wp14:anchorId="437CFA1F" wp14:editId="21DB9B72">
            <wp:extent cx="5920740" cy="3433445"/>
            <wp:effectExtent l="0" t="0" r="3810" b="14605"/>
            <wp:docPr id="885478979" name="Chart 1">
              <a:extLst xmlns:a="http://schemas.openxmlformats.org/drawingml/2006/main">
                <a:ext uri="{FF2B5EF4-FFF2-40B4-BE49-F238E27FC236}">
                  <a16:creationId xmlns:a16="http://schemas.microsoft.com/office/drawing/2014/main" id="{25DF24A0-8556-1490-0AA5-EB0B2C12A7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BB1AA1" w:rsidRPr="008975C8">
        <w:rPr>
          <w:i/>
          <w:sz w:val="20"/>
          <w:szCs w:val="20"/>
        </w:rPr>
        <w:t xml:space="preserve">Figure 1: </w:t>
      </w:r>
      <w:r w:rsidR="00436B09" w:rsidRPr="008975C8">
        <w:rPr>
          <w:i/>
          <w:sz w:val="20"/>
          <w:szCs w:val="20"/>
        </w:rPr>
        <w:t xml:space="preserve"> Employment rate (16+) for Armagh City, Banbridge and Craigavon</w:t>
      </w:r>
      <w:r w:rsidR="00BB1AA1" w:rsidRPr="008975C8">
        <w:rPr>
          <w:i/>
          <w:sz w:val="20"/>
          <w:szCs w:val="20"/>
        </w:rPr>
        <w:t xml:space="preserve"> Borough</w:t>
      </w:r>
      <w:r w:rsidR="00436B09" w:rsidRPr="008975C8">
        <w:rPr>
          <w:i/>
          <w:sz w:val="20"/>
          <w:szCs w:val="20"/>
        </w:rPr>
        <w:t xml:space="preserve"> and Northern Ireland between 2009 and 20</w:t>
      </w:r>
      <w:r w:rsidR="00B26715" w:rsidRPr="008975C8">
        <w:rPr>
          <w:i/>
          <w:sz w:val="20"/>
          <w:szCs w:val="20"/>
        </w:rPr>
        <w:t>2</w:t>
      </w:r>
      <w:r>
        <w:rPr>
          <w:i/>
          <w:sz w:val="20"/>
          <w:szCs w:val="20"/>
        </w:rPr>
        <w:t>4</w:t>
      </w:r>
      <w:r w:rsidR="00436B09" w:rsidRPr="008975C8">
        <w:rPr>
          <w:i/>
          <w:sz w:val="20"/>
          <w:szCs w:val="20"/>
        </w:rPr>
        <w:t>. Source: Labour Force Survey, NISRA.</w:t>
      </w:r>
    </w:p>
    <w:p w14:paraId="1636480C" w14:textId="77777777" w:rsidR="00DC0DA3" w:rsidRPr="00DC0DA3" w:rsidRDefault="00DC0DA3" w:rsidP="00436B09">
      <w:pPr>
        <w:rPr>
          <w:i/>
          <w:color w:val="FF0000"/>
          <w:sz w:val="20"/>
          <w:szCs w:val="20"/>
        </w:rPr>
      </w:pPr>
    </w:p>
    <w:p w14:paraId="3B76B1CD" w14:textId="1635FA50" w:rsidR="00436B09" w:rsidRPr="00DC0DA3" w:rsidRDefault="00D612B9" w:rsidP="00436B09">
      <w:pPr>
        <w:rPr>
          <w:color w:val="FF0000"/>
        </w:rPr>
      </w:pPr>
      <w:r>
        <w:rPr>
          <w:noProof/>
        </w:rPr>
        <w:lastRenderedPageBreak/>
        <w:drawing>
          <wp:inline distT="0" distB="0" distL="0" distR="0" wp14:anchorId="02D07373" wp14:editId="724A2789">
            <wp:extent cx="5857875" cy="3185795"/>
            <wp:effectExtent l="0" t="0" r="9525" b="14605"/>
            <wp:docPr id="887557161" name="Chart 1">
              <a:extLst xmlns:a="http://schemas.openxmlformats.org/drawingml/2006/main">
                <a:ext uri="{FF2B5EF4-FFF2-40B4-BE49-F238E27FC236}">
                  <a16:creationId xmlns:a16="http://schemas.microsoft.com/office/drawing/2014/main" id="{0CFB426A-42B3-6E32-CE09-05F56C1E4E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B1AA1" w:rsidRPr="008975C8">
        <w:rPr>
          <w:i/>
          <w:sz w:val="20"/>
          <w:szCs w:val="20"/>
        </w:rPr>
        <w:t xml:space="preserve">Figure 2: </w:t>
      </w:r>
      <w:r w:rsidR="00436B09" w:rsidRPr="008975C8">
        <w:rPr>
          <w:i/>
          <w:sz w:val="20"/>
          <w:szCs w:val="20"/>
        </w:rPr>
        <w:t xml:space="preserve">Employment rate (16-64) for Armagh City, Banbridge and Craigavon </w:t>
      </w:r>
      <w:r w:rsidR="00BB1AA1" w:rsidRPr="008975C8">
        <w:rPr>
          <w:i/>
          <w:sz w:val="20"/>
          <w:szCs w:val="20"/>
        </w:rPr>
        <w:t xml:space="preserve">Borough </w:t>
      </w:r>
      <w:r w:rsidR="00436B09" w:rsidRPr="008975C8">
        <w:rPr>
          <w:i/>
          <w:sz w:val="20"/>
          <w:szCs w:val="20"/>
        </w:rPr>
        <w:t>and Northern Ireland between 2009 and 20</w:t>
      </w:r>
      <w:r w:rsidR="008975C8" w:rsidRPr="008975C8">
        <w:rPr>
          <w:i/>
          <w:sz w:val="20"/>
          <w:szCs w:val="20"/>
        </w:rPr>
        <w:t>2</w:t>
      </w:r>
      <w:r>
        <w:rPr>
          <w:i/>
          <w:sz w:val="20"/>
          <w:szCs w:val="20"/>
        </w:rPr>
        <w:t>4</w:t>
      </w:r>
      <w:r w:rsidR="00436B09" w:rsidRPr="008975C8">
        <w:rPr>
          <w:i/>
          <w:sz w:val="20"/>
          <w:szCs w:val="20"/>
        </w:rPr>
        <w:t>. Source: Labour Force Survey, NISRA.</w:t>
      </w:r>
    </w:p>
    <w:p w14:paraId="5E874A42" w14:textId="6F0286F9" w:rsidR="009759F5" w:rsidRDefault="009759F5" w:rsidP="009759F5"/>
    <w:p w14:paraId="07389F85" w14:textId="027DA524" w:rsidR="009759F5" w:rsidRDefault="009759F5" w:rsidP="009759F5">
      <w:pPr>
        <w:rPr>
          <w:b/>
          <w:bCs/>
        </w:rPr>
      </w:pPr>
      <w:r w:rsidRPr="000A51EE">
        <w:rPr>
          <w:b/>
          <w:bCs/>
          <w:noProof/>
        </w:rPr>
        <w:drawing>
          <wp:inline distT="0" distB="0" distL="0" distR="0" wp14:anchorId="44619B28" wp14:editId="3E210DA1">
            <wp:extent cx="323850" cy="518248"/>
            <wp:effectExtent l="0" t="0" r="0" b="0"/>
            <wp:docPr id="1714221058" name="Picture 1714221058" descr="A blue person to show male employment r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21058" name="Picture 1714221058" descr="A blue person to show male employment rat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631" cy="519498"/>
                    </a:xfrm>
                    <a:prstGeom prst="rect">
                      <a:avLst/>
                    </a:prstGeom>
                  </pic:spPr>
                </pic:pic>
              </a:graphicData>
            </a:graphic>
          </wp:inline>
        </w:drawing>
      </w:r>
      <w:r>
        <w:rPr>
          <w:b/>
          <w:bCs/>
        </w:rPr>
        <w:t xml:space="preserve"> </w:t>
      </w:r>
    </w:p>
    <w:p w14:paraId="224C671E" w14:textId="736B2543" w:rsidR="009759F5" w:rsidRDefault="009759F5" w:rsidP="009759F5">
      <w:pPr>
        <w:rPr>
          <w:b/>
          <w:bCs/>
        </w:rPr>
      </w:pPr>
      <w:r>
        <w:rPr>
          <w:b/>
          <w:bCs/>
        </w:rPr>
        <w:t xml:space="preserve">16-64 Employment Rate (ABC) = </w:t>
      </w:r>
      <w:r w:rsidR="00D612B9">
        <w:rPr>
          <w:b/>
          <w:bCs/>
        </w:rPr>
        <w:t>84.1</w:t>
      </w:r>
      <w:r>
        <w:rPr>
          <w:b/>
          <w:bCs/>
        </w:rPr>
        <w:t xml:space="preserve">%  </w:t>
      </w:r>
    </w:p>
    <w:p w14:paraId="2F3561DF" w14:textId="6E411EF1" w:rsidR="009759F5" w:rsidRDefault="009759F5" w:rsidP="009759F5">
      <w:pPr>
        <w:rPr>
          <w:b/>
          <w:bCs/>
        </w:rPr>
      </w:pPr>
      <w:r>
        <w:rPr>
          <w:b/>
          <w:bCs/>
        </w:rPr>
        <w:t>16-64 Employment Rate (NI) = 7</w:t>
      </w:r>
      <w:r w:rsidR="00D612B9">
        <w:rPr>
          <w:b/>
          <w:bCs/>
        </w:rPr>
        <w:t>8.4</w:t>
      </w:r>
      <w:r>
        <w:rPr>
          <w:b/>
          <w:bCs/>
        </w:rPr>
        <w:t xml:space="preserve">%                              </w:t>
      </w:r>
    </w:p>
    <w:p w14:paraId="2DF881DA" w14:textId="77777777" w:rsidR="009759F5" w:rsidRDefault="009759F5" w:rsidP="009759F5">
      <w:pPr>
        <w:rPr>
          <w:b/>
          <w:bCs/>
        </w:rPr>
      </w:pPr>
      <w:r w:rsidRPr="000A51EE">
        <w:rPr>
          <w:b/>
          <w:bCs/>
          <w:noProof/>
        </w:rPr>
        <w:drawing>
          <wp:inline distT="0" distB="0" distL="0" distR="0" wp14:anchorId="3CB507AD" wp14:editId="247117A0">
            <wp:extent cx="304800" cy="534318"/>
            <wp:effectExtent l="0" t="0" r="0" b="0"/>
            <wp:docPr id="300511508" name="Picture 300511508" descr="A red person icon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67286" name="Picture 1" descr="A red person icon with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299" cy="540452"/>
                    </a:xfrm>
                    <a:prstGeom prst="rect">
                      <a:avLst/>
                    </a:prstGeom>
                  </pic:spPr>
                </pic:pic>
              </a:graphicData>
            </a:graphic>
          </wp:inline>
        </w:drawing>
      </w:r>
    </w:p>
    <w:p w14:paraId="319A59DE" w14:textId="2BD451D0" w:rsidR="009759F5" w:rsidRDefault="009759F5" w:rsidP="009759F5">
      <w:pPr>
        <w:rPr>
          <w:b/>
          <w:bCs/>
        </w:rPr>
      </w:pPr>
      <w:r>
        <w:rPr>
          <w:b/>
          <w:bCs/>
        </w:rPr>
        <w:t xml:space="preserve"> 16-64 Employment Rate (ABC) = </w:t>
      </w:r>
      <w:r w:rsidR="00D612B9">
        <w:rPr>
          <w:b/>
          <w:bCs/>
        </w:rPr>
        <w:t>74.8</w:t>
      </w:r>
      <w:r>
        <w:rPr>
          <w:b/>
          <w:bCs/>
        </w:rPr>
        <w:t xml:space="preserve">% </w:t>
      </w:r>
    </w:p>
    <w:p w14:paraId="0976730B" w14:textId="5C2EDFE6" w:rsidR="009759F5" w:rsidRPr="00D001B0" w:rsidRDefault="009759F5" w:rsidP="009759F5">
      <w:pPr>
        <w:rPr>
          <w:b/>
          <w:bCs/>
        </w:rPr>
      </w:pPr>
      <w:r>
        <w:rPr>
          <w:b/>
          <w:bCs/>
        </w:rPr>
        <w:t xml:space="preserve"> 16-64 Employment Rate (NI) = </w:t>
      </w:r>
      <w:r w:rsidR="00BD7631">
        <w:rPr>
          <w:b/>
          <w:bCs/>
        </w:rPr>
        <w:t>70</w:t>
      </w:r>
      <w:r w:rsidR="00D612B9">
        <w:rPr>
          <w:b/>
          <w:bCs/>
        </w:rPr>
        <w:t>.3</w:t>
      </w:r>
      <w:r>
        <w:rPr>
          <w:b/>
          <w:bCs/>
        </w:rPr>
        <w:t xml:space="preserve">%                              </w:t>
      </w:r>
    </w:p>
    <w:p w14:paraId="202814DC" w14:textId="77777777" w:rsidR="009759F5" w:rsidRDefault="009759F5" w:rsidP="009759F5">
      <w:pPr>
        <w:rPr>
          <w:b/>
          <w:bCs/>
        </w:rPr>
      </w:pPr>
    </w:p>
    <w:p w14:paraId="46A55DBF" w14:textId="77777777" w:rsidR="00266E88" w:rsidRDefault="00266E88" w:rsidP="00436B09">
      <w:pPr>
        <w:rPr>
          <w:color w:val="FF0000"/>
        </w:rPr>
      </w:pPr>
    </w:p>
    <w:p w14:paraId="27420387" w14:textId="77777777" w:rsidR="00681CEB" w:rsidRDefault="00681CEB" w:rsidP="00436B09">
      <w:pPr>
        <w:rPr>
          <w:color w:val="FF0000"/>
        </w:rPr>
      </w:pPr>
    </w:p>
    <w:p w14:paraId="4AD3A548" w14:textId="77777777" w:rsidR="00681CEB" w:rsidRDefault="00681CEB" w:rsidP="00436B09">
      <w:pPr>
        <w:rPr>
          <w:color w:val="FF0000"/>
        </w:rPr>
      </w:pPr>
    </w:p>
    <w:p w14:paraId="10469454" w14:textId="77777777" w:rsidR="00681CEB" w:rsidRDefault="00681CEB" w:rsidP="00436B09">
      <w:pPr>
        <w:rPr>
          <w:color w:val="FF0000"/>
        </w:rPr>
      </w:pPr>
    </w:p>
    <w:p w14:paraId="06A0F003" w14:textId="77777777" w:rsidR="00681CEB" w:rsidRDefault="00681CEB" w:rsidP="00436B09">
      <w:pPr>
        <w:rPr>
          <w:color w:val="FF0000"/>
        </w:rPr>
      </w:pPr>
    </w:p>
    <w:p w14:paraId="79FCB49E" w14:textId="77777777" w:rsidR="00681CEB" w:rsidRDefault="00681CEB" w:rsidP="00436B09">
      <w:pPr>
        <w:rPr>
          <w:color w:val="FF0000"/>
        </w:rPr>
      </w:pPr>
    </w:p>
    <w:p w14:paraId="0D1BD693" w14:textId="77777777" w:rsidR="00681CEB" w:rsidRDefault="00681CEB" w:rsidP="00436B09">
      <w:pPr>
        <w:rPr>
          <w:color w:val="FF0000"/>
        </w:rPr>
      </w:pPr>
    </w:p>
    <w:p w14:paraId="0CC865D1" w14:textId="77777777" w:rsidR="00681CEB" w:rsidRDefault="00681CEB" w:rsidP="00681CEB">
      <w:pPr>
        <w:rPr>
          <w:b/>
          <w:bCs/>
        </w:rPr>
      </w:pPr>
      <w:r>
        <w:rPr>
          <w:b/>
          <w:bCs/>
        </w:rPr>
        <w:lastRenderedPageBreak/>
        <w:t>Une</w:t>
      </w:r>
      <w:r w:rsidRPr="00847CB5">
        <w:rPr>
          <w:b/>
          <w:bCs/>
        </w:rPr>
        <w:t>mployment</w:t>
      </w:r>
      <w:r>
        <w:rPr>
          <w:rStyle w:val="FootnoteReference"/>
          <w:b/>
          <w:bCs/>
        </w:rPr>
        <w:footnoteReference w:id="1"/>
      </w:r>
    </w:p>
    <w:p w14:paraId="7EF6B07B" w14:textId="222FEF7F" w:rsidR="00681CEB" w:rsidRPr="009A561C" w:rsidRDefault="00681CEB" w:rsidP="00681CEB">
      <w:pPr>
        <w:pStyle w:val="ListParagraph"/>
        <w:numPr>
          <w:ilvl w:val="0"/>
          <w:numId w:val="2"/>
        </w:numPr>
      </w:pPr>
      <w:r w:rsidRPr="00E73A3C">
        <w:rPr>
          <w:b/>
          <w:bCs/>
        </w:rPr>
        <w:t xml:space="preserve">The unemployment rate (16 and over) in Armagh City, Banbridge and Craigavon </w:t>
      </w:r>
      <w:r w:rsidR="00021984">
        <w:rPr>
          <w:b/>
          <w:bCs/>
        </w:rPr>
        <w:t>B</w:t>
      </w:r>
      <w:r w:rsidRPr="00E73A3C">
        <w:rPr>
          <w:b/>
          <w:bCs/>
        </w:rPr>
        <w:t>orough for 202</w:t>
      </w:r>
      <w:r w:rsidR="00021984">
        <w:rPr>
          <w:b/>
          <w:bCs/>
        </w:rPr>
        <w:t>4</w:t>
      </w:r>
      <w:r w:rsidRPr="00E73A3C">
        <w:rPr>
          <w:b/>
          <w:bCs/>
        </w:rPr>
        <w:t xml:space="preserve"> was estimated at </w:t>
      </w:r>
      <w:r w:rsidR="00021984">
        <w:rPr>
          <w:b/>
          <w:bCs/>
        </w:rPr>
        <w:t>1.7</w:t>
      </w:r>
      <w:r w:rsidRPr="00E73A3C">
        <w:rPr>
          <w:b/>
          <w:bCs/>
        </w:rPr>
        <w:t>%, a</w:t>
      </w:r>
      <w:r w:rsidR="00021984">
        <w:rPr>
          <w:b/>
          <w:bCs/>
        </w:rPr>
        <w:t xml:space="preserve"> fall </w:t>
      </w:r>
      <w:r w:rsidRPr="00E73A3C">
        <w:rPr>
          <w:b/>
          <w:bCs/>
        </w:rPr>
        <w:t xml:space="preserve">of </w:t>
      </w:r>
      <w:r w:rsidR="00495335">
        <w:rPr>
          <w:b/>
          <w:bCs/>
        </w:rPr>
        <w:t>1</w:t>
      </w:r>
      <w:r w:rsidR="00D970CD">
        <w:rPr>
          <w:b/>
          <w:bCs/>
        </w:rPr>
        <w:t>.7</w:t>
      </w:r>
      <w:r w:rsidRPr="00E73A3C">
        <w:rPr>
          <w:b/>
          <w:bCs/>
        </w:rPr>
        <w:t xml:space="preserve"> percentage points </w:t>
      </w:r>
      <w:proofErr w:type="gramStart"/>
      <w:r w:rsidRPr="00E73A3C">
        <w:rPr>
          <w:b/>
          <w:bCs/>
        </w:rPr>
        <w:t>on</w:t>
      </w:r>
      <w:proofErr w:type="gramEnd"/>
      <w:r w:rsidRPr="00E73A3C">
        <w:rPr>
          <w:b/>
          <w:bCs/>
        </w:rPr>
        <w:t xml:space="preserve"> 202</w:t>
      </w:r>
      <w:r w:rsidR="00495335">
        <w:rPr>
          <w:b/>
          <w:bCs/>
        </w:rPr>
        <w:t>3</w:t>
      </w:r>
      <w:r>
        <w:rPr>
          <w:b/>
          <w:bCs/>
        </w:rPr>
        <w:t xml:space="preserve">. </w:t>
      </w:r>
    </w:p>
    <w:p w14:paraId="58DD494E" w14:textId="2EB45AD7" w:rsidR="00681CEB" w:rsidRPr="00E73A3C" w:rsidRDefault="00681CEB" w:rsidP="00681CEB">
      <w:pPr>
        <w:pStyle w:val="ListParagraph"/>
        <w:numPr>
          <w:ilvl w:val="0"/>
          <w:numId w:val="2"/>
        </w:numPr>
      </w:pPr>
      <w:r>
        <w:rPr>
          <w:b/>
          <w:bCs/>
        </w:rPr>
        <w:t>The number of unemployed persons aged 16 and over in 202</w:t>
      </w:r>
      <w:r w:rsidR="00495335">
        <w:rPr>
          <w:b/>
          <w:bCs/>
        </w:rPr>
        <w:t>4</w:t>
      </w:r>
      <w:r>
        <w:rPr>
          <w:b/>
          <w:bCs/>
        </w:rPr>
        <w:t xml:space="preserve"> was estimated at </w:t>
      </w:r>
      <w:r w:rsidR="00495335">
        <w:rPr>
          <w:b/>
          <w:bCs/>
        </w:rPr>
        <w:t>2</w:t>
      </w:r>
      <w:r>
        <w:rPr>
          <w:b/>
          <w:bCs/>
        </w:rPr>
        <w:t xml:space="preserve">,000, </w:t>
      </w:r>
      <w:r w:rsidR="00495335">
        <w:rPr>
          <w:b/>
          <w:bCs/>
        </w:rPr>
        <w:t>down from 4</w:t>
      </w:r>
      <w:r>
        <w:rPr>
          <w:b/>
          <w:bCs/>
        </w:rPr>
        <w:t xml:space="preserve">,000 in </w:t>
      </w:r>
      <w:r w:rsidR="00495335">
        <w:rPr>
          <w:b/>
          <w:bCs/>
        </w:rPr>
        <w:t>2</w:t>
      </w:r>
      <w:r>
        <w:rPr>
          <w:b/>
          <w:bCs/>
        </w:rPr>
        <w:t>02</w:t>
      </w:r>
      <w:r w:rsidR="00495335">
        <w:rPr>
          <w:b/>
          <w:bCs/>
        </w:rPr>
        <w:t>3</w:t>
      </w:r>
      <w:r>
        <w:rPr>
          <w:b/>
          <w:bCs/>
        </w:rPr>
        <w:t>.</w:t>
      </w:r>
    </w:p>
    <w:p w14:paraId="35DA6377" w14:textId="15CE6E7F" w:rsidR="00681CEB" w:rsidRPr="00E73A3C" w:rsidRDefault="00681CEB" w:rsidP="00681CEB">
      <w:r>
        <w:t>Figure 3 below presents the unemployment rate by LGD in 202</w:t>
      </w:r>
      <w:r w:rsidR="00495335">
        <w:t>4</w:t>
      </w:r>
      <w:r>
        <w:t xml:space="preserve">.  Armagh City, Banbridge and Craigavon </w:t>
      </w:r>
      <w:r w:rsidR="00495335">
        <w:t>B</w:t>
      </w:r>
      <w:r>
        <w:t xml:space="preserve">orough had the </w:t>
      </w:r>
      <w:r w:rsidR="00495335">
        <w:t>fourth lowest</w:t>
      </w:r>
      <w:r>
        <w:t xml:space="preserve"> unemployment rate of the</w:t>
      </w:r>
      <w:r w:rsidR="00495335">
        <w:t xml:space="preserve"> nine</w:t>
      </w:r>
      <w:r>
        <w:t xml:space="preserve"> LGD’s </w:t>
      </w:r>
      <w:r w:rsidR="00495335">
        <w:t>presented</w:t>
      </w:r>
      <w:r w:rsidR="00495335">
        <w:rPr>
          <w:rStyle w:val="FootnoteReference"/>
        </w:rPr>
        <w:footnoteReference w:id="2"/>
      </w:r>
      <w:r w:rsidR="00495335">
        <w:t xml:space="preserve"> </w:t>
      </w:r>
      <w:r>
        <w:t>and was</w:t>
      </w:r>
      <w:r w:rsidR="00495335">
        <w:t xml:space="preserve"> 0.1</w:t>
      </w:r>
      <w:r>
        <w:t xml:space="preserve"> percentage point </w:t>
      </w:r>
      <w:r w:rsidR="00495335">
        <w:t>below</w:t>
      </w:r>
      <w:r>
        <w:t xml:space="preserve"> the Northern Ireland average.  </w:t>
      </w:r>
      <w:r w:rsidR="00495335">
        <w:t xml:space="preserve">Mid and East Antrim </w:t>
      </w:r>
      <w:r>
        <w:t xml:space="preserve">had the highest unemployment rate at </w:t>
      </w:r>
      <w:r w:rsidR="00427EF6">
        <w:t>4.</w:t>
      </w:r>
      <w:r w:rsidR="00495335">
        <w:t>1</w:t>
      </w:r>
      <w:r>
        <w:t xml:space="preserve">% while </w:t>
      </w:r>
      <w:r w:rsidR="00495335">
        <w:t>Antim and Newtownabbey</w:t>
      </w:r>
      <w:r>
        <w:t xml:space="preserve"> had the lowest at </w:t>
      </w:r>
      <w:r w:rsidR="00495335">
        <w:t>1.1</w:t>
      </w:r>
      <w:r>
        <w:t xml:space="preserve">%.  </w:t>
      </w:r>
    </w:p>
    <w:p w14:paraId="16A69AD6" w14:textId="46A0177D" w:rsidR="00427EF6" w:rsidRDefault="00495335" w:rsidP="00427EF6">
      <w:pPr>
        <w:rPr>
          <w:sz w:val="20"/>
          <w:szCs w:val="20"/>
        </w:rPr>
      </w:pPr>
      <w:r>
        <w:rPr>
          <w:noProof/>
        </w:rPr>
        <w:drawing>
          <wp:inline distT="0" distB="0" distL="0" distR="0" wp14:anchorId="635C17E0" wp14:editId="5B1749A1">
            <wp:extent cx="5775960" cy="3252470"/>
            <wp:effectExtent l="0" t="0" r="15240" b="5080"/>
            <wp:docPr id="843054276" name="Chart 1">
              <a:extLst xmlns:a="http://schemas.openxmlformats.org/drawingml/2006/main">
                <a:ext uri="{FF2B5EF4-FFF2-40B4-BE49-F238E27FC236}">
                  <a16:creationId xmlns:a16="http://schemas.microsoft.com/office/drawing/2014/main" id="{E8DF8545-51C2-4CB6-EA7B-E802461D6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27EF6" w:rsidRPr="00865E8B">
        <w:rPr>
          <w:sz w:val="20"/>
          <w:szCs w:val="20"/>
        </w:rPr>
        <w:t xml:space="preserve">Figure </w:t>
      </w:r>
      <w:r w:rsidR="00427EF6">
        <w:rPr>
          <w:sz w:val="20"/>
          <w:szCs w:val="20"/>
        </w:rPr>
        <w:t>3</w:t>
      </w:r>
      <w:r w:rsidR="00427EF6" w:rsidRPr="00865E8B">
        <w:rPr>
          <w:sz w:val="20"/>
          <w:szCs w:val="20"/>
        </w:rPr>
        <w:t xml:space="preserve">: </w:t>
      </w:r>
      <w:r w:rsidR="00427EF6">
        <w:rPr>
          <w:sz w:val="20"/>
          <w:szCs w:val="20"/>
        </w:rPr>
        <w:t>Une</w:t>
      </w:r>
      <w:r w:rsidR="00427EF6" w:rsidRPr="00865E8B">
        <w:rPr>
          <w:sz w:val="20"/>
          <w:szCs w:val="20"/>
        </w:rPr>
        <w:t>mployment Rate (16</w:t>
      </w:r>
      <w:r w:rsidR="00427EF6">
        <w:rPr>
          <w:sz w:val="20"/>
          <w:szCs w:val="20"/>
        </w:rPr>
        <w:t>+</w:t>
      </w:r>
      <w:r w:rsidR="00427EF6" w:rsidRPr="00865E8B">
        <w:rPr>
          <w:sz w:val="20"/>
          <w:szCs w:val="20"/>
        </w:rPr>
        <w:t xml:space="preserve">) </w:t>
      </w:r>
      <w:r w:rsidR="00427EF6">
        <w:rPr>
          <w:sz w:val="20"/>
          <w:szCs w:val="20"/>
        </w:rPr>
        <w:t>by local government district</w:t>
      </w:r>
      <w:r w:rsidR="00427EF6" w:rsidRPr="00865E8B">
        <w:rPr>
          <w:sz w:val="20"/>
          <w:szCs w:val="20"/>
        </w:rPr>
        <w:t>,</w:t>
      </w:r>
      <w:r w:rsidR="00427EF6">
        <w:rPr>
          <w:sz w:val="20"/>
          <w:szCs w:val="20"/>
        </w:rPr>
        <w:t xml:space="preserve"> </w:t>
      </w:r>
      <w:r w:rsidR="00427EF6" w:rsidRPr="00865E8B">
        <w:rPr>
          <w:sz w:val="20"/>
          <w:szCs w:val="20"/>
        </w:rPr>
        <w:t>202</w:t>
      </w:r>
      <w:r>
        <w:rPr>
          <w:sz w:val="20"/>
          <w:szCs w:val="20"/>
        </w:rPr>
        <w:t>4</w:t>
      </w:r>
      <w:r w:rsidR="00427EF6" w:rsidRPr="00865E8B">
        <w:rPr>
          <w:sz w:val="20"/>
          <w:szCs w:val="20"/>
        </w:rPr>
        <w:t>.  Source: Labour Force Survey, NISRA.</w:t>
      </w:r>
    </w:p>
    <w:p w14:paraId="38172DCD" w14:textId="108EB0C7" w:rsidR="006E3964" w:rsidRPr="00B1520E" w:rsidRDefault="006E3964" w:rsidP="00681CEB"/>
    <w:p w14:paraId="627620F4" w14:textId="77777777" w:rsidR="00681CEB" w:rsidRDefault="00681CEB" w:rsidP="00681CEB">
      <w:pPr>
        <w:rPr>
          <w:b/>
          <w:bCs/>
        </w:rPr>
      </w:pPr>
      <w:r w:rsidRPr="000A51EE">
        <w:rPr>
          <w:b/>
          <w:bCs/>
          <w:noProof/>
        </w:rPr>
        <w:drawing>
          <wp:inline distT="0" distB="0" distL="0" distR="0" wp14:anchorId="777D2B26" wp14:editId="7DA1FE0F">
            <wp:extent cx="244257" cy="390525"/>
            <wp:effectExtent l="0" t="0" r="3810" b="0"/>
            <wp:docPr id="750642774" name="Picture 1" descr="A blue person with a white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42774" name="Picture 1" descr="A blue person with a white ha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516" cy="397335"/>
                    </a:xfrm>
                    <a:prstGeom prst="rect">
                      <a:avLst/>
                    </a:prstGeom>
                  </pic:spPr>
                </pic:pic>
              </a:graphicData>
            </a:graphic>
          </wp:inline>
        </w:drawing>
      </w:r>
    </w:p>
    <w:p w14:paraId="68DB1378" w14:textId="0059D1C8" w:rsidR="00681CEB" w:rsidRDefault="00681CEB" w:rsidP="00681CEB">
      <w:pPr>
        <w:rPr>
          <w:b/>
          <w:bCs/>
        </w:rPr>
      </w:pPr>
      <w:r>
        <w:rPr>
          <w:b/>
          <w:bCs/>
        </w:rPr>
        <w:t xml:space="preserve">Unemployment Rate (ABC) = </w:t>
      </w:r>
      <w:r w:rsidR="00E002EF">
        <w:rPr>
          <w:b/>
          <w:bCs/>
        </w:rPr>
        <w:t>2.0</w:t>
      </w:r>
      <w:r>
        <w:rPr>
          <w:b/>
          <w:bCs/>
        </w:rPr>
        <w:t xml:space="preserve">%  </w:t>
      </w:r>
    </w:p>
    <w:p w14:paraId="75CB2055" w14:textId="5503527B" w:rsidR="00681CEB" w:rsidRDefault="00681CEB" w:rsidP="00681CEB">
      <w:pPr>
        <w:rPr>
          <w:b/>
          <w:bCs/>
        </w:rPr>
      </w:pPr>
      <w:r>
        <w:rPr>
          <w:b/>
          <w:bCs/>
        </w:rPr>
        <w:t>Unemployment Rate (NI) = 2.</w:t>
      </w:r>
      <w:r w:rsidR="00E002EF">
        <w:rPr>
          <w:b/>
          <w:bCs/>
        </w:rPr>
        <w:t>2</w:t>
      </w:r>
      <w:r>
        <w:rPr>
          <w:b/>
          <w:bCs/>
        </w:rPr>
        <w:t xml:space="preserve">%                              </w:t>
      </w:r>
    </w:p>
    <w:p w14:paraId="7B6C605C" w14:textId="27275E2D" w:rsidR="00644B07" w:rsidRDefault="00644B07" w:rsidP="00681CEB">
      <w:pPr>
        <w:rPr>
          <w:b/>
          <w:bCs/>
        </w:rPr>
      </w:pPr>
      <w:r w:rsidRPr="000A51EE">
        <w:rPr>
          <w:b/>
          <w:bCs/>
          <w:noProof/>
        </w:rPr>
        <w:drawing>
          <wp:inline distT="0" distB="0" distL="0" distR="0" wp14:anchorId="06B9A682" wp14:editId="1C759EBD">
            <wp:extent cx="247650" cy="433388"/>
            <wp:effectExtent l="0" t="0" r="0" b="5080"/>
            <wp:docPr id="1294197402" name="Picture 1294197402" descr="A red person icon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67286" name="Picture 1" descr="A red person icon with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9399" cy="436448"/>
                    </a:xfrm>
                    <a:prstGeom prst="rect">
                      <a:avLst/>
                    </a:prstGeom>
                  </pic:spPr>
                </pic:pic>
              </a:graphicData>
            </a:graphic>
          </wp:inline>
        </w:drawing>
      </w:r>
    </w:p>
    <w:p w14:paraId="0CA44E66" w14:textId="75B77893" w:rsidR="00681CEB" w:rsidRDefault="00681CEB" w:rsidP="00681CEB">
      <w:pPr>
        <w:rPr>
          <w:b/>
          <w:bCs/>
        </w:rPr>
      </w:pPr>
      <w:r>
        <w:rPr>
          <w:b/>
          <w:bCs/>
        </w:rPr>
        <w:t xml:space="preserve">Unemployment Rate (ABC) = </w:t>
      </w:r>
      <w:r w:rsidR="00E002EF">
        <w:rPr>
          <w:b/>
          <w:bCs/>
        </w:rPr>
        <w:t>1.4</w:t>
      </w:r>
      <w:r>
        <w:rPr>
          <w:b/>
          <w:bCs/>
        </w:rPr>
        <w:t xml:space="preserve">% </w:t>
      </w:r>
    </w:p>
    <w:p w14:paraId="166059BA" w14:textId="0E739E56" w:rsidR="00681CEB" w:rsidRPr="00D001B0" w:rsidRDefault="00681CEB" w:rsidP="00681CEB">
      <w:pPr>
        <w:rPr>
          <w:b/>
          <w:bCs/>
        </w:rPr>
      </w:pPr>
      <w:r>
        <w:rPr>
          <w:b/>
          <w:bCs/>
        </w:rPr>
        <w:t>Unemployment Rate (NI) = 1.</w:t>
      </w:r>
      <w:r w:rsidR="00E002EF">
        <w:rPr>
          <w:b/>
          <w:bCs/>
        </w:rPr>
        <w:t>3</w:t>
      </w:r>
      <w:r>
        <w:rPr>
          <w:b/>
          <w:bCs/>
        </w:rPr>
        <w:t xml:space="preserve">%                              </w:t>
      </w:r>
    </w:p>
    <w:p w14:paraId="6A28C591" w14:textId="77D24EB6" w:rsidR="00681CEB" w:rsidRDefault="00681CEB" w:rsidP="00681CEB">
      <w:pPr>
        <w:rPr>
          <w:b/>
          <w:bCs/>
        </w:rPr>
      </w:pPr>
      <w:r>
        <w:rPr>
          <w:b/>
          <w:bCs/>
        </w:rPr>
        <w:lastRenderedPageBreak/>
        <w:t>Economic Inactivity</w:t>
      </w:r>
    </w:p>
    <w:p w14:paraId="39303C4B" w14:textId="514A9B9A" w:rsidR="00681CEB" w:rsidRDefault="00681CEB" w:rsidP="00681CEB">
      <w:pPr>
        <w:pStyle w:val="ListParagraph"/>
        <w:numPr>
          <w:ilvl w:val="0"/>
          <w:numId w:val="3"/>
        </w:numPr>
        <w:rPr>
          <w:b/>
          <w:bCs/>
        </w:rPr>
      </w:pPr>
      <w:r w:rsidRPr="0022522E">
        <w:rPr>
          <w:b/>
          <w:bCs/>
        </w:rPr>
        <w:t xml:space="preserve">The </w:t>
      </w:r>
      <w:r>
        <w:rPr>
          <w:b/>
          <w:bCs/>
        </w:rPr>
        <w:t>202</w:t>
      </w:r>
      <w:r w:rsidR="009C3543">
        <w:rPr>
          <w:b/>
          <w:bCs/>
        </w:rPr>
        <w:t>4</w:t>
      </w:r>
      <w:r>
        <w:rPr>
          <w:b/>
          <w:bCs/>
        </w:rPr>
        <w:t xml:space="preserve"> economic inactivity rate (16-64)</w:t>
      </w:r>
      <w:r w:rsidRPr="0022522E">
        <w:rPr>
          <w:b/>
          <w:bCs/>
        </w:rPr>
        <w:t xml:space="preserve"> in Armagh City, Banbridge and Craigavon </w:t>
      </w:r>
      <w:r w:rsidR="00EE6EEC">
        <w:rPr>
          <w:b/>
          <w:bCs/>
        </w:rPr>
        <w:t>B</w:t>
      </w:r>
      <w:r w:rsidRPr="0022522E">
        <w:rPr>
          <w:b/>
          <w:bCs/>
        </w:rPr>
        <w:t>orough</w:t>
      </w:r>
      <w:r>
        <w:rPr>
          <w:b/>
          <w:bCs/>
        </w:rPr>
        <w:t xml:space="preserve"> was estimated at </w:t>
      </w:r>
      <w:r w:rsidR="005631DC">
        <w:rPr>
          <w:b/>
          <w:bCs/>
        </w:rPr>
        <w:t>19.2</w:t>
      </w:r>
      <w:r>
        <w:rPr>
          <w:b/>
          <w:bCs/>
        </w:rPr>
        <w:t>%, a</w:t>
      </w:r>
      <w:r w:rsidR="005631DC">
        <w:rPr>
          <w:b/>
          <w:bCs/>
        </w:rPr>
        <w:t xml:space="preserve"> decrease of 1.7</w:t>
      </w:r>
      <w:r>
        <w:rPr>
          <w:b/>
          <w:bCs/>
        </w:rPr>
        <w:t xml:space="preserve"> percentage points over the year. </w:t>
      </w:r>
    </w:p>
    <w:p w14:paraId="0A85E350" w14:textId="67276A50" w:rsidR="00681CEB" w:rsidRDefault="00681CEB" w:rsidP="00681CEB">
      <w:pPr>
        <w:pStyle w:val="ListParagraph"/>
        <w:numPr>
          <w:ilvl w:val="0"/>
          <w:numId w:val="3"/>
        </w:numPr>
        <w:rPr>
          <w:b/>
          <w:bCs/>
        </w:rPr>
      </w:pPr>
      <w:r>
        <w:rPr>
          <w:b/>
          <w:bCs/>
        </w:rPr>
        <w:t>The number of persons who were economically inactive (16-64) in 202</w:t>
      </w:r>
      <w:r w:rsidR="005631DC">
        <w:rPr>
          <w:b/>
          <w:bCs/>
        </w:rPr>
        <w:t>4</w:t>
      </w:r>
      <w:r>
        <w:rPr>
          <w:b/>
          <w:bCs/>
        </w:rPr>
        <w:t xml:space="preserve"> was </w:t>
      </w:r>
      <w:r w:rsidR="005631DC">
        <w:rPr>
          <w:b/>
          <w:bCs/>
        </w:rPr>
        <w:t>28,</w:t>
      </w:r>
      <w:r>
        <w:rPr>
          <w:b/>
          <w:bCs/>
        </w:rPr>
        <w:t>000.</w:t>
      </w:r>
    </w:p>
    <w:p w14:paraId="4D6E3447" w14:textId="4146640E" w:rsidR="00681CEB" w:rsidRDefault="00681CEB" w:rsidP="00681CEB">
      <w:pPr>
        <w:pStyle w:val="ListParagraph"/>
        <w:numPr>
          <w:ilvl w:val="0"/>
          <w:numId w:val="3"/>
        </w:numPr>
        <w:rPr>
          <w:b/>
          <w:bCs/>
        </w:rPr>
      </w:pPr>
      <w:r>
        <w:rPr>
          <w:b/>
          <w:bCs/>
        </w:rPr>
        <w:t>The number of persons who were economically inactive (16+) in 202</w:t>
      </w:r>
      <w:r w:rsidR="005631DC">
        <w:rPr>
          <w:b/>
          <w:bCs/>
        </w:rPr>
        <w:t>4</w:t>
      </w:r>
      <w:r>
        <w:rPr>
          <w:b/>
          <w:bCs/>
        </w:rPr>
        <w:t xml:space="preserve"> was </w:t>
      </w:r>
      <w:r w:rsidR="005631DC">
        <w:rPr>
          <w:b/>
          <w:bCs/>
        </w:rPr>
        <w:t>56</w:t>
      </w:r>
      <w:r>
        <w:rPr>
          <w:b/>
          <w:bCs/>
        </w:rPr>
        <w:t>,000.</w:t>
      </w:r>
    </w:p>
    <w:p w14:paraId="17D854D2" w14:textId="2F58D545" w:rsidR="00681CEB" w:rsidRPr="002D3151" w:rsidRDefault="00681CEB" w:rsidP="00681CEB">
      <w:pPr>
        <w:rPr>
          <w:b/>
          <w:bCs/>
        </w:rPr>
      </w:pPr>
      <w:r w:rsidRPr="00BC7B33">
        <w:rPr>
          <w:b/>
          <w:bCs/>
        </w:rPr>
        <w:t xml:space="preserve">Of those aged 16-64 who were economically inactive, </w:t>
      </w:r>
      <w:r w:rsidR="005631DC">
        <w:rPr>
          <w:b/>
          <w:bCs/>
        </w:rPr>
        <w:t>36</w:t>
      </w:r>
      <w:r w:rsidRPr="00BC7B33">
        <w:rPr>
          <w:b/>
          <w:bCs/>
        </w:rPr>
        <w:t>% (1</w:t>
      </w:r>
      <w:r w:rsidR="005631DC">
        <w:rPr>
          <w:b/>
          <w:bCs/>
        </w:rPr>
        <w:t>0</w:t>
      </w:r>
      <w:r w:rsidRPr="00BC7B33">
        <w:rPr>
          <w:b/>
          <w:bCs/>
        </w:rPr>
        <w:t xml:space="preserve">,000) were male and </w:t>
      </w:r>
      <w:r w:rsidR="00D454EF">
        <w:rPr>
          <w:b/>
          <w:bCs/>
        </w:rPr>
        <w:t>6</w:t>
      </w:r>
      <w:r w:rsidR="005631DC">
        <w:rPr>
          <w:b/>
          <w:bCs/>
        </w:rPr>
        <w:t>4</w:t>
      </w:r>
      <w:r w:rsidRPr="00BC7B33">
        <w:rPr>
          <w:b/>
          <w:bCs/>
        </w:rPr>
        <w:t xml:space="preserve">% (18,000) were female. </w:t>
      </w:r>
    </w:p>
    <w:p w14:paraId="613ACBA3" w14:textId="30CEA3E5" w:rsidR="00681CEB" w:rsidRPr="00B1520E" w:rsidRDefault="005631DC" w:rsidP="00681CEB">
      <w:r>
        <w:rPr>
          <w:noProof/>
        </w:rPr>
        <w:drawing>
          <wp:inline distT="0" distB="0" distL="0" distR="0" wp14:anchorId="7D0B4CC8" wp14:editId="147BF3F1">
            <wp:extent cx="5875020" cy="3223895"/>
            <wp:effectExtent l="0" t="0" r="11430" b="14605"/>
            <wp:docPr id="1043428259" name="Chart 1">
              <a:extLst xmlns:a="http://schemas.openxmlformats.org/drawingml/2006/main">
                <a:ext uri="{FF2B5EF4-FFF2-40B4-BE49-F238E27FC236}">
                  <a16:creationId xmlns:a16="http://schemas.microsoft.com/office/drawing/2014/main" id="{C2BEF4C8-88C7-B561-C504-F6AC808CEF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681CEB" w:rsidRPr="00865E8B">
        <w:rPr>
          <w:sz w:val="20"/>
          <w:szCs w:val="20"/>
        </w:rPr>
        <w:t xml:space="preserve">Figure </w:t>
      </w:r>
      <w:r w:rsidR="00681CEB">
        <w:rPr>
          <w:sz w:val="20"/>
          <w:szCs w:val="20"/>
        </w:rPr>
        <w:t>4</w:t>
      </w:r>
      <w:r w:rsidR="00681CEB" w:rsidRPr="00865E8B">
        <w:rPr>
          <w:sz w:val="20"/>
          <w:szCs w:val="20"/>
        </w:rPr>
        <w:t xml:space="preserve">: </w:t>
      </w:r>
      <w:r w:rsidR="00681CEB">
        <w:rPr>
          <w:sz w:val="20"/>
          <w:szCs w:val="20"/>
        </w:rPr>
        <w:t>Economic Inactivity</w:t>
      </w:r>
      <w:r w:rsidR="00681CEB" w:rsidRPr="00865E8B">
        <w:rPr>
          <w:sz w:val="20"/>
          <w:szCs w:val="20"/>
        </w:rPr>
        <w:t xml:space="preserve"> Rate (16-64) </w:t>
      </w:r>
      <w:r w:rsidR="00681CEB">
        <w:rPr>
          <w:sz w:val="20"/>
          <w:szCs w:val="20"/>
        </w:rPr>
        <w:t>in Armagh City, Banbridge and Craigavon borough and Northern Ireland</w:t>
      </w:r>
      <w:r w:rsidR="00681CEB" w:rsidRPr="00865E8B">
        <w:rPr>
          <w:sz w:val="20"/>
          <w:szCs w:val="20"/>
        </w:rPr>
        <w:t>,</w:t>
      </w:r>
      <w:r w:rsidR="00681CEB">
        <w:rPr>
          <w:sz w:val="20"/>
          <w:szCs w:val="20"/>
        </w:rPr>
        <w:t xml:space="preserve"> 2009-</w:t>
      </w:r>
      <w:r w:rsidR="00681CEB" w:rsidRPr="00865E8B">
        <w:rPr>
          <w:sz w:val="20"/>
          <w:szCs w:val="20"/>
        </w:rPr>
        <w:t xml:space="preserve"> 202</w:t>
      </w:r>
      <w:r>
        <w:rPr>
          <w:sz w:val="20"/>
          <w:szCs w:val="20"/>
        </w:rPr>
        <w:t>4</w:t>
      </w:r>
      <w:r w:rsidR="00681CEB" w:rsidRPr="00865E8B">
        <w:rPr>
          <w:sz w:val="20"/>
          <w:szCs w:val="20"/>
        </w:rPr>
        <w:t>.  Source: Labour Force Survey, NISRA.</w:t>
      </w:r>
    </w:p>
    <w:p w14:paraId="363A2118" w14:textId="7081A3CD" w:rsidR="00681CEB" w:rsidRPr="002D3151" w:rsidRDefault="00681CEB" w:rsidP="00681CEB">
      <w:r>
        <w:t>Figure 4 presents the economic inactivity rate (16-64) in Armagh City, Banbridge and Craigavon and the Northern Ireland average from 2009-202</w:t>
      </w:r>
      <w:r w:rsidR="009C3543">
        <w:t>4</w:t>
      </w:r>
      <w:r>
        <w:t xml:space="preserve">.  At </w:t>
      </w:r>
      <w:r w:rsidR="009C3543">
        <w:t>19.2</w:t>
      </w:r>
      <w:r>
        <w:t>% in 202</w:t>
      </w:r>
      <w:r w:rsidR="009C3543">
        <w:t>4</w:t>
      </w:r>
      <w:r>
        <w:t xml:space="preserve">, the economic inactivity rate (16-64) in the </w:t>
      </w:r>
      <w:r w:rsidR="009C3543">
        <w:t>B</w:t>
      </w:r>
      <w:r>
        <w:t xml:space="preserve">orough is the lowest of the years presented and </w:t>
      </w:r>
      <w:r w:rsidR="009C3543">
        <w:t>5.1</w:t>
      </w:r>
      <w:r>
        <w:t xml:space="preserve"> percentage points below the Northern Ireland average. Over the years presented, the economic inactivity rate (16-64) in the </w:t>
      </w:r>
      <w:r w:rsidR="009C3543">
        <w:t>B</w:t>
      </w:r>
      <w:r>
        <w:t xml:space="preserve">orough has been consistently below the Northern Ireland average.   </w:t>
      </w:r>
    </w:p>
    <w:p w14:paraId="6F1455DB" w14:textId="77777777" w:rsidR="00681CEB" w:rsidRDefault="00681CEB" w:rsidP="00681CEB">
      <w:pPr>
        <w:rPr>
          <w:b/>
          <w:bCs/>
        </w:rPr>
      </w:pPr>
      <w:r w:rsidRPr="000A51EE">
        <w:rPr>
          <w:b/>
          <w:bCs/>
          <w:noProof/>
        </w:rPr>
        <w:drawing>
          <wp:inline distT="0" distB="0" distL="0" distR="0" wp14:anchorId="0842C7F3" wp14:editId="780CC1D9">
            <wp:extent cx="314325" cy="502552"/>
            <wp:effectExtent l="0" t="0" r="0" b="0"/>
            <wp:docPr id="134524940" name="Picture 134524940" descr="A blue person with a white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642774" name="Picture 1" descr="A blue person with a white ha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5242" cy="504019"/>
                    </a:xfrm>
                    <a:prstGeom prst="rect">
                      <a:avLst/>
                    </a:prstGeom>
                  </pic:spPr>
                </pic:pic>
              </a:graphicData>
            </a:graphic>
          </wp:inline>
        </w:drawing>
      </w:r>
    </w:p>
    <w:p w14:paraId="7A2E9EFA" w14:textId="48766975" w:rsidR="00681CEB" w:rsidRDefault="00681CEB" w:rsidP="00681CEB">
      <w:pPr>
        <w:rPr>
          <w:b/>
          <w:bCs/>
        </w:rPr>
      </w:pPr>
      <w:r>
        <w:rPr>
          <w:b/>
          <w:bCs/>
        </w:rPr>
        <w:t xml:space="preserve"> Economic Inactivity Rate (ABC) = </w:t>
      </w:r>
      <w:r w:rsidR="005631DC">
        <w:rPr>
          <w:b/>
          <w:bCs/>
        </w:rPr>
        <w:t>14.1</w:t>
      </w:r>
      <w:r>
        <w:rPr>
          <w:b/>
          <w:bCs/>
        </w:rPr>
        <w:t xml:space="preserve">%  </w:t>
      </w:r>
    </w:p>
    <w:p w14:paraId="345B8BCA" w14:textId="0CB2516E" w:rsidR="00681CEB" w:rsidRDefault="00681CEB" w:rsidP="00681CEB">
      <w:pPr>
        <w:rPr>
          <w:b/>
          <w:bCs/>
        </w:rPr>
      </w:pPr>
      <w:r>
        <w:rPr>
          <w:b/>
          <w:bCs/>
        </w:rPr>
        <w:t xml:space="preserve"> Economic Inactivity Rate (NI) = </w:t>
      </w:r>
      <w:r w:rsidR="005631DC">
        <w:rPr>
          <w:b/>
          <w:bCs/>
        </w:rPr>
        <w:t>19.8</w:t>
      </w:r>
      <w:r>
        <w:rPr>
          <w:b/>
          <w:bCs/>
        </w:rPr>
        <w:t xml:space="preserve">%                              </w:t>
      </w:r>
    </w:p>
    <w:p w14:paraId="370EA5A4" w14:textId="77777777" w:rsidR="00681CEB" w:rsidRDefault="00681CEB" w:rsidP="00681CEB">
      <w:pPr>
        <w:rPr>
          <w:b/>
          <w:bCs/>
        </w:rPr>
      </w:pPr>
      <w:r w:rsidRPr="000A51EE">
        <w:rPr>
          <w:b/>
          <w:bCs/>
          <w:noProof/>
        </w:rPr>
        <w:drawing>
          <wp:inline distT="0" distB="0" distL="0" distR="0" wp14:anchorId="0804AD29" wp14:editId="3D7CCE8D">
            <wp:extent cx="295275" cy="516623"/>
            <wp:effectExtent l="0" t="0" r="0" b="0"/>
            <wp:docPr id="1886357362" name="Picture 1886357362" descr="A red person icon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67286" name="Picture 1" descr="A red person icon with a white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5951" cy="517806"/>
                    </a:xfrm>
                    <a:prstGeom prst="rect">
                      <a:avLst/>
                    </a:prstGeom>
                  </pic:spPr>
                </pic:pic>
              </a:graphicData>
            </a:graphic>
          </wp:inline>
        </w:drawing>
      </w:r>
      <w:r>
        <w:rPr>
          <w:b/>
          <w:bCs/>
        </w:rPr>
        <w:t xml:space="preserve"> </w:t>
      </w:r>
    </w:p>
    <w:p w14:paraId="47F55593" w14:textId="1BACB7FE" w:rsidR="00681CEB" w:rsidRDefault="00681CEB" w:rsidP="00681CEB">
      <w:pPr>
        <w:rPr>
          <w:b/>
          <w:bCs/>
        </w:rPr>
      </w:pPr>
      <w:r>
        <w:rPr>
          <w:b/>
          <w:bCs/>
        </w:rPr>
        <w:t xml:space="preserve">Economic Inactivity Rate (ABC) = </w:t>
      </w:r>
      <w:r w:rsidR="005631DC">
        <w:rPr>
          <w:b/>
          <w:bCs/>
        </w:rPr>
        <w:t>24</w:t>
      </w:r>
      <w:r>
        <w:rPr>
          <w:b/>
          <w:bCs/>
        </w:rPr>
        <w:t xml:space="preserve">% </w:t>
      </w:r>
    </w:p>
    <w:p w14:paraId="29E0CFCE" w14:textId="4C4BBD09" w:rsidR="00681CEB" w:rsidRPr="00D001B0" w:rsidRDefault="00681CEB" w:rsidP="00681CEB">
      <w:pPr>
        <w:rPr>
          <w:b/>
          <w:bCs/>
        </w:rPr>
      </w:pPr>
      <w:r>
        <w:rPr>
          <w:b/>
          <w:bCs/>
        </w:rPr>
        <w:t xml:space="preserve">Economic Inactivity Rate (NI) = </w:t>
      </w:r>
      <w:r w:rsidR="00533170">
        <w:rPr>
          <w:b/>
          <w:bCs/>
        </w:rPr>
        <w:t>28.</w:t>
      </w:r>
      <w:r w:rsidR="005631DC">
        <w:rPr>
          <w:b/>
          <w:bCs/>
        </w:rPr>
        <w:t>7</w:t>
      </w:r>
      <w:r>
        <w:rPr>
          <w:b/>
          <w:bCs/>
        </w:rPr>
        <w:t xml:space="preserve">%                              </w:t>
      </w:r>
    </w:p>
    <w:p w14:paraId="3090DECA" w14:textId="77777777" w:rsidR="00681CEB" w:rsidRPr="00D76F2D" w:rsidRDefault="00681CEB" w:rsidP="00681CEB">
      <w:pPr>
        <w:rPr>
          <w:b/>
          <w:bCs/>
        </w:rPr>
      </w:pPr>
      <w:r w:rsidRPr="00D76F2D">
        <w:rPr>
          <w:b/>
          <w:bCs/>
        </w:rPr>
        <w:lastRenderedPageBreak/>
        <w:t>Qualification Levels</w:t>
      </w:r>
      <w:r>
        <w:rPr>
          <w:rStyle w:val="FootnoteReference"/>
          <w:b/>
          <w:bCs/>
        </w:rPr>
        <w:footnoteReference w:id="3"/>
      </w:r>
      <w:r w:rsidRPr="00D76F2D">
        <w:rPr>
          <w:b/>
          <w:bCs/>
        </w:rPr>
        <w:t xml:space="preserve"> </w:t>
      </w:r>
    </w:p>
    <w:p w14:paraId="40BFB3C4" w14:textId="731F491B" w:rsidR="00681CEB" w:rsidRPr="00665CAA" w:rsidRDefault="00681CEB" w:rsidP="00681CEB">
      <w:pPr>
        <w:pStyle w:val="ListParagraph"/>
        <w:numPr>
          <w:ilvl w:val="0"/>
          <w:numId w:val="4"/>
        </w:numPr>
        <w:rPr>
          <w:b/>
          <w:bCs/>
        </w:rPr>
      </w:pPr>
      <w:r w:rsidRPr="00665CAA">
        <w:rPr>
          <w:b/>
          <w:bCs/>
        </w:rPr>
        <w:t>In 202</w:t>
      </w:r>
      <w:r w:rsidR="00276B10">
        <w:rPr>
          <w:b/>
          <w:bCs/>
        </w:rPr>
        <w:t>4</w:t>
      </w:r>
      <w:r w:rsidRPr="00665CAA">
        <w:rPr>
          <w:b/>
          <w:bCs/>
        </w:rPr>
        <w:t xml:space="preserve">, </w:t>
      </w:r>
      <w:r w:rsidR="000E28D3">
        <w:rPr>
          <w:b/>
          <w:bCs/>
        </w:rPr>
        <w:t xml:space="preserve">just over </w:t>
      </w:r>
      <w:r w:rsidR="00276B10">
        <w:rPr>
          <w:b/>
          <w:bCs/>
        </w:rPr>
        <w:t>9</w:t>
      </w:r>
      <w:r w:rsidRPr="00665CAA">
        <w:rPr>
          <w:b/>
          <w:bCs/>
        </w:rPr>
        <w:t xml:space="preserve">% of the working age population (16-64) </w:t>
      </w:r>
      <w:r>
        <w:rPr>
          <w:b/>
          <w:bCs/>
        </w:rPr>
        <w:t xml:space="preserve">in Armagh City, Banbridge and Craigavon </w:t>
      </w:r>
      <w:r w:rsidR="00EE6EEC">
        <w:rPr>
          <w:b/>
          <w:bCs/>
        </w:rPr>
        <w:t>B</w:t>
      </w:r>
      <w:r>
        <w:rPr>
          <w:b/>
          <w:bCs/>
        </w:rPr>
        <w:t xml:space="preserve">orough </w:t>
      </w:r>
      <w:r w:rsidRPr="00665CAA">
        <w:rPr>
          <w:b/>
          <w:bCs/>
        </w:rPr>
        <w:t xml:space="preserve">had no qualifications, down from </w:t>
      </w:r>
      <w:r w:rsidR="00276B10">
        <w:rPr>
          <w:b/>
          <w:bCs/>
        </w:rPr>
        <w:t>10.4</w:t>
      </w:r>
      <w:r w:rsidRPr="00665CAA">
        <w:rPr>
          <w:b/>
          <w:bCs/>
        </w:rPr>
        <w:t>% in 202</w:t>
      </w:r>
      <w:r w:rsidR="00276B10">
        <w:rPr>
          <w:b/>
          <w:bCs/>
        </w:rPr>
        <w:t>3</w:t>
      </w:r>
      <w:r w:rsidRPr="00665CAA">
        <w:rPr>
          <w:b/>
          <w:bCs/>
        </w:rPr>
        <w:t xml:space="preserve">. </w:t>
      </w:r>
    </w:p>
    <w:p w14:paraId="15602B84" w14:textId="4CF54F38" w:rsidR="00681CEB" w:rsidRPr="000A51EE" w:rsidRDefault="00681CEB" w:rsidP="00681CEB">
      <w:pPr>
        <w:pStyle w:val="ListParagraph"/>
        <w:numPr>
          <w:ilvl w:val="0"/>
          <w:numId w:val="4"/>
        </w:numPr>
        <w:rPr>
          <w:b/>
          <w:bCs/>
        </w:rPr>
      </w:pPr>
      <w:r w:rsidRPr="00665CAA">
        <w:rPr>
          <w:b/>
          <w:bCs/>
        </w:rPr>
        <w:t xml:space="preserve">The percentage of the working age population achieving level 4 and above qualifications has </w:t>
      </w:r>
      <w:r w:rsidR="000E28D3">
        <w:rPr>
          <w:b/>
          <w:bCs/>
        </w:rPr>
        <w:t xml:space="preserve">increased </w:t>
      </w:r>
      <w:r w:rsidR="00276B10">
        <w:rPr>
          <w:b/>
          <w:bCs/>
        </w:rPr>
        <w:t>from</w:t>
      </w:r>
      <w:r w:rsidR="000E28D3">
        <w:rPr>
          <w:b/>
          <w:bCs/>
        </w:rPr>
        <w:t xml:space="preserve"> 38% in 2023</w:t>
      </w:r>
      <w:r w:rsidR="00276B10">
        <w:rPr>
          <w:b/>
          <w:bCs/>
        </w:rPr>
        <w:t xml:space="preserve"> to 46.5% in 2024</w:t>
      </w:r>
      <w:r w:rsidR="000E28D3">
        <w:rPr>
          <w:b/>
          <w:bCs/>
        </w:rPr>
        <w:t xml:space="preserve">. </w:t>
      </w:r>
    </w:p>
    <w:p w14:paraId="25721B1B" w14:textId="4404C856" w:rsidR="00681CEB" w:rsidRPr="00B1520E" w:rsidRDefault="00681CEB" w:rsidP="00681CEB">
      <w:r w:rsidRPr="00665CAA">
        <w:rPr>
          <w:sz w:val="20"/>
          <w:szCs w:val="20"/>
        </w:rPr>
        <w:t xml:space="preserve"> </w:t>
      </w:r>
      <w:r w:rsidR="00276B10">
        <w:rPr>
          <w:noProof/>
        </w:rPr>
        <w:drawing>
          <wp:inline distT="0" distB="0" distL="0" distR="0" wp14:anchorId="539FE5FB" wp14:editId="756EFF86">
            <wp:extent cx="5806440" cy="3242945"/>
            <wp:effectExtent l="0" t="0" r="3810" b="14605"/>
            <wp:docPr id="982021164" name="Chart 1">
              <a:extLst xmlns:a="http://schemas.openxmlformats.org/drawingml/2006/main">
                <a:ext uri="{FF2B5EF4-FFF2-40B4-BE49-F238E27FC236}">
                  <a16:creationId xmlns:a16="http://schemas.microsoft.com/office/drawing/2014/main" id="{50AFE445-39BF-700C-64A4-DDCA39C557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865E8B">
        <w:rPr>
          <w:sz w:val="20"/>
          <w:szCs w:val="20"/>
        </w:rPr>
        <w:t xml:space="preserve">Figure </w:t>
      </w:r>
      <w:r>
        <w:rPr>
          <w:sz w:val="20"/>
          <w:szCs w:val="20"/>
        </w:rPr>
        <w:t>5</w:t>
      </w:r>
      <w:r w:rsidRPr="00865E8B">
        <w:rPr>
          <w:sz w:val="20"/>
          <w:szCs w:val="20"/>
        </w:rPr>
        <w:t xml:space="preserve">: </w:t>
      </w:r>
      <w:r>
        <w:rPr>
          <w:sz w:val="20"/>
          <w:szCs w:val="20"/>
        </w:rPr>
        <w:t>Qualification levels</w:t>
      </w:r>
      <w:r w:rsidRPr="00865E8B">
        <w:rPr>
          <w:sz w:val="20"/>
          <w:szCs w:val="20"/>
        </w:rPr>
        <w:t xml:space="preserve"> </w:t>
      </w:r>
      <w:r>
        <w:rPr>
          <w:sz w:val="20"/>
          <w:szCs w:val="20"/>
        </w:rPr>
        <w:t>in Armagh City, Banbridge and Craigavon borough, 2009-</w:t>
      </w:r>
      <w:r w:rsidRPr="00865E8B">
        <w:rPr>
          <w:sz w:val="20"/>
          <w:szCs w:val="20"/>
        </w:rPr>
        <w:t xml:space="preserve"> 202</w:t>
      </w:r>
      <w:r w:rsidR="00276B10">
        <w:rPr>
          <w:sz w:val="20"/>
          <w:szCs w:val="20"/>
        </w:rPr>
        <w:t>4</w:t>
      </w:r>
      <w:r w:rsidRPr="00865E8B">
        <w:rPr>
          <w:sz w:val="20"/>
          <w:szCs w:val="20"/>
        </w:rPr>
        <w:t>.  Source: Labour Force Survey, NISRA.</w:t>
      </w:r>
    </w:p>
    <w:p w14:paraId="25869E79" w14:textId="2B57A3B9" w:rsidR="00681CEB" w:rsidRPr="00C9673B" w:rsidRDefault="00681CEB" w:rsidP="00681CEB">
      <w:r w:rsidRPr="00C9673B">
        <w:t xml:space="preserve">As presented in Figure 5, the percentage of the population (aged 16-64) with no qualifications has been in decline over the years and </w:t>
      </w:r>
      <w:r w:rsidR="00EE6EEC" w:rsidRPr="00C9673B">
        <w:t xml:space="preserve">at 9.1%, </w:t>
      </w:r>
      <w:r w:rsidRPr="00C9673B">
        <w:t xml:space="preserve">the rate in the </w:t>
      </w:r>
      <w:r w:rsidR="00EE6EEC" w:rsidRPr="00C9673B">
        <w:t>B</w:t>
      </w:r>
      <w:r w:rsidRPr="00C9673B">
        <w:t xml:space="preserve">orough is </w:t>
      </w:r>
      <w:r w:rsidR="00EE6EEC" w:rsidRPr="00C9673B">
        <w:t>15.2 percentage points lower than it was in 2009 and 1.6 percentage points below the Northern Ireland average in 2024</w:t>
      </w:r>
      <w:r w:rsidRPr="00C9673B">
        <w:t>.  Between 2009 and 202</w:t>
      </w:r>
      <w:r w:rsidR="00EE6EEC" w:rsidRPr="00C9673B">
        <w:t>4</w:t>
      </w:r>
      <w:r w:rsidRPr="00C9673B">
        <w:t xml:space="preserve">, the percentage of the population achieving RQF level 4 and above qualifications has increased by </w:t>
      </w:r>
      <w:r w:rsidR="00EE6EEC" w:rsidRPr="00C9673B">
        <w:t>22.9</w:t>
      </w:r>
      <w:r w:rsidRPr="00C9673B">
        <w:t xml:space="preserve"> percentage points from 23.6% in 2009 to </w:t>
      </w:r>
      <w:r w:rsidR="00EE6EEC" w:rsidRPr="00C9673B">
        <w:t>46.5</w:t>
      </w:r>
      <w:r w:rsidRPr="00C9673B">
        <w:t>% in 202</w:t>
      </w:r>
      <w:r w:rsidR="00EE6EEC" w:rsidRPr="00C9673B">
        <w:t>4</w:t>
      </w:r>
      <w:r w:rsidRPr="00C9673B">
        <w:t xml:space="preserve">. </w:t>
      </w:r>
      <w:r w:rsidR="00EE6EEC" w:rsidRPr="00C9673B">
        <w:t xml:space="preserve"> The</w:t>
      </w:r>
      <w:r w:rsidR="000E28D3" w:rsidRPr="00C9673B">
        <w:t xml:space="preserve"> </w:t>
      </w:r>
      <w:r w:rsidRPr="00C9673B">
        <w:t xml:space="preserve">percentage of the population achieving below RQF level 4 qualifications </w:t>
      </w:r>
      <w:r w:rsidR="00EE6EEC" w:rsidRPr="00C9673B">
        <w:t>has fallen since 2009</w:t>
      </w:r>
      <w:r w:rsidR="00C9673B" w:rsidRPr="00C9673B">
        <w:t xml:space="preserve">.  </w:t>
      </w:r>
    </w:p>
    <w:p w14:paraId="44668193" w14:textId="2B35E843" w:rsidR="00681CEB" w:rsidRPr="00EF56A3" w:rsidRDefault="00681CEB" w:rsidP="00681CEB">
      <w:r w:rsidRPr="00EF56A3">
        <w:t>Figure 6 presents the qualification levels of the working age population by local government district in 202</w:t>
      </w:r>
      <w:r w:rsidR="00C9673B" w:rsidRPr="00EF56A3">
        <w:t>4</w:t>
      </w:r>
      <w:r w:rsidRPr="00EF56A3">
        <w:t xml:space="preserve">.  Lisburn and Castlereagh have the most qualified workforce with </w:t>
      </w:r>
      <w:r w:rsidR="00EF56A3" w:rsidRPr="00EF56A3">
        <w:t>almost</w:t>
      </w:r>
      <w:r w:rsidRPr="00EF56A3">
        <w:t xml:space="preserve"> 5</w:t>
      </w:r>
      <w:r w:rsidR="00EF56A3" w:rsidRPr="00EF56A3">
        <w:t>2</w:t>
      </w:r>
      <w:r w:rsidRPr="00EF56A3">
        <w:t xml:space="preserve">% of the working age population achieving RQF level 4 and above qualifications.  </w:t>
      </w:r>
      <w:r w:rsidR="00EF56A3" w:rsidRPr="00EF56A3">
        <w:t>There are just 3 of the 11 LGD’s</w:t>
      </w:r>
      <w:r w:rsidRPr="00EF56A3">
        <w:t xml:space="preserve"> </w:t>
      </w:r>
      <w:r w:rsidR="00EF56A3" w:rsidRPr="00EF56A3">
        <w:t xml:space="preserve">– Lisburn and Castlereagh, Armagh City, Banbridge and Craigavon and Belfast, </w:t>
      </w:r>
      <w:r w:rsidRPr="00EF56A3">
        <w:t xml:space="preserve">where the percentage achieving RQF level 4 and above qualifications exceeds the percentage achieving below RQF level 4.  In Armagh City, Banbridge and Craigavon </w:t>
      </w:r>
      <w:r w:rsidR="00EF56A3" w:rsidRPr="00EF56A3">
        <w:t>B</w:t>
      </w:r>
      <w:r w:rsidRPr="00EF56A3">
        <w:t xml:space="preserve">orough, </w:t>
      </w:r>
      <w:r w:rsidR="00EF56A3" w:rsidRPr="00EF56A3">
        <w:t>just over</w:t>
      </w:r>
      <w:r w:rsidR="00D963E4" w:rsidRPr="00EF56A3">
        <w:t xml:space="preserve"> 90</w:t>
      </w:r>
      <w:r w:rsidRPr="00EF56A3">
        <w:t xml:space="preserve">% of the population aged 16-64 have </w:t>
      </w:r>
      <w:r w:rsidRPr="00EF56A3">
        <w:lastRenderedPageBreak/>
        <w:t xml:space="preserve">some form of qualification from GCSE level to a </w:t>
      </w:r>
      <w:proofErr w:type="gramStart"/>
      <w:r w:rsidRPr="00EF56A3">
        <w:t>higher level</w:t>
      </w:r>
      <w:proofErr w:type="gramEnd"/>
      <w:r w:rsidRPr="00EF56A3">
        <w:t xml:space="preserve"> degree while </w:t>
      </w:r>
      <w:proofErr w:type="gramStart"/>
      <w:r w:rsidRPr="00EF56A3">
        <w:t xml:space="preserve">just </w:t>
      </w:r>
      <w:r w:rsidR="00EF56A3" w:rsidRPr="00EF56A3">
        <w:t xml:space="preserve"> 9.1</w:t>
      </w:r>
      <w:proofErr w:type="gramEnd"/>
      <w:r w:rsidRPr="00EF56A3">
        <w:t xml:space="preserve">% of the population have no qualifications.  </w:t>
      </w:r>
    </w:p>
    <w:p w14:paraId="43F9242C" w14:textId="525F651E" w:rsidR="00C9673B" w:rsidRPr="00276B10" w:rsidRDefault="00C9673B" w:rsidP="00681CEB">
      <w:pPr>
        <w:rPr>
          <w:highlight w:val="yellow"/>
        </w:rPr>
      </w:pPr>
      <w:r w:rsidRPr="00C9673B">
        <w:rPr>
          <w:noProof/>
        </w:rPr>
        <w:drawing>
          <wp:inline distT="0" distB="0" distL="0" distR="0" wp14:anchorId="014FC43E" wp14:editId="428C50AD">
            <wp:extent cx="5731510" cy="5276850"/>
            <wp:effectExtent l="0" t="0" r="2540" b="0"/>
            <wp:docPr id="1824727874" name="Chart 1">
              <a:extLst xmlns:a="http://schemas.openxmlformats.org/drawingml/2006/main">
                <a:ext uri="{FF2B5EF4-FFF2-40B4-BE49-F238E27FC236}">
                  <a16:creationId xmlns:a16="http://schemas.microsoft.com/office/drawing/2014/main" id="{49B91DDC-8FD2-484D-38BD-9773B4E982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C9673B">
        <w:rPr>
          <w:sz w:val="20"/>
          <w:szCs w:val="20"/>
        </w:rPr>
        <w:t xml:space="preserve"> </w:t>
      </w:r>
      <w:r w:rsidRPr="00C9673B">
        <w:rPr>
          <w:sz w:val="20"/>
          <w:szCs w:val="20"/>
        </w:rPr>
        <w:t>Figure 6: Qualification levels by local government district, 202</w:t>
      </w:r>
      <w:r w:rsidRPr="00C9673B">
        <w:rPr>
          <w:sz w:val="20"/>
          <w:szCs w:val="20"/>
        </w:rPr>
        <w:t>4</w:t>
      </w:r>
      <w:r w:rsidRPr="00C9673B">
        <w:rPr>
          <w:sz w:val="20"/>
          <w:szCs w:val="20"/>
        </w:rPr>
        <w:t>.  Source: Labour Force Survey, NISRA.</w:t>
      </w:r>
    </w:p>
    <w:p w14:paraId="2B85B6D3" w14:textId="30B7155A" w:rsidR="00681CEB" w:rsidRPr="00B1520E" w:rsidRDefault="00681CEB" w:rsidP="00681CEB"/>
    <w:p w14:paraId="43C38F00" w14:textId="77777777" w:rsidR="00681CEB" w:rsidRPr="00E73A3C" w:rsidRDefault="00681CEB" w:rsidP="00681CEB"/>
    <w:p w14:paraId="4051BE61" w14:textId="77777777" w:rsidR="00681CEB" w:rsidRDefault="00681CEB" w:rsidP="00681CEB">
      <w:r>
        <w:t>All data is available at the following link:</w:t>
      </w:r>
    </w:p>
    <w:p w14:paraId="674F854E" w14:textId="3B59138F" w:rsidR="001B65B2" w:rsidRDefault="001B65B2" w:rsidP="00681CEB">
      <w:hyperlink r:id="rId20" w:history="1">
        <w:r w:rsidRPr="001B65B2">
          <w:rPr>
            <w:rStyle w:val="Hyperlink"/>
          </w:rPr>
          <w:t>Labour Force Survey Annual Tables 2023 | Northern Ireland Statistics and Research Agency (nisra.gov.uk)</w:t>
        </w:r>
      </w:hyperlink>
    </w:p>
    <w:p w14:paraId="6C7ABCAA" w14:textId="77777777" w:rsidR="00681CEB" w:rsidRDefault="00681CEB" w:rsidP="00681CEB"/>
    <w:p w14:paraId="259B45E7" w14:textId="77777777" w:rsidR="001B65B2" w:rsidRPr="00E73A3C" w:rsidRDefault="001B65B2" w:rsidP="00681CEB"/>
    <w:p w14:paraId="3BA4AD02" w14:textId="77777777" w:rsidR="00681CEB" w:rsidRDefault="00681CEB" w:rsidP="00681CEB">
      <w:pPr>
        <w:tabs>
          <w:tab w:val="left" w:pos="1812"/>
        </w:tabs>
        <w:rPr>
          <w:rFonts w:cstheme="minorHAnsi"/>
          <w:b/>
          <w:bCs/>
          <w:sz w:val="24"/>
          <w:szCs w:val="24"/>
        </w:rPr>
      </w:pPr>
    </w:p>
    <w:p w14:paraId="101087B8" w14:textId="77777777" w:rsidR="00D963E4" w:rsidRDefault="00D963E4" w:rsidP="00681CEB">
      <w:pPr>
        <w:tabs>
          <w:tab w:val="left" w:pos="1812"/>
        </w:tabs>
        <w:rPr>
          <w:rFonts w:cstheme="minorHAnsi"/>
          <w:b/>
          <w:bCs/>
          <w:sz w:val="24"/>
          <w:szCs w:val="24"/>
        </w:rPr>
      </w:pPr>
    </w:p>
    <w:p w14:paraId="7D0B6539" w14:textId="77777777" w:rsidR="00D963E4" w:rsidRDefault="00D963E4" w:rsidP="00681CEB">
      <w:pPr>
        <w:tabs>
          <w:tab w:val="left" w:pos="1812"/>
        </w:tabs>
        <w:rPr>
          <w:rFonts w:cstheme="minorHAnsi"/>
          <w:b/>
          <w:bCs/>
          <w:sz w:val="24"/>
          <w:szCs w:val="24"/>
        </w:rPr>
      </w:pPr>
    </w:p>
    <w:p w14:paraId="5F529B2C" w14:textId="77777777" w:rsidR="00681CEB" w:rsidRPr="00D76F2D" w:rsidRDefault="00681CEB" w:rsidP="00681CEB">
      <w:pPr>
        <w:tabs>
          <w:tab w:val="left" w:pos="1812"/>
        </w:tabs>
      </w:pPr>
      <w:r w:rsidRPr="00E73A3C">
        <w:rPr>
          <w:rFonts w:cstheme="minorHAnsi"/>
          <w:b/>
          <w:bCs/>
          <w:sz w:val="24"/>
          <w:szCs w:val="24"/>
        </w:rPr>
        <w:lastRenderedPageBreak/>
        <w:t xml:space="preserve">Glossary </w:t>
      </w:r>
    </w:p>
    <w:p w14:paraId="7F17C9A9" w14:textId="77777777" w:rsidR="00681CEB" w:rsidRDefault="00681CEB" w:rsidP="00681CEB">
      <w:pPr>
        <w:tabs>
          <w:tab w:val="left" w:pos="1812"/>
        </w:tabs>
        <w:rPr>
          <w:rFonts w:cstheme="minorHAnsi"/>
          <w:b/>
          <w:bCs/>
        </w:rPr>
      </w:pPr>
      <w:r w:rsidRPr="00E73A3C">
        <w:rPr>
          <w:rFonts w:cstheme="minorHAnsi"/>
          <w:b/>
          <w:bCs/>
        </w:rPr>
        <w:t xml:space="preserve">Employment Rate </w:t>
      </w:r>
    </w:p>
    <w:p w14:paraId="4EA06110" w14:textId="77777777" w:rsidR="00681CEB" w:rsidRPr="00E73A3C" w:rsidRDefault="00681CEB" w:rsidP="00681CEB">
      <w:pPr>
        <w:tabs>
          <w:tab w:val="left" w:pos="1812"/>
        </w:tabs>
        <w:rPr>
          <w:rFonts w:cstheme="minorHAnsi"/>
          <w:b/>
          <w:bCs/>
        </w:rPr>
      </w:pPr>
      <w:r w:rsidRPr="00E73A3C">
        <w:rPr>
          <w:rFonts w:cstheme="minorHAnsi"/>
          <w:color w:val="323132"/>
        </w:rPr>
        <w:t>The headline employment rate is calculated by dividing the employment level for those aged from 16 to 64 by the population for that age group.</w:t>
      </w:r>
    </w:p>
    <w:p w14:paraId="43DBD25C" w14:textId="77777777" w:rsidR="00D963E4" w:rsidRDefault="00D963E4" w:rsidP="00681CEB">
      <w:pPr>
        <w:tabs>
          <w:tab w:val="left" w:pos="1812"/>
        </w:tabs>
        <w:rPr>
          <w:rFonts w:cstheme="minorHAnsi"/>
          <w:b/>
          <w:bCs/>
        </w:rPr>
      </w:pPr>
    </w:p>
    <w:p w14:paraId="375ECFA6" w14:textId="0DEC789D" w:rsidR="00681CEB" w:rsidRPr="00E73A3C" w:rsidRDefault="00681CEB" w:rsidP="00681CEB">
      <w:pPr>
        <w:tabs>
          <w:tab w:val="left" w:pos="1812"/>
        </w:tabs>
        <w:rPr>
          <w:rFonts w:cstheme="minorHAnsi"/>
          <w:b/>
          <w:bCs/>
        </w:rPr>
      </w:pPr>
      <w:r w:rsidRPr="00E73A3C">
        <w:rPr>
          <w:rFonts w:cstheme="minorHAnsi"/>
          <w:b/>
          <w:bCs/>
        </w:rPr>
        <w:t xml:space="preserve">Unemployment Rate </w:t>
      </w:r>
    </w:p>
    <w:p w14:paraId="4B50E5A7" w14:textId="77777777" w:rsidR="00681CEB" w:rsidRDefault="00681CEB" w:rsidP="00681CEB">
      <w:pPr>
        <w:tabs>
          <w:tab w:val="left" w:pos="1812"/>
        </w:tabs>
        <w:rPr>
          <w:rFonts w:cstheme="minorHAnsi"/>
          <w:color w:val="323132"/>
          <w:shd w:val="clear" w:color="auto" w:fill="FFFFFF"/>
        </w:rPr>
      </w:pPr>
      <w:r w:rsidRPr="00E73A3C">
        <w:rPr>
          <w:rFonts w:cstheme="minorHAnsi"/>
          <w:color w:val="323132"/>
          <w:shd w:val="clear" w:color="auto" w:fill="FFFFFF"/>
        </w:rPr>
        <w:t>The headline unemployment rate is calculated by dividing the unemployment level for those aged 16 and over by the total number of economically active people aged 16 and over. Economically active is defined as those in employment plus those who are unemployed.</w:t>
      </w:r>
    </w:p>
    <w:p w14:paraId="7987030B" w14:textId="77777777" w:rsidR="00681CEB" w:rsidRDefault="00681CEB" w:rsidP="00681CEB">
      <w:pPr>
        <w:rPr>
          <w:b/>
          <w:bCs/>
          <w:shd w:val="clear" w:color="auto" w:fill="FFFFFF"/>
        </w:rPr>
      </w:pPr>
    </w:p>
    <w:p w14:paraId="4B8CB2DC" w14:textId="77777777" w:rsidR="00681CEB" w:rsidRPr="00E73A3C" w:rsidRDefault="00681CEB" w:rsidP="00681CEB">
      <w:pPr>
        <w:rPr>
          <w:b/>
          <w:bCs/>
          <w:shd w:val="clear" w:color="auto" w:fill="FFFFFF"/>
        </w:rPr>
      </w:pPr>
      <w:r w:rsidRPr="00E73A3C">
        <w:rPr>
          <w:b/>
          <w:bCs/>
          <w:shd w:val="clear" w:color="auto" w:fill="FFFFFF"/>
        </w:rPr>
        <w:t>Economically Active</w:t>
      </w:r>
    </w:p>
    <w:p w14:paraId="6FB6711E" w14:textId="77777777" w:rsidR="00681CEB" w:rsidRPr="00E73A3C" w:rsidRDefault="00681CEB" w:rsidP="00681CEB">
      <w:r w:rsidRPr="00E73A3C">
        <w:t>People aged 16 and over who are either in employment or unemployed.</w:t>
      </w:r>
    </w:p>
    <w:p w14:paraId="451E8BE0" w14:textId="77777777" w:rsidR="00681CEB" w:rsidRDefault="00681CEB" w:rsidP="00681CEB">
      <w:pPr>
        <w:rPr>
          <w:b/>
          <w:bCs/>
        </w:rPr>
      </w:pPr>
    </w:p>
    <w:p w14:paraId="3FE8F381" w14:textId="77777777" w:rsidR="00681CEB" w:rsidRPr="00E73A3C" w:rsidRDefault="00681CEB" w:rsidP="00681CEB">
      <w:pPr>
        <w:rPr>
          <w:b/>
          <w:bCs/>
        </w:rPr>
      </w:pPr>
      <w:r w:rsidRPr="00E73A3C">
        <w:rPr>
          <w:b/>
          <w:bCs/>
        </w:rPr>
        <w:t xml:space="preserve">Economic Inactivity </w:t>
      </w:r>
    </w:p>
    <w:p w14:paraId="66D2819D" w14:textId="77777777" w:rsidR="00681CEB" w:rsidRPr="00E73A3C" w:rsidRDefault="00681CEB" w:rsidP="00681CEB">
      <w:r w:rsidRPr="00E73A3C">
        <w:t>Economically inactive people are those without a job who have not actively sought work in the last four weeks, and/or are not available to start work in the next two weeks.</w:t>
      </w:r>
    </w:p>
    <w:p w14:paraId="34C35780" w14:textId="77777777" w:rsidR="00681CEB" w:rsidRDefault="00681CEB" w:rsidP="00681CEB">
      <w:pPr>
        <w:rPr>
          <w:b/>
          <w:bCs/>
        </w:rPr>
      </w:pPr>
    </w:p>
    <w:p w14:paraId="45009FD1" w14:textId="77777777" w:rsidR="00681CEB" w:rsidRPr="00E73A3C" w:rsidRDefault="00681CEB" w:rsidP="00681CEB">
      <w:pPr>
        <w:rPr>
          <w:b/>
          <w:bCs/>
        </w:rPr>
      </w:pPr>
      <w:r w:rsidRPr="00E73A3C">
        <w:rPr>
          <w:b/>
          <w:bCs/>
        </w:rPr>
        <w:t>Inactivity Rate</w:t>
      </w:r>
    </w:p>
    <w:p w14:paraId="43FFF85B" w14:textId="77777777" w:rsidR="00681CEB" w:rsidRPr="00E73A3C" w:rsidRDefault="00681CEB" w:rsidP="00681CEB">
      <w:r w:rsidRPr="00E73A3C">
        <w:t>The headline inactivity rate is calculated by dividing the inactivity level for those aged from 16 to 64 divided by the population for that age group.</w:t>
      </w:r>
    </w:p>
    <w:p w14:paraId="4DE79652" w14:textId="77777777" w:rsidR="00681CEB" w:rsidRPr="00E73A3C" w:rsidRDefault="00681CEB" w:rsidP="00681CEB">
      <w:pPr>
        <w:tabs>
          <w:tab w:val="left" w:pos="1812"/>
        </w:tabs>
        <w:rPr>
          <w:rFonts w:cstheme="minorHAnsi"/>
        </w:rPr>
      </w:pPr>
    </w:p>
    <w:p w14:paraId="12B9A076" w14:textId="77777777" w:rsidR="005B55A4" w:rsidRPr="00DC0DA3" w:rsidRDefault="005B55A4" w:rsidP="00BB1AA1">
      <w:pPr>
        <w:rPr>
          <w:color w:val="FF0000"/>
          <w:highlight w:val="yellow"/>
        </w:rPr>
      </w:pPr>
    </w:p>
    <w:sectPr w:rsidR="005B55A4" w:rsidRPr="00DC0DA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FCB2" w14:textId="77777777" w:rsidR="00AC6779" w:rsidRDefault="00AC6779" w:rsidP="00AC6779">
      <w:pPr>
        <w:spacing w:after="0" w:line="240" w:lineRule="auto"/>
      </w:pPr>
      <w:r>
        <w:separator/>
      </w:r>
    </w:p>
  </w:endnote>
  <w:endnote w:type="continuationSeparator" w:id="0">
    <w:p w14:paraId="6695099F" w14:textId="77777777" w:rsidR="00AC6779" w:rsidRDefault="00AC6779" w:rsidP="00AC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068643"/>
      <w:docPartObj>
        <w:docPartGallery w:val="Page Numbers (Bottom of Page)"/>
        <w:docPartUnique/>
      </w:docPartObj>
    </w:sdtPr>
    <w:sdtEndPr>
      <w:rPr>
        <w:noProof/>
      </w:rPr>
    </w:sdtEndPr>
    <w:sdtContent>
      <w:p w14:paraId="379098C9" w14:textId="77777777" w:rsidR="00AC6779" w:rsidRDefault="00AC6779">
        <w:pPr>
          <w:pStyle w:val="Footer"/>
          <w:jc w:val="right"/>
        </w:pPr>
        <w:r>
          <w:fldChar w:fldCharType="begin"/>
        </w:r>
        <w:r>
          <w:instrText xml:space="preserve"> PAGE   \* MERGEFORMAT </w:instrText>
        </w:r>
        <w:r>
          <w:fldChar w:fldCharType="separate"/>
        </w:r>
        <w:r w:rsidR="000C3EF6">
          <w:rPr>
            <w:noProof/>
          </w:rPr>
          <w:t>2</w:t>
        </w:r>
        <w:r>
          <w:rPr>
            <w:noProof/>
          </w:rPr>
          <w:fldChar w:fldCharType="end"/>
        </w:r>
      </w:p>
    </w:sdtContent>
  </w:sdt>
  <w:p w14:paraId="41421B94" w14:textId="77777777" w:rsidR="00AC6779" w:rsidRDefault="00AC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FE8C" w14:textId="77777777" w:rsidR="00AC6779" w:rsidRDefault="00AC6779" w:rsidP="00AC6779">
      <w:pPr>
        <w:spacing w:after="0" w:line="240" w:lineRule="auto"/>
      </w:pPr>
      <w:r>
        <w:separator/>
      </w:r>
    </w:p>
  </w:footnote>
  <w:footnote w:type="continuationSeparator" w:id="0">
    <w:p w14:paraId="2800E53F" w14:textId="77777777" w:rsidR="00AC6779" w:rsidRDefault="00AC6779" w:rsidP="00AC6779">
      <w:pPr>
        <w:spacing w:after="0" w:line="240" w:lineRule="auto"/>
      </w:pPr>
      <w:r>
        <w:continuationSeparator/>
      </w:r>
    </w:p>
  </w:footnote>
  <w:footnote w:id="1">
    <w:p w14:paraId="6EEC6C53" w14:textId="77777777" w:rsidR="00681CEB" w:rsidRDefault="00681CEB" w:rsidP="00681CEB">
      <w:pPr>
        <w:pStyle w:val="FootnoteText"/>
      </w:pPr>
      <w:r>
        <w:rPr>
          <w:rStyle w:val="FootnoteReference"/>
        </w:rPr>
        <w:footnoteRef/>
      </w:r>
      <w:r>
        <w:t xml:space="preserve"> The unemployment estimates are based on a smaller sample size and as such, estimates may be less precise and should be treated as indicative.  </w:t>
      </w:r>
    </w:p>
  </w:footnote>
  <w:footnote w:id="2">
    <w:p w14:paraId="191BDDEB" w14:textId="10206A70" w:rsidR="00495335" w:rsidRDefault="00495335">
      <w:pPr>
        <w:pStyle w:val="FootnoteText"/>
      </w:pPr>
      <w:r>
        <w:rPr>
          <w:rStyle w:val="FootnoteReference"/>
        </w:rPr>
        <w:footnoteRef/>
      </w:r>
      <w:r>
        <w:t xml:space="preserve"> There is no unemployment rate available for Ards and North Down and Lisburn and Castlereagh as the data is considered disclosive. </w:t>
      </w:r>
    </w:p>
  </w:footnote>
  <w:footnote w:id="3">
    <w:p w14:paraId="090FD3A0" w14:textId="77777777" w:rsidR="00681CEB" w:rsidRDefault="00681CEB" w:rsidP="00681CEB">
      <w:pPr>
        <w:pStyle w:val="FootnoteText"/>
      </w:pPr>
      <w:r>
        <w:rPr>
          <w:rStyle w:val="FootnoteReference"/>
        </w:rPr>
        <w:footnoteRef/>
      </w:r>
      <w:r>
        <w:t xml:space="preserve"> In 2022 the education section of the Labour Force Survey/Annual Population Survey was updated. The questions have been updated to reflect the current regulated qualifications framework (RQF) for England and Northern Ireland and new types of qualifications that were not previously captured.</w:t>
      </w:r>
    </w:p>
    <w:p w14:paraId="3F365354" w14:textId="77777777" w:rsidR="00681CEB" w:rsidRDefault="00681CEB" w:rsidP="00681CEB">
      <w:pPr>
        <w:pStyle w:val="FootnoteText"/>
      </w:pPr>
      <w:r>
        <w:t xml:space="preserve">Qualification analysis is split into level 4 and above, below level 4, and no qualifications. </w:t>
      </w:r>
    </w:p>
    <w:p w14:paraId="22278BD1" w14:textId="77777777" w:rsidR="00681CEB" w:rsidRDefault="00681CEB" w:rsidP="00681CEB">
      <w:pPr>
        <w:pStyle w:val="FootnoteText"/>
      </w:pPr>
      <w:r>
        <w:t xml:space="preserve">Level 4 and above includes foundation degrees, higher degrees, HND/HNC, and equivalent qualifications. </w:t>
      </w:r>
    </w:p>
    <w:p w14:paraId="622BA3A5" w14:textId="77777777" w:rsidR="00681CEB" w:rsidRDefault="00681CEB" w:rsidP="00681CEB">
      <w:pPr>
        <w:pStyle w:val="FootnoteText"/>
      </w:pPr>
      <w:r>
        <w:t>Below level 4 includes A-Levels, AS Levels, GCSE’s, Entry level certificates and diplomas, and equivalent qualifications.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B4947"/>
    <w:multiLevelType w:val="hybridMultilevel"/>
    <w:tmpl w:val="FF04C3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A45704"/>
    <w:multiLevelType w:val="hybridMultilevel"/>
    <w:tmpl w:val="9EA6F0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8557BA"/>
    <w:multiLevelType w:val="hybridMultilevel"/>
    <w:tmpl w:val="79DA0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048D7"/>
    <w:multiLevelType w:val="hybridMultilevel"/>
    <w:tmpl w:val="207C88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504865">
    <w:abstractNumId w:val="2"/>
  </w:num>
  <w:num w:numId="2" w16cid:durableId="2062704077">
    <w:abstractNumId w:val="1"/>
  </w:num>
  <w:num w:numId="3" w16cid:durableId="1041244478">
    <w:abstractNumId w:val="3"/>
  </w:num>
  <w:num w:numId="4" w16cid:durableId="11298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92"/>
    <w:rsid w:val="00021984"/>
    <w:rsid w:val="000857E9"/>
    <w:rsid w:val="000B2F9F"/>
    <w:rsid w:val="000B4EFA"/>
    <w:rsid w:val="000C3EF6"/>
    <w:rsid w:val="000E28D3"/>
    <w:rsid w:val="00152FEA"/>
    <w:rsid w:val="00193DFF"/>
    <w:rsid w:val="001A5FB9"/>
    <w:rsid w:val="001B65B2"/>
    <w:rsid w:val="001B7F34"/>
    <w:rsid w:val="001C3ABE"/>
    <w:rsid w:val="002112D9"/>
    <w:rsid w:val="00221B6E"/>
    <w:rsid w:val="00221F8A"/>
    <w:rsid w:val="00266E88"/>
    <w:rsid w:val="00276B10"/>
    <w:rsid w:val="00341710"/>
    <w:rsid w:val="003504BD"/>
    <w:rsid w:val="00362BE2"/>
    <w:rsid w:val="00373CF6"/>
    <w:rsid w:val="003867A0"/>
    <w:rsid w:val="003D7492"/>
    <w:rsid w:val="00427EF6"/>
    <w:rsid w:val="00436B09"/>
    <w:rsid w:val="004924C5"/>
    <w:rsid w:val="00495335"/>
    <w:rsid w:val="004E191A"/>
    <w:rsid w:val="004E6185"/>
    <w:rsid w:val="00533170"/>
    <w:rsid w:val="00541A4F"/>
    <w:rsid w:val="005631DC"/>
    <w:rsid w:val="005B55A4"/>
    <w:rsid w:val="00607520"/>
    <w:rsid w:val="006154DD"/>
    <w:rsid w:val="006438CB"/>
    <w:rsid w:val="00644B07"/>
    <w:rsid w:val="00681CEB"/>
    <w:rsid w:val="00686FCE"/>
    <w:rsid w:val="006A4FFE"/>
    <w:rsid w:val="006D0527"/>
    <w:rsid w:val="006D17C5"/>
    <w:rsid w:val="006E3964"/>
    <w:rsid w:val="00732701"/>
    <w:rsid w:val="0079067A"/>
    <w:rsid w:val="007B0653"/>
    <w:rsid w:val="007E0F5B"/>
    <w:rsid w:val="00823D80"/>
    <w:rsid w:val="00843348"/>
    <w:rsid w:val="008975C8"/>
    <w:rsid w:val="00935E44"/>
    <w:rsid w:val="0095664C"/>
    <w:rsid w:val="009759F5"/>
    <w:rsid w:val="009A7319"/>
    <w:rsid w:val="009C3543"/>
    <w:rsid w:val="009E1B8A"/>
    <w:rsid w:val="00A10F8D"/>
    <w:rsid w:val="00A22690"/>
    <w:rsid w:val="00A97C0A"/>
    <w:rsid w:val="00AC6779"/>
    <w:rsid w:val="00B26715"/>
    <w:rsid w:val="00BB1AA1"/>
    <w:rsid w:val="00BD7631"/>
    <w:rsid w:val="00C07F67"/>
    <w:rsid w:val="00C21A94"/>
    <w:rsid w:val="00C9673B"/>
    <w:rsid w:val="00D454EF"/>
    <w:rsid w:val="00D55E1C"/>
    <w:rsid w:val="00D612B9"/>
    <w:rsid w:val="00D85EC5"/>
    <w:rsid w:val="00D963E4"/>
    <w:rsid w:val="00D970CD"/>
    <w:rsid w:val="00DC0DA3"/>
    <w:rsid w:val="00DD1E74"/>
    <w:rsid w:val="00DE172F"/>
    <w:rsid w:val="00E002EF"/>
    <w:rsid w:val="00E24E33"/>
    <w:rsid w:val="00E34412"/>
    <w:rsid w:val="00E57F4E"/>
    <w:rsid w:val="00E740E1"/>
    <w:rsid w:val="00E75E70"/>
    <w:rsid w:val="00E863DA"/>
    <w:rsid w:val="00EB0056"/>
    <w:rsid w:val="00EB0776"/>
    <w:rsid w:val="00ED3650"/>
    <w:rsid w:val="00EE6EEC"/>
    <w:rsid w:val="00EF56A3"/>
    <w:rsid w:val="00F03DEB"/>
    <w:rsid w:val="00F37E13"/>
    <w:rsid w:val="00F92EA0"/>
    <w:rsid w:val="00F93133"/>
    <w:rsid w:val="00FB08DD"/>
    <w:rsid w:val="00FB67B1"/>
    <w:rsid w:val="00FD07C7"/>
    <w:rsid w:val="00FF1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C983"/>
  <w15:chartTrackingRefBased/>
  <w15:docId w15:val="{40B691E6-E6D3-4107-A107-FBF7844E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49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5A4"/>
    <w:rPr>
      <w:color w:val="0000FF"/>
      <w:u w:val="single"/>
    </w:rPr>
  </w:style>
  <w:style w:type="paragraph" w:styleId="Header">
    <w:name w:val="header"/>
    <w:basedOn w:val="Normal"/>
    <w:link w:val="HeaderChar"/>
    <w:uiPriority w:val="99"/>
    <w:unhideWhenUsed/>
    <w:rsid w:val="00AC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779"/>
  </w:style>
  <w:style w:type="paragraph" w:styleId="Footer">
    <w:name w:val="footer"/>
    <w:basedOn w:val="Normal"/>
    <w:link w:val="FooterChar"/>
    <w:uiPriority w:val="99"/>
    <w:unhideWhenUsed/>
    <w:rsid w:val="00AC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779"/>
  </w:style>
  <w:style w:type="table" w:styleId="GridTable1Light">
    <w:name w:val="Grid Table 1 Light"/>
    <w:basedOn w:val="TableNormal"/>
    <w:uiPriority w:val="46"/>
    <w:rsid w:val="00C07F6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1A5FB9"/>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1A5FB9"/>
    <w:rPr>
      <w:kern w:val="2"/>
      <w:sz w:val="20"/>
      <w:szCs w:val="20"/>
      <w14:ligatures w14:val="standardContextual"/>
    </w:rPr>
  </w:style>
  <w:style w:type="character" w:styleId="FootnoteReference">
    <w:name w:val="footnote reference"/>
    <w:basedOn w:val="DefaultParagraphFont"/>
    <w:uiPriority w:val="99"/>
    <w:semiHidden/>
    <w:unhideWhenUsed/>
    <w:rsid w:val="001A5FB9"/>
    <w:rPr>
      <w:vertAlign w:val="superscript"/>
    </w:rPr>
  </w:style>
  <w:style w:type="paragraph" w:styleId="ListParagraph">
    <w:name w:val="List Paragraph"/>
    <w:basedOn w:val="Normal"/>
    <w:uiPriority w:val="34"/>
    <w:qFormat/>
    <w:rsid w:val="009759F5"/>
    <w:pPr>
      <w:spacing w:line="259" w:lineRule="auto"/>
      <w:ind w:left="720"/>
      <w:contextualSpacing/>
    </w:pPr>
    <w:rPr>
      <w:kern w:val="2"/>
      <w14:ligatures w14:val="standardContextual"/>
    </w:rPr>
  </w:style>
  <w:style w:type="character" w:styleId="UnresolvedMention">
    <w:name w:val="Unresolved Mention"/>
    <w:basedOn w:val="DefaultParagraphFont"/>
    <w:uiPriority w:val="99"/>
    <w:semiHidden/>
    <w:unhideWhenUsed/>
    <w:rsid w:val="001B6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1190">
      <w:bodyDiv w:val="1"/>
      <w:marLeft w:val="0"/>
      <w:marRight w:val="0"/>
      <w:marTop w:val="0"/>
      <w:marBottom w:val="0"/>
      <w:divBdr>
        <w:top w:val="none" w:sz="0" w:space="0" w:color="auto"/>
        <w:left w:val="none" w:sz="0" w:space="0" w:color="auto"/>
        <w:bottom w:val="none" w:sz="0" w:space="0" w:color="auto"/>
        <w:right w:val="none" w:sz="0" w:space="0" w:color="auto"/>
      </w:divBdr>
    </w:div>
    <w:div w:id="425073422">
      <w:bodyDiv w:val="1"/>
      <w:marLeft w:val="0"/>
      <w:marRight w:val="0"/>
      <w:marTop w:val="0"/>
      <w:marBottom w:val="0"/>
      <w:divBdr>
        <w:top w:val="none" w:sz="0" w:space="0" w:color="auto"/>
        <w:left w:val="none" w:sz="0" w:space="0" w:color="auto"/>
        <w:bottom w:val="none" w:sz="0" w:space="0" w:color="auto"/>
        <w:right w:val="none" w:sz="0" w:space="0" w:color="auto"/>
      </w:divBdr>
    </w:div>
    <w:div w:id="632029314">
      <w:bodyDiv w:val="1"/>
      <w:marLeft w:val="0"/>
      <w:marRight w:val="0"/>
      <w:marTop w:val="0"/>
      <w:marBottom w:val="0"/>
      <w:divBdr>
        <w:top w:val="none" w:sz="0" w:space="0" w:color="auto"/>
        <w:left w:val="none" w:sz="0" w:space="0" w:color="auto"/>
        <w:bottom w:val="none" w:sz="0" w:space="0" w:color="auto"/>
        <w:right w:val="none" w:sz="0" w:space="0" w:color="auto"/>
      </w:divBdr>
    </w:div>
    <w:div w:id="906232588">
      <w:bodyDiv w:val="1"/>
      <w:marLeft w:val="0"/>
      <w:marRight w:val="0"/>
      <w:marTop w:val="0"/>
      <w:marBottom w:val="0"/>
      <w:divBdr>
        <w:top w:val="none" w:sz="0" w:space="0" w:color="auto"/>
        <w:left w:val="none" w:sz="0" w:space="0" w:color="auto"/>
        <w:bottom w:val="none" w:sz="0" w:space="0" w:color="auto"/>
        <w:right w:val="none" w:sz="0" w:space="0" w:color="auto"/>
      </w:divBdr>
    </w:div>
    <w:div w:id="1128202811">
      <w:bodyDiv w:val="1"/>
      <w:marLeft w:val="0"/>
      <w:marRight w:val="0"/>
      <w:marTop w:val="0"/>
      <w:marBottom w:val="0"/>
      <w:divBdr>
        <w:top w:val="none" w:sz="0" w:space="0" w:color="auto"/>
        <w:left w:val="none" w:sz="0" w:space="0" w:color="auto"/>
        <w:bottom w:val="none" w:sz="0" w:space="0" w:color="auto"/>
        <w:right w:val="none" w:sz="0" w:space="0" w:color="auto"/>
      </w:divBdr>
    </w:div>
    <w:div w:id="1264803408">
      <w:bodyDiv w:val="1"/>
      <w:marLeft w:val="0"/>
      <w:marRight w:val="0"/>
      <w:marTop w:val="0"/>
      <w:marBottom w:val="0"/>
      <w:divBdr>
        <w:top w:val="none" w:sz="0" w:space="0" w:color="auto"/>
        <w:left w:val="none" w:sz="0" w:space="0" w:color="auto"/>
        <w:bottom w:val="none" w:sz="0" w:space="0" w:color="auto"/>
        <w:right w:val="none" w:sz="0" w:space="0" w:color="auto"/>
      </w:divBdr>
    </w:div>
    <w:div w:id="1314945564">
      <w:bodyDiv w:val="1"/>
      <w:marLeft w:val="0"/>
      <w:marRight w:val="0"/>
      <w:marTop w:val="0"/>
      <w:marBottom w:val="0"/>
      <w:divBdr>
        <w:top w:val="none" w:sz="0" w:space="0" w:color="auto"/>
        <w:left w:val="none" w:sz="0" w:space="0" w:color="auto"/>
        <w:bottom w:val="none" w:sz="0" w:space="0" w:color="auto"/>
        <w:right w:val="none" w:sz="0" w:space="0" w:color="auto"/>
      </w:divBdr>
    </w:div>
    <w:div w:id="1601796308">
      <w:bodyDiv w:val="1"/>
      <w:marLeft w:val="0"/>
      <w:marRight w:val="0"/>
      <w:marTop w:val="0"/>
      <w:marBottom w:val="0"/>
      <w:divBdr>
        <w:top w:val="none" w:sz="0" w:space="0" w:color="auto"/>
        <w:left w:val="none" w:sz="0" w:space="0" w:color="auto"/>
        <w:bottom w:val="none" w:sz="0" w:space="0" w:color="auto"/>
        <w:right w:val="none" w:sz="0" w:space="0" w:color="auto"/>
      </w:divBdr>
    </w:div>
    <w:div w:id="1618830075">
      <w:bodyDiv w:val="1"/>
      <w:marLeft w:val="0"/>
      <w:marRight w:val="0"/>
      <w:marTop w:val="0"/>
      <w:marBottom w:val="0"/>
      <w:divBdr>
        <w:top w:val="none" w:sz="0" w:space="0" w:color="auto"/>
        <w:left w:val="none" w:sz="0" w:space="0" w:color="auto"/>
        <w:bottom w:val="none" w:sz="0" w:space="0" w:color="auto"/>
        <w:right w:val="none" w:sz="0" w:space="0" w:color="auto"/>
      </w:divBdr>
    </w:div>
    <w:div w:id="2077897168">
      <w:bodyDiv w:val="1"/>
      <w:marLeft w:val="0"/>
      <w:marRight w:val="0"/>
      <w:marTop w:val="0"/>
      <w:marBottom w:val="0"/>
      <w:divBdr>
        <w:top w:val="none" w:sz="0" w:space="0" w:color="auto"/>
        <w:left w:val="none" w:sz="0" w:space="0" w:color="auto"/>
        <w:bottom w:val="none" w:sz="0" w:space="0" w:color="auto"/>
        <w:right w:val="none" w:sz="0" w:space="0" w:color="auto"/>
      </w:divBdr>
    </w:div>
    <w:div w:id="2083596090">
      <w:bodyDiv w:val="1"/>
      <w:marLeft w:val="0"/>
      <w:marRight w:val="0"/>
      <w:marTop w:val="0"/>
      <w:marBottom w:val="0"/>
      <w:divBdr>
        <w:top w:val="none" w:sz="0" w:space="0" w:color="auto"/>
        <w:left w:val="none" w:sz="0" w:space="0" w:color="auto"/>
        <w:bottom w:val="none" w:sz="0" w:space="0" w:color="auto"/>
        <w:right w:val="none" w:sz="0" w:space="0" w:color="auto"/>
      </w:divBdr>
    </w:div>
    <w:div w:id="214410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nisra.gov.uk/publications/labour-force-survey-annual-tables-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Economy%20and%20Labour%20Market\Updates\2025\Employment%20-%20update%20Sept25.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Economy%20and%20Labour%20Market\Updates\2025\Employment%20-%20update%20Sept25.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Economy%20and%20Labour%20Market\Updates\2025\Employment%20-%20update%20Sept25.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Economy%20and%20Labour%20Market\Updates\2025\Employment%20-%20update%20Sept25.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Economy%20and%20Labour%20Market\Updates\2025\Employment%20-%20update%20Sept25.xls"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abc-svr-17\ABC-Banbridgelegacy\community_planning\2.%20Cmty%20&amp;%20Strat%20Planning%20JD\DATA%20ANALYST\2.%20Statistics%20for%20Website\Economy%20and%20Labour%20Market\Updates\2025\Employment%20-%20update%20Sept25.xls"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GB" sz="1200"/>
              <a:t>Employment Rate (16+)</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0748512456885293E-2"/>
          <c:y val="0.13717982283576358"/>
          <c:w val="0.9036552106379373"/>
          <c:h val="0.76638603188397103"/>
        </c:manualLayout>
      </c:layout>
      <c:lineChart>
        <c:grouping val="standard"/>
        <c:varyColors val="0"/>
        <c:ser>
          <c:idx val="0"/>
          <c:order val="0"/>
          <c:tx>
            <c:strRef>
              <c:f>'2024'!$B$13</c:f>
              <c:strCache>
                <c:ptCount val="1"/>
                <c:pt idx="0">
                  <c:v>ABC</c:v>
                </c:pt>
              </c:strCache>
            </c:strRef>
          </c:tx>
          <c:spPr>
            <a:ln w="28575" cap="rnd">
              <a:solidFill>
                <a:schemeClr val="accent1"/>
              </a:solidFill>
              <a:round/>
            </a:ln>
            <a:effectLst/>
          </c:spPr>
          <c:marker>
            <c:symbol val="none"/>
          </c:marker>
          <c:cat>
            <c:numRef>
              <c:f>'2024'!$A$14:$A$29</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'2024'!$B$14:$B$29</c:f>
              <c:numCache>
                <c:formatCode>0.0%</c:formatCode>
                <c:ptCount val="16"/>
                <c:pt idx="0">
                  <c:v>0.58399999999999996</c:v>
                </c:pt>
                <c:pt idx="1">
                  <c:v>0.61399999999999999</c:v>
                </c:pt>
                <c:pt idx="2">
                  <c:v>0.60299999999999998</c:v>
                </c:pt>
                <c:pt idx="3">
                  <c:v>0.54200000000000004</c:v>
                </c:pt>
                <c:pt idx="4">
                  <c:v>0.56499999999999995</c:v>
                </c:pt>
                <c:pt idx="5">
                  <c:v>0.57999999999999996</c:v>
                </c:pt>
                <c:pt idx="6">
                  <c:v>0.57099999999999995</c:v>
                </c:pt>
                <c:pt idx="7">
                  <c:v>0.58699999999999997</c:v>
                </c:pt>
                <c:pt idx="8">
                  <c:v>0.60599999999999998</c:v>
                </c:pt>
                <c:pt idx="9">
                  <c:v>0.61799999999999999</c:v>
                </c:pt>
                <c:pt idx="10">
                  <c:v>0.59299999999999997</c:v>
                </c:pt>
                <c:pt idx="11">
                  <c:v>0.58599999999999997</c:v>
                </c:pt>
                <c:pt idx="12">
                  <c:v>0.58099999999999996</c:v>
                </c:pt>
                <c:pt idx="13">
                  <c:v>0.63100000000000001</c:v>
                </c:pt>
                <c:pt idx="14">
                  <c:v>0.64</c:v>
                </c:pt>
                <c:pt idx="15">
                  <c:v>0.67600000000000005</c:v>
                </c:pt>
              </c:numCache>
            </c:numRef>
          </c:val>
          <c:smooth val="0"/>
          <c:extLst>
            <c:ext xmlns:c16="http://schemas.microsoft.com/office/drawing/2014/chart" uri="{C3380CC4-5D6E-409C-BE32-E72D297353CC}">
              <c16:uniqueId val="{00000000-1DEF-41CD-B0D2-AE0E1F5878D7}"/>
            </c:ext>
          </c:extLst>
        </c:ser>
        <c:ser>
          <c:idx val="1"/>
          <c:order val="1"/>
          <c:tx>
            <c:strRef>
              <c:f>'2024'!$C$13</c:f>
              <c:strCache>
                <c:ptCount val="1"/>
                <c:pt idx="0">
                  <c:v>NI</c:v>
                </c:pt>
              </c:strCache>
            </c:strRef>
          </c:tx>
          <c:spPr>
            <a:ln w="28575" cap="rnd">
              <a:solidFill>
                <a:schemeClr val="accent2"/>
              </a:solidFill>
              <a:prstDash val="dash"/>
              <a:round/>
            </a:ln>
            <a:effectLst/>
          </c:spPr>
          <c:marker>
            <c:symbol val="none"/>
          </c:marker>
          <c:cat>
            <c:numRef>
              <c:f>'2024'!$A$14:$A$29</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'2024'!$C$14:$C$29</c:f>
              <c:numCache>
                <c:formatCode>0.0%</c:formatCode>
                <c:ptCount val="16"/>
                <c:pt idx="0">
                  <c:v>0.55000000000000004</c:v>
                </c:pt>
                <c:pt idx="1">
                  <c:v>0.55300000000000005</c:v>
                </c:pt>
                <c:pt idx="2">
                  <c:v>0.56399999999999995</c:v>
                </c:pt>
                <c:pt idx="3">
                  <c:v>0.56000000000000005</c:v>
                </c:pt>
                <c:pt idx="4">
                  <c:v>0.56200000000000006</c:v>
                </c:pt>
                <c:pt idx="5">
                  <c:v>0.56299999999999994</c:v>
                </c:pt>
                <c:pt idx="6">
                  <c:v>0.56999999999999995</c:v>
                </c:pt>
                <c:pt idx="7">
                  <c:v>0.57499999999999996</c:v>
                </c:pt>
                <c:pt idx="8">
                  <c:v>0.57199999999999995</c:v>
                </c:pt>
                <c:pt idx="9">
                  <c:v>0.57999999999999996</c:v>
                </c:pt>
                <c:pt idx="10">
                  <c:v>0.59299999999999997</c:v>
                </c:pt>
                <c:pt idx="11">
                  <c:v>0.57299999999999995</c:v>
                </c:pt>
                <c:pt idx="12">
                  <c:v>0.57399999999999995</c:v>
                </c:pt>
                <c:pt idx="13">
                  <c:v>0.59199999999999997</c:v>
                </c:pt>
                <c:pt idx="14">
                  <c:v>0.60499999999999998</c:v>
                </c:pt>
                <c:pt idx="15">
                  <c:v>0.61399999999999999</c:v>
                </c:pt>
              </c:numCache>
            </c:numRef>
          </c:val>
          <c:smooth val="0"/>
          <c:extLst>
            <c:ext xmlns:c16="http://schemas.microsoft.com/office/drawing/2014/chart" uri="{C3380CC4-5D6E-409C-BE32-E72D297353CC}">
              <c16:uniqueId val="{00000001-1DEF-41CD-B0D2-AE0E1F5878D7}"/>
            </c:ext>
          </c:extLst>
        </c:ser>
        <c:dLbls>
          <c:showLegendKey val="0"/>
          <c:showVal val="0"/>
          <c:showCatName val="0"/>
          <c:showSerName val="0"/>
          <c:showPercent val="0"/>
          <c:showBubbleSize val="0"/>
        </c:dLbls>
        <c:smooth val="0"/>
        <c:axId val="114655359"/>
        <c:axId val="114667839"/>
      </c:lineChart>
      <c:catAx>
        <c:axId val="114655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67839"/>
        <c:crosses val="autoZero"/>
        <c:auto val="1"/>
        <c:lblAlgn val="ctr"/>
        <c:lblOffset val="100"/>
        <c:noMultiLvlLbl val="0"/>
      </c:catAx>
      <c:valAx>
        <c:axId val="114667839"/>
        <c:scaling>
          <c:orientation val="minMax"/>
          <c:min val="0.5"/>
        </c:scaling>
        <c:delete val="0"/>
        <c:axPos val="l"/>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55359"/>
        <c:crosses val="autoZero"/>
        <c:crossBetween val="between"/>
      </c:valAx>
      <c:spPr>
        <a:noFill/>
        <a:ln>
          <a:noFill/>
        </a:ln>
        <a:effectLst/>
      </c:spPr>
    </c:plotArea>
    <c:legend>
      <c:legendPos val="b"/>
      <c:layout>
        <c:manualLayout>
          <c:xMode val="edge"/>
          <c:yMode val="edge"/>
          <c:x val="0.76854900990779274"/>
          <c:y val="0.8340264019386312"/>
          <c:w val="0.23145099009220707"/>
          <c:h val="6.241374259085441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Employment Rate (16-64)</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1183307991463898E-2"/>
          <c:y val="0.14784252787016655"/>
          <c:w val="0.90306310936626644"/>
          <c:h val="0.76018584400490508"/>
        </c:manualLayout>
      </c:layout>
      <c:lineChart>
        <c:grouping val="standard"/>
        <c:varyColors val="0"/>
        <c:ser>
          <c:idx val="0"/>
          <c:order val="0"/>
          <c:tx>
            <c:strRef>
              <c:f>'2024'!$D$13</c:f>
              <c:strCache>
                <c:ptCount val="1"/>
                <c:pt idx="0">
                  <c:v>ABC</c:v>
                </c:pt>
              </c:strCache>
            </c:strRef>
          </c:tx>
          <c:spPr>
            <a:ln w="28575" cap="rnd">
              <a:solidFill>
                <a:schemeClr val="accent1"/>
              </a:solidFill>
              <a:round/>
            </a:ln>
            <a:effectLst/>
          </c:spPr>
          <c:marker>
            <c:symbol val="none"/>
          </c:marker>
          <c:cat>
            <c:numRef>
              <c:f>'2024'!$A$14:$A$29</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'2024'!$D$14:$D$29</c:f>
              <c:numCache>
                <c:formatCode>0.0%</c:formatCode>
                <c:ptCount val="16"/>
                <c:pt idx="0">
                  <c:v>0.67200000000000004</c:v>
                </c:pt>
                <c:pt idx="1">
                  <c:v>0.70199999999999996</c:v>
                </c:pt>
                <c:pt idx="2">
                  <c:v>0.70899999999999996</c:v>
                </c:pt>
                <c:pt idx="3">
                  <c:v>0.68200000000000005</c:v>
                </c:pt>
                <c:pt idx="4">
                  <c:v>0.68400000000000005</c:v>
                </c:pt>
                <c:pt idx="5">
                  <c:v>0.71</c:v>
                </c:pt>
                <c:pt idx="6">
                  <c:v>0.69399999999999995</c:v>
                </c:pt>
                <c:pt idx="7">
                  <c:v>0.70799999999999996</c:v>
                </c:pt>
                <c:pt idx="8">
                  <c:v>0.73299999999999998</c:v>
                </c:pt>
                <c:pt idx="9">
                  <c:v>0.73899999999999999</c:v>
                </c:pt>
                <c:pt idx="10">
                  <c:v>0.72299999999999998</c:v>
                </c:pt>
                <c:pt idx="11">
                  <c:v>0.71299999999999997</c:v>
                </c:pt>
                <c:pt idx="12">
                  <c:v>0.70899999999999996</c:v>
                </c:pt>
                <c:pt idx="13">
                  <c:v>0.752</c:v>
                </c:pt>
                <c:pt idx="14">
                  <c:v>0.76600000000000001</c:v>
                </c:pt>
                <c:pt idx="15">
                  <c:v>0.79300000000000004</c:v>
                </c:pt>
              </c:numCache>
            </c:numRef>
          </c:val>
          <c:smooth val="0"/>
          <c:extLst>
            <c:ext xmlns:c16="http://schemas.microsoft.com/office/drawing/2014/chart" uri="{C3380CC4-5D6E-409C-BE32-E72D297353CC}">
              <c16:uniqueId val="{00000000-3241-4D0D-ABB9-E7DF5258B968}"/>
            </c:ext>
          </c:extLst>
        </c:ser>
        <c:ser>
          <c:idx val="1"/>
          <c:order val="1"/>
          <c:tx>
            <c:strRef>
              <c:f>'2024'!$E$13</c:f>
              <c:strCache>
                <c:ptCount val="1"/>
                <c:pt idx="0">
                  <c:v>NI</c:v>
                </c:pt>
              </c:strCache>
            </c:strRef>
          </c:tx>
          <c:spPr>
            <a:ln w="28575" cap="rnd">
              <a:solidFill>
                <a:schemeClr val="accent2"/>
              </a:solidFill>
              <a:prstDash val="dash"/>
              <a:round/>
            </a:ln>
            <a:effectLst/>
          </c:spPr>
          <c:marker>
            <c:symbol val="none"/>
          </c:marker>
          <c:cat>
            <c:numRef>
              <c:f>'2024'!$A$14:$A$29</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'2024'!$E$14:$E$29</c:f>
              <c:numCache>
                <c:formatCode>0.0%</c:formatCode>
                <c:ptCount val="16"/>
                <c:pt idx="0">
                  <c:v>0.65100000000000002</c:v>
                </c:pt>
                <c:pt idx="1">
                  <c:v>0.65800000000000003</c:v>
                </c:pt>
                <c:pt idx="2">
                  <c:v>0.67</c:v>
                </c:pt>
                <c:pt idx="3">
                  <c:v>0.67</c:v>
                </c:pt>
                <c:pt idx="4">
                  <c:v>0.67100000000000004</c:v>
                </c:pt>
                <c:pt idx="5">
                  <c:v>0.67700000000000005</c:v>
                </c:pt>
                <c:pt idx="6">
                  <c:v>0.68400000000000005</c:v>
                </c:pt>
                <c:pt idx="7">
                  <c:v>0.69399999999999995</c:v>
                </c:pt>
                <c:pt idx="8">
                  <c:v>0.69099999999999995</c:v>
                </c:pt>
                <c:pt idx="9">
                  <c:v>0.7</c:v>
                </c:pt>
                <c:pt idx="10">
                  <c:v>0.71899999999999997</c:v>
                </c:pt>
                <c:pt idx="11">
                  <c:v>0.69799999999999995</c:v>
                </c:pt>
                <c:pt idx="12">
                  <c:v>0.70199999999999996</c:v>
                </c:pt>
                <c:pt idx="13">
                  <c:v>0.71899999999999997</c:v>
                </c:pt>
                <c:pt idx="14">
                  <c:v>0.73599999999999999</c:v>
                </c:pt>
                <c:pt idx="15">
                  <c:v>0.74299999999999999</c:v>
                </c:pt>
              </c:numCache>
            </c:numRef>
          </c:val>
          <c:smooth val="0"/>
          <c:extLst>
            <c:ext xmlns:c16="http://schemas.microsoft.com/office/drawing/2014/chart" uri="{C3380CC4-5D6E-409C-BE32-E72D297353CC}">
              <c16:uniqueId val="{00000001-3241-4D0D-ABB9-E7DF5258B968}"/>
            </c:ext>
          </c:extLst>
        </c:ser>
        <c:dLbls>
          <c:showLegendKey val="0"/>
          <c:showVal val="0"/>
          <c:showCatName val="0"/>
          <c:showSerName val="0"/>
          <c:showPercent val="0"/>
          <c:showBubbleSize val="0"/>
        </c:dLbls>
        <c:smooth val="0"/>
        <c:axId val="1014246463"/>
        <c:axId val="1014248383"/>
      </c:lineChart>
      <c:catAx>
        <c:axId val="1014246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4248383"/>
        <c:crosses val="autoZero"/>
        <c:auto val="1"/>
        <c:lblAlgn val="ctr"/>
        <c:lblOffset val="100"/>
        <c:noMultiLvlLbl val="0"/>
      </c:catAx>
      <c:valAx>
        <c:axId val="1014248383"/>
        <c:scaling>
          <c:orientation val="minMax"/>
          <c:min val="0.60000000000000009"/>
        </c:scaling>
        <c:delete val="0"/>
        <c:axPos val="l"/>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4246463"/>
        <c:crosses val="autoZero"/>
        <c:crossBetween val="between"/>
      </c:valAx>
      <c:spPr>
        <a:noFill/>
        <a:ln>
          <a:noFill/>
        </a:ln>
        <a:effectLst/>
      </c:spPr>
    </c:plotArea>
    <c:legend>
      <c:legendPos val="b"/>
      <c:layout>
        <c:manualLayout>
          <c:xMode val="edge"/>
          <c:yMode val="edge"/>
          <c:x val="0.76317580571659471"/>
          <c:y val="0.82112561607199741"/>
          <c:w val="0.19943117212168227"/>
          <c:h val="6.72650342282273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Unemployment rate</a:t>
            </a:r>
            <a:r>
              <a:rPr lang="en-US" sz="1100" baseline="0"/>
              <a:t> </a:t>
            </a:r>
            <a:r>
              <a:rPr lang="en-US" sz="1100"/>
              <a:t>(%)</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'2024 contd'!$B$1</c:f>
              <c:strCache>
                <c:ptCount val="1"/>
                <c:pt idx="0">
                  <c:v>Unemployment rate
(%)</c:v>
                </c:pt>
              </c:strCache>
            </c:strRef>
          </c:tx>
          <c:spPr>
            <a:solidFill>
              <a:schemeClr val="accent1"/>
            </a:solidFill>
            <a:ln>
              <a:noFill/>
            </a:ln>
            <a:effectLst/>
          </c:spPr>
          <c:invertIfNegative val="0"/>
          <c:dPt>
            <c:idx val="3"/>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01-DE5D-44AD-96CD-BBBC12A39B55}"/>
              </c:ext>
            </c:extLst>
          </c:dPt>
          <c:dPt>
            <c:idx val="5"/>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03-DE5D-44AD-96CD-BBBC12A39B5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 contd'!$A$2:$A$11</c:f>
              <c:strCache>
                <c:ptCount val="10"/>
                <c:pt idx="0">
                  <c:v>Antrim and Newtownabbey</c:v>
                </c:pt>
                <c:pt idx="1">
                  <c:v>Derry City and Strabane</c:v>
                </c:pt>
                <c:pt idx="2">
                  <c:v>Causeway Coast and Glens</c:v>
                </c:pt>
                <c:pt idx="3">
                  <c:v>Armagh City, Banbridge and Craigavon</c:v>
                </c:pt>
                <c:pt idx="4">
                  <c:v>Fermanagh and Omagh</c:v>
                </c:pt>
                <c:pt idx="5">
                  <c:v>Northern Ireland </c:v>
                </c:pt>
                <c:pt idx="6">
                  <c:v>Belfast</c:v>
                </c:pt>
                <c:pt idx="7">
                  <c:v>Mid Ulster</c:v>
                </c:pt>
                <c:pt idx="8">
                  <c:v>Newry Mourne and Down</c:v>
                </c:pt>
                <c:pt idx="9">
                  <c:v>Mid and East Antrim</c:v>
                </c:pt>
              </c:strCache>
            </c:strRef>
          </c:cat>
          <c:val>
            <c:numRef>
              <c:f>'2024 contd'!$B$2:$B$11</c:f>
              <c:numCache>
                <c:formatCode>#,##0.0</c:formatCode>
                <c:ptCount val="10"/>
                <c:pt idx="0">
                  <c:v>1.1000000000000001</c:v>
                </c:pt>
                <c:pt idx="1">
                  <c:v>1.1000000000000001</c:v>
                </c:pt>
                <c:pt idx="2">
                  <c:v>1.2</c:v>
                </c:pt>
                <c:pt idx="3">
                  <c:v>1.7</c:v>
                </c:pt>
                <c:pt idx="4">
                  <c:v>1.7</c:v>
                </c:pt>
                <c:pt idx="5">
                  <c:v>1.8</c:v>
                </c:pt>
                <c:pt idx="6">
                  <c:v>2.2000000000000002</c:v>
                </c:pt>
                <c:pt idx="7">
                  <c:v>2.4</c:v>
                </c:pt>
                <c:pt idx="8">
                  <c:v>2.6</c:v>
                </c:pt>
                <c:pt idx="9">
                  <c:v>4.0999999999999996</c:v>
                </c:pt>
              </c:numCache>
            </c:numRef>
          </c:val>
          <c:extLst>
            <c:ext xmlns:c16="http://schemas.microsoft.com/office/drawing/2014/chart" uri="{C3380CC4-5D6E-409C-BE32-E72D297353CC}">
              <c16:uniqueId val="{00000004-DE5D-44AD-96CD-BBBC12A39B55}"/>
            </c:ext>
          </c:extLst>
        </c:ser>
        <c:dLbls>
          <c:showLegendKey val="0"/>
          <c:showVal val="0"/>
          <c:showCatName val="0"/>
          <c:showSerName val="0"/>
          <c:showPercent val="0"/>
          <c:showBubbleSize val="0"/>
        </c:dLbls>
        <c:gapWidth val="100"/>
        <c:axId val="114686079"/>
        <c:axId val="114680799"/>
      </c:barChart>
      <c:catAx>
        <c:axId val="1146860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80799"/>
        <c:crosses val="autoZero"/>
        <c:auto val="1"/>
        <c:lblAlgn val="ctr"/>
        <c:lblOffset val="100"/>
        <c:noMultiLvlLbl val="0"/>
      </c:catAx>
      <c:valAx>
        <c:axId val="114680799"/>
        <c:scaling>
          <c:orientation val="minMax"/>
        </c:scaling>
        <c:delete val="0"/>
        <c:axPos val="b"/>
        <c:majorGridlines>
          <c:spPr>
            <a:ln w="9525" cap="flat" cmpd="sng" algn="ctr">
              <a:solidFill>
                <a:schemeClr val="tx1">
                  <a:lumMod val="15000"/>
                  <a:lumOff val="85000"/>
                </a:schemeClr>
              </a:solidFill>
              <a:prstDash val="lgDashDotDot"/>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6860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t>Economic Inactivity Rate (16-64),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'2024 contd'!$B$22</c:f>
              <c:strCache>
                <c:ptCount val="1"/>
                <c:pt idx="0">
                  <c:v>ABC</c:v>
                </c:pt>
              </c:strCache>
            </c:strRef>
          </c:tx>
          <c:spPr>
            <a:ln w="28575" cap="rnd">
              <a:solidFill>
                <a:schemeClr val="accent1"/>
              </a:solidFill>
              <a:round/>
            </a:ln>
            <a:effectLst/>
          </c:spPr>
          <c:marker>
            <c:symbol val="none"/>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C8E-4A69-A2F9-79B9F682C806}"/>
                </c:ext>
              </c:extLst>
            </c:dLbl>
            <c:dLbl>
              <c:idx val="7"/>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8E-4A69-A2F9-79B9F682C806}"/>
                </c:ext>
              </c:extLst>
            </c:dLbl>
            <c:dLbl>
              <c:idx val="1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8E-4A69-A2F9-79B9F682C8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'2024 contd'!$A$23:$A$38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'2024 contd'!$B$23:$B$38</c:f>
              <c:numCache>
                <c:formatCode>#0.0</c:formatCode>
                <c:ptCount val="16"/>
                <c:pt idx="0">
                  <c:v>26.7</c:v>
                </c:pt>
                <c:pt idx="1">
                  <c:v>22.7</c:v>
                </c:pt>
                <c:pt idx="2">
                  <c:v>24.6</c:v>
                </c:pt>
                <c:pt idx="3">
                  <c:v>27.5</c:v>
                </c:pt>
                <c:pt idx="4">
                  <c:v>26.5</c:v>
                </c:pt>
                <c:pt idx="5">
                  <c:v>25.4</c:v>
                </c:pt>
                <c:pt idx="6">
                  <c:v>26.3</c:v>
                </c:pt>
                <c:pt idx="7">
                  <c:v>25.4</c:v>
                </c:pt>
                <c:pt idx="8">
                  <c:v>24.9</c:v>
                </c:pt>
                <c:pt idx="9">
                  <c:v>22.9</c:v>
                </c:pt>
                <c:pt idx="10">
                  <c:v>25.7</c:v>
                </c:pt>
                <c:pt idx="11">
                  <c:v>26.7</c:v>
                </c:pt>
                <c:pt idx="12">
                  <c:v>25.9</c:v>
                </c:pt>
                <c:pt idx="13">
                  <c:v>22.6</c:v>
                </c:pt>
                <c:pt idx="14">
                  <c:v>20.9</c:v>
                </c:pt>
                <c:pt idx="15">
                  <c:v>19.2</c:v>
                </c:pt>
              </c:numCache>
            </c:numRef>
          </c:val>
          <c:smooth val="0"/>
          <c:extLst>
            <c:ext xmlns:c16="http://schemas.microsoft.com/office/drawing/2014/chart" uri="{C3380CC4-5D6E-409C-BE32-E72D297353CC}">
              <c16:uniqueId val="{00000003-7C8E-4A69-A2F9-79B9F682C806}"/>
            </c:ext>
          </c:extLst>
        </c:ser>
        <c:ser>
          <c:idx val="1"/>
          <c:order val="1"/>
          <c:tx>
            <c:strRef>
              <c:f>'2024 contd'!$C$22</c:f>
              <c:strCache>
                <c:ptCount val="1"/>
                <c:pt idx="0">
                  <c:v>Northern Ireland </c:v>
                </c:pt>
              </c:strCache>
            </c:strRef>
          </c:tx>
          <c:spPr>
            <a:ln w="28575" cap="rnd">
              <a:solidFill>
                <a:schemeClr val="accent2"/>
              </a:solidFill>
              <a:prstDash val="dash"/>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C8E-4A69-A2F9-79B9F682C806}"/>
                </c:ext>
              </c:extLst>
            </c:dLbl>
            <c:dLbl>
              <c:idx val="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8E-4A69-A2F9-79B9F682C806}"/>
                </c:ext>
              </c:extLst>
            </c:dLbl>
            <c:dLbl>
              <c:idx val="1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8E-4A69-A2F9-79B9F682C80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'2024 contd'!$A$23:$A$38</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'2024 contd'!$C$23:$C$38</c:f>
              <c:numCache>
                <c:formatCode>#0.0</c:formatCode>
                <c:ptCount val="16"/>
                <c:pt idx="0">
                  <c:v>30.1</c:v>
                </c:pt>
                <c:pt idx="1">
                  <c:v>29.1</c:v>
                </c:pt>
                <c:pt idx="2">
                  <c:v>27.6</c:v>
                </c:pt>
                <c:pt idx="3">
                  <c:v>27.6</c:v>
                </c:pt>
                <c:pt idx="4">
                  <c:v>27.5</c:v>
                </c:pt>
                <c:pt idx="5">
                  <c:v>27.6</c:v>
                </c:pt>
                <c:pt idx="6">
                  <c:v>27.1</c:v>
                </c:pt>
                <c:pt idx="7">
                  <c:v>26</c:v>
                </c:pt>
                <c:pt idx="8">
                  <c:v>27.6</c:v>
                </c:pt>
                <c:pt idx="9">
                  <c:v>27.2</c:v>
                </c:pt>
                <c:pt idx="10">
                  <c:v>26.2</c:v>
                </c:pt>
                <c:pt idx="11">
                  <c:v>28</c:v>
                </c:pt>
                <c:pt idx="12">
                  <c:v>27</c:v>
                </c:pt>
                <c:pt idx="13">
                  <c:v>26.3</c:v>
                </c:pt>
                <c:pt idx="14">
                  <c:v>24.7</c:v>
                </c:pt>
                <c:pt idx="15">
                  <c:v>24.3</c:v>
                </c:pt>
              </c:numCache>
            </c:numRef>
          </c:val>
          <c:smooth val="0"/>
          <c:extLst>
            <c:ext xmlns:c16="http://schemas.microsoft.com/office/drawing/2014/chart" uri="{C3380CC4-5D6E-409C-BE32-E72D297353CC}">
              <c16:uniqueId val="{00000007-7C8E-4A69-A2F9-79B9F682C806}"/>
            </c:ext>
          </c:extLst>
        </c:ser>
        <c:dLbls>
          <c:showLegendKey val="0"/>
          <c:showVal val="0"/>
          <c:showCatName val="0"/>
          <c:showSerName val="0"/>
          <c:showPercent val="0"/>
          <c:showBubbleSize val="0"/>
        </c:dLbls>
        <c:smooth val="0"/>
        <c:axId val="271917551"/>
        <c:axId val="271919471"/>
      </c:lineChart>
      <c:catAx>
        <c:axId val="271917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1919471"/>
        <c:crosses val="autoZero"/>
        <c:auto val="1"/>
        <c:lblAlgn val="ctr"/>
        <c:lblOffset val="100"/>
        <c:noMultiLvlLbl val="0"/>
      </c:catAx>
      <c:valAx>
        <c:axId val="271919471"/>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1917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100"/>
              <a:t>Qualitifaction Levels</a:t>
            </a:r>
            <a:r>
              <a:rPr lang="en-GB" sz="1100" baseline="0"/>
              <a:t> (16-64)</a:t>
            </a:r>
            <a:endParaRPr lang="en-GB"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lineChart>
        <c:grouping val="standard"/>
        <c:varyColors val="0"/>
        <c:ser>
          <c:idx val="0"/>
          <c:order val="0"/>
          <c:tx>
            <c:strRef>
              <c:f>'2024 contd'!$B$59</c:f>
              <c:strCache>
                <c:ptCount val="1"/>
                <c:pt idx="0">
                  <c:v>Achieved RQF level 4 and above </c:v>
                </c:pt>
              </c:strCache>
            </c:strRef>
          </c:tx>
          <c:spPr>
            <a:ln w="28575" cap="rnd">
              <a:solidFill>
                <a:schemeClr val="accent1"/>
              </a:solidFill>
              <a:round/>
            </a:ln>
            <a:effectLst/>
          </c:spPr>
          <c:marker>
            <c:symbol val="none"/>
          </c:marker>
          <c:dLbls>
            <c:dLbl>
              <c:idx val="0"/>
              <c:layout>
                <c:manualLayout>
                  <c:x val="-5.3885467648713006E-2"/>
                  <c:y val="-4.493218287565482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DB-46F1-8F88-F93FE2A660BA}"/>
                </c:ext>
              </c:extLst>
            </c:dLbl>
            <c:dLbl>
              <c:idx val="1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DB-46F1-8F88-F93FE2A660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0"/>
              </c:ext>
            </c:extLst>
          </c:dLbls>
          <c:cat>
            <c:numRef>
              <c:f>'2024 contd'!$A$60:$A$75</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'2024 contd'!$B$60:$B$75</c:f>
              <c:numCache>
                <c:formatCode>0.0%</c:formatCode>
                <c:ptCount val="16"/>
                <c:pt idx="0">
                  <c:v>0.23600000000000002</c:v>
                </c:pt>
                <c:pt idx="1">
                  <c:v>0.27500000000000002</c:v>
                </c:pt>
                <c:pt idx="2">
                  <c:v>0.27600000000000002</c:v>
                </c:pt>
                <c:pt idx="3">
                  <c:v>0.26899999999999996</c:v>
                </c:pt>
                <c:pt idx="4">
                  <c:v>0.27399999999999997</c:v>
                </c:pt>
                <c:pt idx="5">
                  <c:v>0.26800000000000002</c:v>
                </c:pt>
                <c:pt idx="6">
                  <c:v>0.24399999999999999</c:v>
                </c:pt>
                <c:pt idx="7">
                  <c:v>0.28100000000000003</c:v>
                </c:pt>
                <c:pt idx="8">
                  <c:v>0.30599999999999999</c:v>
                </c:pt>
                <c:pt idx="9">
                  <c:v>0.32400000000000001</c:v>
                </c:pt>
                <c:pt idx="10">
                  <c:v>0.33399999999999996</c:v>
                </c:pt>
                <c:pt idx="11">
                  <c:v>0.35399999999999998</c:v>
                </c:pt>
                <c:pt idx="12">
                  <c:v>0.39600000000000002</c:v>
                </c:pt>
                <c:pt idx="13">
                  <c:v>0.37200000000000005</c:v>
                </c:pt>
                <c:pt idx="14">
                  <c:v>0.38</c:v>
                </c:pt>
                <c:pt idx="15">
                  <c:v>0.46500000000000002</c:v>
                </c:pt>
              </c:numCache>
            </c:numRef>
          </c:val>
          <c:smooth val="0"/>
          <c:extLst>
            <c:ext xmlns:c16="http://schemas.microsoft.com/office/drawing/2014/chart" uri="{C3380CC4-5D6E-409C-BE32-E72D297353CC}">
              <c16:uniqueId val="{00000002-B4DB-46F1-8F88-F93FE2A660BA}"/>
            </c:ext>
          </c:extLst>
        </c:ser>
        <c:ser>
          <c:idx val="1"/>
          <c:order val="1"/>
          <c:tx>
            <c:strRef>
              <c:f>'2024 contd'!$C$59</c:f>
              <c:strCache>
                <c:ptCount val="1"/>
                <c:pt idx="0">
                  <c:v>Achieved below RQF level 4  </c:v>
                </c:pt>
              </c:strCache>
            </c:strRef>
          </c:tx>
          <c:spPr>
            <a:ln w="28575" cap="rnd">
              <a:solidFill>
                <a:schemeClr val="accent2"/>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DB-46F1-8F88-F93FE2A660BA}"/>
                </c:ext>
              </c:extLst>
            </c:dLbl>
            <c:dLbl>
              <c:idx val="1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DB-46F1-8F88-F93FE2A660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'2024 contd'!$A$60:$A$75</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'2024 contd'!$C$60:$C$75</c:f>
              <c:numCache>
                <c:formatCode>0.0%</c:formatCode>
                <c:ptCount val="16"/>
                <c:pt idx="0">
                  <c:v>0.52100000000000002</c:v>
                </c:pt>
                <c:pt idx="1">
                  <c:v>0.51200000000000001</c:v>
                </c:pt>
                <c:pt idx="2">
                  <c:v>0.495</c:v>
                </c:pt>
                <c:pt idx="3">
                  <c:v>0.53</c:v>
                </c:pt>
                <c:pt idx="4">
                  <c:v>0.58299999999999996</c:v>
                </c:pt>
                <c:pt idx="5">
                  <c:v>0.56600000000000006</c:v>
                </c:pt>
                <c:pt idx="6">
                  <c:v>0.57600000000000007</c:v>
                </c:pt>
                <c:pt idx="7">
                  <c:v>0.54400000000000004</c:v>
                </c:pt>
                <c:pt idx="8">
                  <c:v>0.54299999999999993</c:v>
                </c:pt>
                <c:pt idx="9">
                  <c:v>0.53500000000000003</c:v>
                </c:pt>
                <c:pt idx="10">
                  <c:v>0.54600000000000004</c:v>
                </c:pt>
                <c:pt idx="11">
                  <c:v>0.51400000000000001</c:v>
                </c:pt>
                <c:pt idx="12">
                  <c:v>0.47399999999999998</c:v>
                </c:pt>
                <c:pt idx="13">
                  <c:v>0.501</c:v>
                </c:pt>
                <c:pt idx="14">
                  <c:v>0.51600000000000001</c:v>
                </c:pt>
                <c:pt idx="15">
                  <c:v>0.44400000000000001</c:v>
                </c:pt>
              </c:numCache>
            </c:numRef>
          </c:val>
          <c:smooth val="0"/>
          <c:extLst>
            <c:ext xmlns:c16="http://schemas.microsoft.com/office/drawing/2014/chart" uri="{C3380CC4-5D6E-409C-BE32-E72D297353CC}">
              <c16:uniqueId val="{00000005-B4DB-46F1-8F88-F93FE2A660BA}"/>
            </c:ext>
          </c:extLst>
        </c:ser>
        <c:ser>
          <c:idx val="2"/>
          <c:order val="2"/>
          <c:tx>
            <c:strRef>
              <c:f>'2024 contd'!$D$59</c:f>
              <c:strCache>
                <c:ptCount val="1"/>
                <c:pt idx="0">
                  <c:v>No qualifications </c:v>
                </c:pt>
              </c:strCache>
            </c:strRef>
          </c:tx>
          <c:spPr>
            <a:ln w="28575" cap="rnd">
              <a:solidFill>
                <a:schemeClr val="accent3"/>
              </a:solidFill>
              <a:round/>
            </a:ln>
            <a:effectLst/>
          </c:spPr>
          <c:marker>
            <c:symbol val="none"/>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DB-46F1-8F88-F93FE2A660BA}"/>
                </c:ext>
              </c:extLst>
            </c:dLbl>
            <c:dLbl>
              <c:idx val="1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4DB-46F1-8F88-F93FE2A660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'2024 contd'!$A$60:$A$75</c:f>
              <c:numCache>
                <c:formatCode>General</c:formatCode>
                <c:ptCount val="16"/>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numCache>
            </c:numRef>
          </c:cat>
          <c:val>
            <c:numRef>
              <c:f>'2024 contd'!$D$60:$D$75</c:f>
              <c:numCache>
                <c:formatCode>0.0%</c:formatCode>
                <c:ptCount val="16"/>
                <c:pt idx="0">
                  <c:v>0.24299999999999999</c:v>
                </c:pt>
                <c:pt idx="1">
                  <c:v>0.214</c:v>
                </c:pt>
                <c:pt idx="2">
                  <c:v>0.22800000000000001</c:v>
                </c:pt>
                <c:pt idx="3">
                  <c:v>0.20100000000000001</c:v>
                </c:pt>
                <c:pt idx="4">
                  <c:v>0.14199999999999999</c:v>
                </c:pt>
                <c:pt idx="5">
                  <c:v>0.16600000000000001</c:v>
                </c:pt>
                <c:pt idx="6">
                  <c:v>0.18</c:v>
                </c:pt>
                <c:pt idx="7">
                  <c:v>0.17499999999999999</c:v>
                </c:pt>
                <c:pt idx="8">
                  <c:v>0.151</c:v>
                </c:pt>
                <c:pt idx="9">
                  <c:v>0.14000000000000001</c:v>
                </c:pt>
                <c:pt idx="10">
                  <c:v>0.121</c:v>
                </c:pt>
                <c:pt idx="11">
                  <c:v>0.13200000000000001</c:v>
                </c:pt>
                <c:pt idx="12">
                  <c:v>0.13</c:v>
                </c:pt>
                <c:pt idx="13">
                  <c:v>0.127</c:v>
                </c:pt>
                <c:pt idx="14">
                  <c:v>0.10400000000000001</c:v>
                </c:pt>
                <c:pt idx="15">
                  <c:v>9.0999999999999998E-2</c:v>
                </c:pt>
              </c:numCache>
            </c:numRef>
          </c:val>
          <c:smooth val="0"/>
          <c:extLst>
            <c:ext xmlns:c16="http://schemas.microsoft.com/office/drawing/2014/chart" uri="{C3380CC4-5D6E-409C-BE32-E72D297353CC}">
              <c16:uniqueId val="{00000008-B4DB-46F1-8F88-F93FE2A660BA}"/>
            </c:ext>
          </c:extLst>
        </c:ser>
        <c:dLbls>
          <c:showLegendKey val="0"/>
          <c:showVal val="0"/>
          <c:showCatName val="0"/>
          <c:showSerName val="0"/>
          <c:showPercent val="0"/>
          <c:showBubbleSize val="0"/>
        </c:dLbls>
        <c:smooth val="0"/>
        <c:axId val="161062559"/>
        <c:axId val="161064479"/>
      </c:lineChart>
      <c:catAx>
        <c:axId val="161062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064479"/>
        <c:crosses val="autoZero"/>
        <c:auto val="1"/>
        <c:lblAlgn val="ctr"/>
        <c:lblOffset val="100"/>
        <c:noMultiLvlLbl val="0"/>
      </c:catAx>
      <c:valAx>
        <c:axId val="161064479"/>
        <c:scaling>
          <c:orientation val="minMax"/>
        </c:scaling>
        <c:delete val="0"/>
        <c:axPos val="l"/>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062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t>Qualification</a:t>
            </a:r>
            <a:r>
              <a:rPr lang="en-GB" sz="1200" baseline="0"/>
              <a:t> Level by LGD, 2024</a:t>
            </a:r>
            <a:endParaRPr lang="en-GB"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bar"/>
        <c:grouping val="stacked"/>
        <c:varyColors val="0"/>
        <c:ser>
          <c:idx val="0"/>
          <c:order val="0"/>
          <c:tx>
            <c:strRef>
              <c:f>'2024 contd'!$B$102</c:f>
              <c:strCache>
                <c:ptCount val="1"/>
                <c:pt idx="0">
                  <c:v>Level 4 and above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 contd'!$A$103:$A$114</c:f>
              <c:strCache>
                <c:ptCount val="12"/>
                <c:pt idx="0">
                  <c:v>Lisburn and Castlereagh</c:v>
                </c:pt>
                <c:pt idx="1">
                  <c:v>Armagh City, Banbridge and Craigavon</c:v>
                </c:pt>
                <c:pt idx="2">
                  <c:v>Belfast</c:v>
                </c:pt>
                <c:pt idx="3">
                  <c:v>Newry Mourne and Down</c:v>
                </c:pt>
                <c:pt idx="4">
                  <c:v>Antrim and Newtownabbey</c:v>
                </c:pt>
                <c:pt idx="5">
                  <c:v>Northern Ireland</c:v>
                </c:pt>
                <c:pt idx="6">
                  <c:v>Ards and North Down</c:v>
                </c:pt>
                <c:pt idx="7">
                  <c:v>Mid and East Antrim</c:v>
                </c:pt>
                <c:pt idx="8">
                  <c:v>Fermanagh and Omagh</c:v>
                </c:pt>
                <c:pt idx="9">
                  <c:v>Derry City and Strabane</c:v>
                </c:pt>
                <c:pt idx="10">
                  <c:v>Causeway Coast and Glens</c:v>
                </c:pt>
                <c:pt idx="11">
                  <c:v>Mid Ulster</c:v>
                </c:pt>
              </c:strCache>
            </c:strRef>
          </c:cat>
          <c:val>
            <c:numRef>
              <c:f>'2024 contd'!$B$103:$B$114</c:f>
              <c:numCache>
                <c:formatCode>#0.0</c:formatCode>
                <c:ptCount val="12"/>
                <c:pt idx="0">
                  <c:v>51.8</c:v>
                </c:pt>
                <c:pt idx="1">
                  <c:v>46.5</c:v>
                </c:pt>
                <c:pt idx="2">
                  <c:v>44.7</c:v>
                </c:pt>
                <c:pt idx="3">
                  <c:v>43.3</c:v>
                </c:pt>
                <c:pt idx="4">
                  <c:v>43.1</c:v>
                </c:pt>
                <c:pt idx="5">
                  <c:v>42.2</c:v>
                </c:pt>
                <c:pt idx="6">
                  <c:v>40.9</c:v>
                </c:pt>
                <c:pt idx="7">
                  <c:v>40.6</c:v>
                </c:pt>
                <c:pt idx="8">
                  <c:v>39.6</c:v>
                </c:pt>
                <c:pt idx="9">
                  <c:v>37.4</c:v>
                </c:pt>
                <c:pt idx="10">
                  <c:v>34</c:v>
                </c:pt>
                <c:pt idx="11">
                  <c:v>34</c:v>
                </c:pt>
              </c:numCache>
            </c:numRef>
          </c:val>
          <c:extLst>
            <c:ext xmlns:c16="http://schemas.microsoft.com/office/drawing/2014/chart" uri="{C3380CC4-5D6E-409C-BE32-E72D297353CC}">
              <c16:uniqueId val="{00000000-4660-4D1E-A800-950595CFA3AB}"/>
            </c:ext>
          </c:extLst>
        </c:ser>
        <c:ser>
          <c:idx val="1"/>
          <c:order val="1"/>
          <c:tx>
            <c:strRef>
              <c:f>'2024 contd'!$C$102</c:f>
              <c:strCache>
                <c:ptCount val="1"/>
                <c:pt idx="0">
                  <c:v>Below level 4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 contd'!$A$103:$A$114</c:f>
              <c:strCache>
                <c:ptCount val="12"/>
                <c:pt idx="0">
                  <c:v>Lisburn and Castlereagh</c:v>
                </c:pt>
                <c:pt idx="1">
                  <c:v>Armagh City, Banbridge and Craigavon</c:v>
                </c:pt>
                <c:pt idx="2">
                  <c:v>Belfast</c:v>
                </c:pt>
                <c:pt idx="3">
                  <c:v>Newry Mourne and Down</c:v>
                </c:pt>
                <c:pt idx="4">
                  <c:v>Antrim and Newtownabbey</c:v>
                </c:pt>
                <c:pt idx="5">
                  <c:v>Northern Ireland</c:v>
                </c:pt>
                <c:pt idx="6">
                  <c:v>Ards and North Down</c:v>
                </c:pt>
                <c:pt idx="7">
                  <c:v>Mid and East Antrim</c:v>
                </c:pt>
                <c:pt idx="8">
                  <c:v>Fermanagh and Omagh</c:v>
                </c:pt>
                <c:pt idx="9">
                  <c:v>Derry City and Strabane</c:v>
                </c:pt>
                <c:pt idx="10">
                  <c:v>Causeway Coast and Glens</c:v>
                </c:pt>
                <c:pt idx="11">
                  <c:v>Mid Ulster</c:v>
                </c:pt>
              </c:strCache>
            </c:strRef>
          </c:cat>
          <c:val>
            <c:numRef>
              <c:f>'2024 contd'!$C$103:$C$114</c:f>
              <c:numCache>
                <c:formatCode>#0.0</c:formatCode>
                <c:ptCount val="12"/>
                <c:pt idx="0">
                  <c:v>40.1</c:v>
                </c:pt>
                <c:pt idx="1">
                  <c:v>44.4</c:v>
                </c:pt>
                <c:pt idx="2">
                  <c:v>41.5</c:v>
                </c:pt>
                <c:pt idx="3">
                  <c:v>47.3</c:v>
                </c:pt>
                <c:pt idx="4">
                  <c:v>51.2</c:v>
                </c:pt>
                <c:pt idx="5">
                  <c:v>47</c:v>
                </c:pt>
                <c:pt idx="6">
                  <c:v>50.4</c:v>
                </c:pt>
                <c:pt idx="7">
                  <c:v>51</c:v>
                </c:pt>
                <c:pt idx="8">
                  <c:v>46.5</c:v>
                </c:pt>
                <c:pt idx="9">
                  <c:v>47.5</c:v>
                </c:pt>
                <c:pt idx="10">
                  <c:v>54.6</c:v>
                </c:pt>
                <c:pt idx="11">
                  <c:v>53.2</c:v>
                </c:pt>
              </c:numCache>
            </c:numRef>
          </c:val>
          <c:extLst>
            <c:ext xmlns:c16="http://schemas.microsoft.com/office/drawing/2014/chart" uri="{C3380CC4-5D6E-409C-BE32-E72D297353CC}">
              <c16:uniqueId val="{00000001-4660-4D1E-A800-950595CFA3AB}"/>
            </c:ext>
          </c:extLst>
        </c:ser>
        <c:ser>
          <c:idx val="2"/>
          <c:order val="2"/>
          <c:tx>
            <c:strRef>
              <c:f>'2024 contd'!$D$102</c:f>
              <c:strCache>
                <c:ptCount val="1"/>
                <c:pt idx="0">
                  <c:v>No qualifications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'2024 contd'!$A$103:$A$114</c:f>
              <c:strCache>
                <c:ptCount val="12"/>
                <c:pt idx="0">
                  <c:v>Lisburn and Castlereagh</c:v>
                </c:pt>
                <c:pt idx="1">
                  <c:v>Armagh City, Banbridge and Craigavon</c:v>
                </c:pt>
                <c:pt idx="2">
                  <c:v>Belfast</c:v>
                </c:pt>
                <c:pt idx="3">
                  <c:v>Newry Mourne and Down</c:v>
                </c:pt>
                <c:pt idx="4">
                  <c:v>Antrim and Newtownabbey</c:v>
                </c:pt>
                <c:pt idx="5">
                  <c:v>Northern Ireland</c:v>
                </c:pt>
                <c:pt idx="6">
                  <c:v>Ards and North Down</c:v>
                </c:pt>
                <c:pt idx="7">
                  <c:v>Mid and East Antrim</c:v>
                </c:pt>
                <c:pt idx="8">
                  <c:v>Fermanagh and Omagh</c:v>
                </c:pt>
                <c:pt idx="9">
                  <c:v>Derry City and Strabane</c:v>
                </c:pt>
                <c:pt idx="10">
                  <c:v>Causeway Coast and Glens</c:v>
                </c:pt>
                <c:pt idx="11">
                  <c:v>Mid Ulster</c:v>
                </c:pt>
              </c:strCache>
            </c:strRef>
          </c:cat>
          <c:val>
            <c:numRef>
              <c:f>'2024 contd'!$D$103:$D$114</c:f>
              <c:numCache>
                <c:formatCode>#0.0</c:formatCode>
                <c:ptCount val="12"/>
                <c:pt idx="0">
                  <c:v>8.1</c:v>
                </c:pt>
                <c:pt idx="1">
                  <c:v>9.1</c:v>
                </c:pt>
                <c:pt idx="2">
                  <c:v>13.8</c:v>
                </c:pt>
                <c:pt idx="3">
                  <c:v>9.4</c:v>
                </c:pt>
                <c:pt idx="4">
                  <c:v>5.7</c:v>
                </c:pt>
                <c:pt idx="5">
                  <c:v>10.7</c:v>
                </c:pt>
                <c:pt idx="6">
                  <c:v>8.6999999999999993</c:v>
                </c:pt>
                <c:pt idx="7">
                  <c:v>8.3000000000000007</c:v>
                </c:pt>
                <c:pt idx="8">
                  <c:v>13.9</c:v>
                </c:pt>
                <c:pt idx="9">
                  <c:v>15.2</c:v>
                </c:pt>
                <c:pt idx="10">
                  <c:v>11.4</c:v>
                </c:pt>
                <c:pt idx="11">
                  <c:v>12.8</c:v>
                </c:pt>
              </c:numCache>
            </c:numRef>
          </c:val>
          <c:extLst>
            <c:ext xmlns:c16="http://schemas.microsoft.com/office/drawing/2014/chart" uri="{C3380CC4-5D6E-409C-BE32-E72D297353CC}">
              <c16:uniqueId val="{00000002-4660-4D1E-A800-950595CFA3AB}"/>
            </c:ext>
          </c:extLst>
        </c:ser>
        <c:dLbls>
          <c:showLegendKey val="0"/>
          <c:showVal val="0"/>
          <c:showCatName val="0"/>
          <c:showSerName val="0"/>
          <c:showPercent val="0"/>
          <c:showBubbleSize val="0"/>
        </c:dLbls>
        <c:gapWidth val="100"/>
        <c:overlap val="100"/>
        <c:axId val="1598644559"/>
        <c:axId val="1598645039"/>
      </c:barChart>
      <c:catAx>
        <c:axId val="15986445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645039"/>
        <c:crosses val="autoZero"/>
        <c:auto val="1"/>
        <c:lblAlgn val="ctr"/>
        <c:lblOffset val="100"/>
        <c:noMultiLvlLbl val="0"/>
      </c:catAx>
      <c:valAx>
        <c:axId val="1598645039"/>
        <c:scaling>
          <c:orientation val="minMax"/>
          <c:max val="100"/>
        </c:scaling>
        <c:delete val="0"/>
        <c:axPos val="b"/>
        <c:majorGridlines>
          <c:spPr>
            <a:ln w="9525" cap="flat" cmpd="sng" algn="ctr">
              <a:solidFill>
                <a:schemeClr val="tx1">
                  <a:lumMod val="15000"/>
                  <a:lumOff val="85000"/>
                </a:schemeClr>
              </a:solidFill>
              <a:prstDash val="lgDashDotDot"/>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8644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07D94-FB91-41A4-9DC2-F7ACE978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8</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Gordon</dc:creator>
  <cp:keywords/>
  <dc:description/>
  <cp:lastModifiedBy>Jessica Bennett</cp:lastModifiedBy>
  <cp:revision>22</cp:revision>
  <cp:lastPrinted>2025-09-24T10:19:00Z</cp:lastPrinted>
  <dcterms:created xsi:type="dcterms:W3CDTF">2023-11-09T09:16:00Z</dcterms:created>
  <dcterms:modified xsi:type="dcterms:W3CDTF">2025-09-24T10:43:00Z</dcterms:modified>
</cp:coreProperties>
</file>