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E751" w14:textId="77777777" w:rsidR="00D91B60" w:rsidRPr="00D91B60" w:rsidRDefault="00D93E97">
      <w:pPr>
        <w:rPr>
          <w:b/>
        </w:rPr>
      </w:pPr>
      <w:r>
        <w:rPr>
          <w:b/>
        </w:rPr>
        <w:t>Rural Sta</w:t>
      </w:r>
      <w:r w:rsidR="00F95835">
        <w:rPr>
          <w:b/>
        </w:rPr>
        <w:t>t</w:t>
      </w:r>
      <w:r>
        <w:rPr>
          <w:b/>
        </w:rPr>
        <w:t>istics</w:t>
      </w:r>
    </w:p>
    <w:p w14:paraId="6384D1C9" w14:textId="5464B8B4" w:rsidR="009B21D5" w:rsidRDefault="000C7A7D">
      <w:r>
        <w:t>Results from the 20</w:t>
      </w:r>
      <w:r w:rsidR="00120B7C">
        <w:t>2</w:t>
      </w:r>
      <w:r>
        <w:t>1 Census show that just over half of the borough’s population (51</w:t>
      </w:r>
      <w:r w:rsidR="00120B7C">
        <w:t>.1</w:t>
      </w:r>
      <w:r>
        <w:t>%) lived in urban areas while just under half (4</w:t>
      </w:r>
      <w:r w:rsidR="00120B7C">
        <w:t>8.9</w:t>
      </w:r>
      <w:r>
        <w:t xml:space="preserve">%) lived in rural areas. This is based on the NISRA default urban/rural settlement classification where settlements with a population </w:t>
      </w:r>
      <w:r w:rsidR="007F4811">
        <w:t>greater than or equal to</w:t>
      </w:r>
      <w:r>
        <w:t xml:space="preserve"> 5,000 are classified as urban</w:t>
      </w:r>
      <w:r w:rsidR="007F4811">
        <w:t xml:space="preserve"> while those with a population less than 5,000 are classified as rural</w:t>
      </w:r>
      <w:r>
        <w:t>.</w:t>
      </w:r>
      <w:r w:rsidR="0076650E">
        <w:t xml:space="preserve"> This compares to 6</w:t>
      </w:r>
      <w:r w:rsidR="00120B7C">
        <w:t>1.2</w:t>
      </w:r>
      <w:r w:rsidR="0076650E">
        <w:t>% urban and 3</w:t>
      </w:r>
      <w:r w:rsidR="00120B7C">
        <w:t>8.8</w:t>
      </w:r>
      <w:r w:rsidR="0076650E">
        <w:t>% rural for Northern Ireland overall.</w:t>
      </w:r>
    </w:p>
    <w:p w14:paraId="7970F12B" w14:textId="77777777" w:rsidR="007F4811" w:rsidRDefault="007F4811">
      <w:r>
        <w:t>Craigavon Urban Area (which includes Central Craigavon, Lurgan and Portadown), Banbridge, Armagh and Dromore are the four urban areas within the borough, all other settlements are classified as rural according to the NISRA default classification.</w:t>
      </w:r>
    </w:p>
    <w:p w14:paraId="7CE10710" w14:textId="7D578EC9" w:rsidR="00C05018" w:rsidRDefault="000C7A7D">
      <w:r>
        <w:t>NISRA also provides the classification at Super Output Area (SOA) level</w:t>
      </w:r>
      <w:r w:rsidR="00D75815">
        <w:rPr>
          <w:rStyle w:val="FootnoteReference"/>
        </w:rPr>
        <w:footnoteReference w:id="1"/>
      </w:r>
      <w:r w:rsidR="00975252">
        <w:t xml:space="preserve"> for the NI </w:t>
      </w:r>
      <w:r w:rsidR="00975252">
        <w:t>Multiple Deprivation Measure</w:t>
      </w:r>
      <w:r w:rsidR="00975252">
        <w:t xml:space="preserve"> (NIMDM) however the information for this classification will be based on Census 2011</w:t>
      </w:r>
      <w:r>
        <w:t xml:space="preserve">. Armagh City, Banbridge and Craigavon </w:t>
      </w:r>
      <w:r w:rsidR="00D75815">
        <w:t xml:space="preserve">Borough </w:t>
      </w:r>
      <w:r>
        <w:t>is made up of 87 SOAs of which</w:t>
      </w:r>
      <w:r w:rsidR="00D75815">
        <w:t xml:space="preserve"> 42 are classified as urban,</w:t>
      </w:r>
      <w:r>
        <w:t xml:space="preserve"> </w:t>
      </w:r>
      <w:r w:rsidR="004B4A28">
        <w:t>36 are classified as rural with a further 9 being mixed urban/rural. The rural areas cover a large part of the borough.</w:t>
      </w:r>
    </w:p>
    <w:p w14:paraId="5FD8E82C" w14:textId="77777777" w:rsidR="00C05018" w:rsidRDefault="004B4A28">
      <w:r>
        <w:rPr>
          <w:rFonts w:ascii="Arial" w:hAnsi="Arial" w:cs="Arial"/>
          <w:noProof/>
          <w:lang w:eastAsia="en-GB"/>
        </w:rPr>
        <w:drawing>
          <wp:inline distT="0" distB="0" distL="0" distR="0" wp14:anchorId="57DE1BFC" wp14:editId="1E8A931B">
            <wp:extent cx="5648325" cy="3993837"/>
            <wp:effectExtent l="0" t="0" r="0" b="0"/>
            <wp:docPr id="3" name="Picture 3" descr="C:\Users\jennifer.doak\Desktop\SOA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doak\Desktop\SOAs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8325" cy="3993837"/>
                    </a:xfrm>
                    <a:prstGeom prst="rect">
                      <a:avLst/>
                    </a:prstGeom>
                    <a:noFill/>
                    <a:ln>
                      <a:noFill/>
                    </a:ln>
                  </pic:spPr>
                </pic:pic>
              </a:graphicData>
            </a:graphic>
          </wp:inline>
        </w:drawing>
      </w:r>
      <w:r w:rsidR="00D75815">
        <w:rPr>
          <w:i/>
          <w:sz w:val="20"/>
          <w:szCs w:val="20"/>
        </w:rPr>
        <w:t xml:space="preserve">Figure 1: </w:t>
      </w:r>
      <w:r w:rsidR="00C70FE9" w:rsidRPr="00C70FE9">
        <w:rPr>
          <w:i/>
          <w:sz w:val="20"/>
          <w:szCs w:val="20"/>
        </w:rPr>
        <w:t>Super Output Areas in Armagh City, Banbridge and Craigavon Borough by NISRA default urban/rural classification.</w:t>
      </w:r>
    </w:p>
    <w:p w14:paraId="1F4FC776" w14:textId="25F55948" w:rsidR="004B4A28" w:rsidRDefault="004B4A28">
      <w:r>
        <w:t xml:space="preserve">The NIMDM 2017 provides information </w:t>
      </w:r>
      <w:r w:rsidR="00D440F3">
        <w:t>on seven distinct types of deprivation, known as domains, along with an overall multiple deprivation measure (MDM). Results are available for the 890 Super Output Areas in Northern Ireland, ranked from 1</w:t>
      </w:r>
      <w:r w:rsidR="00D75815">
        <w:t>,</w:t>
      </w:r>
      <w:r w:rsidR="00D440F3">
        <w:t xml:space="preserve"> most deprived to 890</w:t>
      </w:r>
      <w:r w:rsidR="00D75815">
        <w:t>,</w:t>
      </w:r>
      <w:r w:rsidR="00D440F3">
        <w:t xml:space="preserve"> least deprived.</w:t>
      </w:r>
    </w:p>
    <w:p w14:paraId="52A3CDC9" w14:textId="77777777" w:rsidR="00D440F3" w:rsidRDefault="00756DAE">
      <w:r>
        <w:lastRenderedPageBreak/>
        <w:t>The Access to S</w:t>
      </w:r>
      <w:r w:rsidR="00EE4CE5">
        <w:t>ervices D</w:t>
      </w:r>
      <w:r>
        <w:t xml:space="preserve">omain which measures the extent to which people have poor physical and online access to key services is particularly relevant to rural areas. </w:t>
      </w:r>
      <w:r w:rsidR="00EE4CE5">
        <w:t>The borough has nine</w:t>
      </w:r>
      <w:r w:rsidR="00D91B60">
        <w:t xml:space="preserve"> SOAs (10% of the total 87 SOAs in the borough) in the top 100 most deprived in Northern Ire</w:t>
      </w:r>
      <w:r w:rsidR="00EE4CE5">
        <w:t>land on the Access to Services D</w:t>
      </w:r>
      <w:r w:rsidR="00D91B60">
        <w:t xml:space="preserve">omain, each of which are defined as rural on the NISRA default classification. </w:t>
      </w:r>
    </w:p>
    <w:p w14:paraId="711A82A4" w14:textId="77777777" w:rsidR="00C05018" w:rsidRDefault="00C05018">
      <w:r>
        <w:t xml:space="preserve">Twenty SOAs in Armagh City, Banbridge and Craigavon Borough (23% of the total 87 SOAs in the borough) are in the top 20% most deprived SOAs in Northern Ireland in terms of </w:t>
      </w:r>
      <w:r w:rsidR="00D75815">
        <w:t xml:space="preserve">the </w:t>
      </w:r>
      <w:r>
        <w:t>Access to Services</w:t>
      </w:r>
      <w:r w:rsidR="00D75815">
        <w:t xml:space="preserve"> Domain</w:t>
      </w:r>
      <w:r>
        <w:t>.</w:t>
      </w:r>
      <w:r w:rsidR="00A65413">
        <w:t xml:space="preserve"> All twenty are classified as rural.</w:t>
      </w:r>
    </w:p>
    <w:p w14:paraId="2112B9A0" w14:textId="77777777" w:rsidR="000C4C0C" w:rsidRDefault="000C4C0C">
      <w:r>
        <w:t>As well as the overall Access to Services deprivation, results are ava</w:t>
      </w:r>
      <w:r w:rsidR="00D75815">
        <w:t>ilable for its three indicators</w:t>
      </w:r>
      <w:r>
        <w:t>:</w:t>
      </w:r>
    </w:p>
    <w:p w14:paraId="66680644" w14:textId="77777777" w:rsidR="000C4C0C" w:rsidRDefault="000C4C0C" w:rsidP="000C4C0C">
      <w:pPr>
        <w:pStyle w:val="ListParagraph"/>
        <w:numPr>
          <w:ilvl w:val="0"/>
          <w:numId w:val="1"/>
        </w:numPr>
      </w:pPr>
      <w:r>
        <w:t>Service-weighted fastest travel time by private transport</w:t>
      </w:r>
    </w:p>
    <w:p w14:paraId="3FC5420F" w14:textId="77777777" w:rsidR="000C4C0C" w:rsidRDefault="000C4C0C" w:rsidP="000C4C0C">
      <w:pPr>
        <w:pStyle w:val="ListParagraph"/>
        <w:numPr>
          <w:ilvl w:val="0"/>
          <w:numId w:val="1"/>
        </w:numPr>
      </w:pPr>
      <w:r>
        <w:t>Service-weighted fastest travel time by public transport</w:t>
      </w:r>
    </w:p>
    <w:p w14:paraId="0D840DBF" w14:textId="77777777" w:rsidR="000C4C0C" w:rsidRDefault="000C4C0C" w:rsidP="000C4C0C">
      <w:pPr>
        <w:pStyle w:val="ListParagraph"/>
        <w:numPr>
          <w:ilvl w:val="0"/>
          <w:numId w:val="1"/>
        </w:numPr>
      </w:pPr>
      <w:r>
        <w:t xml:space="preserve">Proportion of properties </w:t>
      </w:r>
      <w:r w:rsidR="00E35004">
        <w:t>with broadband speed below 10</w:t>
      </w:r>
      <w:r>
        <w:t>Mb/s</w:t>
      </w:r>
    </w:p>
    <w:p w14:paraId="1E101921" w14:textId="77777777" w:rsidR="004D2DE7" w:rsidRDefault="00F95835" w:rsidP="00E35004">
      <w:r>
        <w:t xml:space="preserve">The top ten most deprived SOAs in the borough in terms of </w:t>
      </w:r>
      <w:r w:rsidR="00D75815">
        <w:t xml:space="preserve">the </w:t>
      </w:r>
      <w:r>
        <w:t>Access to Services</w:t>
      </w:r>
      <w:r w:rsidR="00D75815">
        <w:t xml:space="preserve"> Domain</w:t>
      </w:r>
      <w:r>
        <w:t xml:space="preserve"> are shown below</w:t>
      </w:r>
      <w:r w:rsidR="004D2DE7">
        <w:t>, all of which are rural</w:t>
      </w:r>
      <w: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4E10C3" w14:paraId="5788D16F" w14:textId="77777777" w:rsidTr="00D93E97">
        <w:tc>
          <w:tcPr>
            <w:tcW w:w="1803" w:type="dxa"/>
            <w:vMerge w:val="restart"/>
            <w:vAlign w:val="center"/>
          </w:tcPr>
          <w:p w14:paraId="6AA0B810" w14:textId="77777777" w:rsidR="004E10C3" w:rsidRPr="00D75815" w:rsidRDefault="004E10C3" w:rsidP="00D93E97">
            <w:pPr>
              <w:jc w:val="center"/>
              <w:rPr>
                <w:b/>
              </w:rPr>
            </w:pPr>
            <w:r w:rsidRPr="00D75815">
              <w:rPr>
                <w:b/>
              </w:rPr>
              <w:t>Super Output Area</w:t>
            </w:r>
          </w:p>
        </w:tc>
        <w:tc>
          <w:tcPr>
            <w:tcW w:w="1803" w:type="dxa"/>
            <w:vMerge w:val="restart"/>
            <w:vAlign w:val="center"/>
          </w:tcPr>
          <w:p w14:paraId="32C23D0B" w14:textId="77777777" w:rsidR="004E10C3" w:rsidRPr="00D75815" w:rsidRDefault="004E10C3" w:rsidP="00D93E97">
            <w:pPr>
              <w:jc w:val="center"/>
              <w:rPr>
                <w:b/>
              </w:rPr>
            </w:pPr>
            <w:r w:rsidRPr="00D75815">
              <w:rPr>
                <w:b/>
              </w:rPr>
              <w:t>Access to Services Domain</w:t>
            </w:r>
            <w:r w:rsidR="00D93E97" w:rsidRPr="00D75815">
              <w:rPr>
                <w:b/>
              </w:rPr>
              <w:t xml:space="preserve"> Rank</w:t>
            </w:r>
          </w:p>
        </w:tc>
        <w:tc>
          <w:tcPr>
            <w:tcW w:w="5410" w:type="dxa"/>
            <w:gridSpan w:val="3"/>
            <w:vAlign w:val="center"/>
          </w:tcPr>
          <w:p w14:paraId="60AC92CE" w14:textId="77777777" w:rsidR="004E10C3" w:rsidRPr="00D75815" w:rsidRDefault="004E10C3" w:rsidP="00D75815">
            <w:pPr>
              <w:jc w:val="center"/>
              <w:rPr>
                <w:b/>
              </w:rPr>
            </w:pPr>
            <w:r w:rsidRPr="00D75815">
              <w:rPr>
                <w:b/>
              </w:rPr>
              <w:t xml:space="preserve">Access to Services </w:t>
            </w:r>
            <w:r w:rsidR="00D75815" w:rsidRPr="00D75815">
              <w:rPr>
                <w:b/>
              </w:rPr>
              <w:t>Indicators</w:t>
            </w:r>
          </w:p>
        </w:tc>
      </w:tr>
      <w:tr w:rsidR="004E10C3" w14:paraId="0D337992" w14:textId="77777777" w:rsidTr="00D93E97">
        <w:tc>
          <w:tcPr>
            <w:tcW w:w="1803" w:type="dxa"/>
            <w:vMerge/>
            <w:vAlign w:val="center"/>
          </w:tcPr>
          <w:p w14:paraId="36D77F0B" w14:textId="77777777" w:rsidR="004E10C3" w:rsidRPr="00D75815" w:rsidRDefault="004E10C3" w:rsidP="00D93E97">
            <w:pPr>
              <w:jc w:val="center"/>
              <w:rPr>
                <w:b/>
              </w:rPr>
            </w:pPr>
          </w:p>
        </w:tc>
        <w:tc>
          <w:tcPr>
            <w:tcW w:w="1803" w:type="dxa"/>
            <w:vMerge/>
            <w:vAlign w:val="center"/>
          </w:tcPr>
          <w:p w14:paraId="04319C2C" w14:textId="77777777" w:rsidR="004E10C3" w:rsidRPr="00D75815" w:rsidRDefault="004E10C3" w:rsidP="00D93E97">
            <w:pPr>
              <w:jc w:val="center"/>
              <w:rPr>
                <w:b/>
              </w:rPr>
            </w:pPr>
          </w:p>
        </w:tc>
        <w:tc>
          <w:tcPr>
            <w:tcW w:w="1803" w:type="dxa"/>
            <w:vAlign w:val="center"/>
          </w:tcPr>
          <w:p w14:paraId="7E40E8EC" w14:textId="77777777" w:rsidR="004E10C3" w:rsidRPr="00D75815" w:rsidRDefault="004E10C3" w:rsidP="00D93E97">
            <w:pPr>
              <w:jc w:val="center"/>
              <w:rPr>
                <w:b/>
              </w:rPr>
            </w:pPr>
            <w:r w:rsidRPr="00D75815">
              <w:rPr>
                <w:b/>
              </w:rPr>
              <w:t>Service-weighted fastest travel time by private transport</w:t>
            </w:r>
            <w:r w:rsidR="00D93E97" w:rsidRPr="00D75815">
              <w:rPr>
                <w:b/>
              </w:rPr>
              <w:t xml:space="preserve"> (rank)</w:t>
            </w:r>
          </w:p>
        </w:tc>
        <w:tc>
          <w:tcPr>
            <w:tcW w:w="1803" w:type="dxa"/>
            <w:vAlign w:val="center"/>
          </w:tcPr>
          <w:p w14:paraId="1B3494A1" w14:textId="77777777" w:rsidR="004E10C3" w:rsidRPr="00D75815" w:rsidRDefault="004E10C3" w:rsidP="00D93E97">
            <w:pPr>
              <w:jc w:val="center"/>
              <w:rPr>
                <w:b/>
              </w:rPr>
            </w:pPr>
            <w:r w:rsidRPr="00D75815">
              <w:rPr>
                <w:b/>
              </w:rPr>
              <w:t>Service-weighted fastest travel time by public transport</w:t>
            </w:r>
            <w:r w:rsidR="00D93E97" w:rsidRPr="00D75815">
              <w:rPr>
                <w:b/>
              </w:rPr>
              <w:t xml:space="preserve"> (rank)</w:t>
            </w:r>
          </w:p>
        </w:tc>
        <w:tc>
          <w:tcPr>
            <w:tcW w:w="1804" w:type="dxa"/>
            <w:vAlign w:val="center"/>
          </w:tcPr>
          <w:p w14:paraId="4B36B7BC" w14:textId="77777777" w:rsidR="004E10C3" w:rsidRPr="00D75815" w:rsidRDefault="00D93E97" w:rsidP="00D93E97">
            <w:pPr>
              <w:jc w:val="center"/>
              <w:rPr>
                <w:b/>
              </w:rPr>
            </w:pPr>
            <w:r w:rsidRPr="00D75815">
              <w:rPr>
                <w:b/>
              </w:rPr>
              <w:t>Proportion of properties with broadband speed below 10Mb/s (rank)</w:t>
            </w:r>
          </w:p>
        </w:tc>
      </w:tr>
      <w:tr w:rsidR="00E35004" w14:paraId="3AC64511" w14:textId="77777777" w:rsidTr="00D93E97">
        <w:tc>
          <w:tcPr>
            <w:tcW w:w="1803" w:type="dxa"/>
          </w:tcPr>
          <w:p w14:paraId="0ACB9A74" w14:textId="77777777" w:rsidR="00D93E97" w:rsidRDefault="00D93E97" w:rsidP="00E35004">
            <w:r>
              <w:t>Bannside</w:t>
            </w:r>
          </w:p>
        </w:tc>
        <w:tc>
          <w:tcPr>
            <w:tcW w:w="1803" w:type="dxa"/>
            <w:vAlign w:val="center"/>
          </w:tcPr>
          <w:p w14:paraId="3FF10166" w14:textId="77777777" w:rsidR="00E35004" w:rsidRDefault="00D93E97" w:rsidP="00D93E97">
            <w:pPr>
              <w:jc w:val="center"/>
            </w:pPr>
            <w:r>
              <w:t>18</w:t>
            </w:r>
          </w:p>
        </w:tc>
        <w:tc>
          <w:tcPr>
            <w:tcW w:w="1803" w:type="dxa"/>
            <w:vAlign w:val="center"/>
          </w:tcPr>
          <w:p w14:paraId="1BCF74CF" w14:textId="77777777" w:rsidR="00E35004" w:rsidRDefault="00D93E97" w:rsidP="00D93E97">
            <w:pPr>
              <w:jc w:val="center"/>
            </w:pPr>
            <w:r>
              <w:t>100</w:t>
            </w:r>
          </w:p>
        </w:tc>
        <w:tc>
          <w:tcPr>
            <w:tcW w:w="1803" w:type="dxa"/>
            <w:vAlign w:val="center"/>
          </w:tcPr>
          <w:p w14:paraId="00C0D902" w14:textId="77777777" w:rsidR="00E35004" w:rsidRDefault="00D93E97" w:rsidP="00D93E97">
            <w:pPr>
              <w:jc w:val="center"/>
            </w:pPr>
            <w:r>
              <w:t>57</w:t>
            </w:r>
          </w:p>
        </w:tc>
        <w:tc>
          <w:tcPr>
            <w:tcW w:w="1804" w:type="dxa"/>
            <w:vAlign w:val="center"/>
          </w:tcPr>
          <w:p w14:paraId="0151D0DC" w14:textId="77777777" w:rsidR="00E35004" w:rsidRDefault="00D93E97" w:rsidP="00D93E97">
            <w:pPr>
              <w:jc w:val="center"/>
            </w:pPr>
            <w:r>
              <w:t>2</w:t>
            </w:r>
          </w:p>
        </w:tc>
      </w:tr>
      <w:tr w:rsidR="00E35004" w14:paraId="1CA3CCAD" w14:textId="77777777" w:rsidTr="00D93E97">
        <w:tc>
          <w:tcPr>
            <w:tcW w:w="1803" w:type="dxa"/>
          </w:tcPr>
          <w:p w14:paraId="6354648A" w14:textId="77777777" w:rsidR="00E35004" w:rsidRDefault="00D93E97" w:rsidP="00E35004">
            <w:r>
              <w:t>Katesbridge</w:t>
            </w:r>
          </w:p>
        </w:tc>
        <w:tc>
          <w:tcPr>
            <w:tcW w:w="1803" w:type="dxa"/>
            <w:vAlign w:val="center"/>
          </w:tcPr>
          <w:p w14:paraId="37A1FF0A" w14:textId="77777777" w:rsidR="00E35004" w:rsidRDefault="00D93E97" w:rsidP="00D93E97">
            <w:pPr>
              <w:jc w:val="center"/>
            </w:pPr>
            <w:r>
              <w:t>33</w:t>
            </w:r>
          </w:p>
        </w:tc>
        <w:tc>
          <w:tcPr>
            <w:tcW w:w="1803" w:type="dxa"/>
            <w:vAlign w:val="center"/>
          </w:tcPr>
          <w:p w14:paraId="5CC1F49A" w14:textId="77777777" w:rsidR="00E35004" w:rsidRDefault="00D93E97" w:rsidP="00D93E97">
            <w:pPr>
              <w:jc w:val="center"/>
            </w:pPr>
            <w:r>
              <w:t>43</w:t>
            </w:r>
          </w:p>
        </w:tc>
        <w:tc>
          <w:tcPr>
            <w:tcW w:w="1803" w:type="dxa"/>
            <w:vAlign w:val="center"/>
          </w:tcPr>
          <w:p w14:paraId="17D1AD36" w14:textId="77777777" w:rsidR="00E35004" w:rsidRDefault="00D93E97" w:rsidP="00D93E97">
            <w:pPr>
              <w:jc w:val="center"/>
            </w:pPr>
            <w:r>
              <w:t>53</w:t>
            </w:r>
          </w:p>
        </w:tc>
        <w:tc>
          <w:tcPr>
            <w:tcW w:w="1804" w:type="dxa"/>
            <w:vAlign w:val="center"/>
          </w:tcPr>
          <w:p w14:paraId="61EEAE5B" w14:textId="77777777" w:rsidR="00E35004" w:rsidRDefault="00D93E97" w:rsidP="00D93E97">
            <w:pPr>
              <w:jc w:val="center"/>
            </w:pPr>
            <w:r>
              <w:t>33</w:t>
            </w:r>
          </w:p>
        </w:tc>
      </w:tr>
      <w:tr w:rsidR="00E35004" w14:paraId="168D75B7" w14:textId="77777777" w:rsidTr="00D93E97">
        <w:tc>
          <w:tcPr>
            <w:tcW w:w="1803" w:type="dxa"/>
          </w:tcPr>
          <w:p w14:paraId="52EFC6BD" w14:textId="77777777" w:rsidR="00E35004" w:rsidRDefault="00D93E97" w:rsidP="00E35004">
            <w:r>
              <w:t>Derrynoose</w:t>
            </w:r>
          </w:p>
        </w:tc>
        <w:tc>
          <w:tcPr>
            <w:tcW w:w="1803" w:type="dxa"/>
            <w:vAlign w:val="center"/>
          </w:tcPr>
          <w:p w14:paraId="53A81BD9" w14:textId="77777777" w:rsidR="00E35004" w:rsidRDefault="00D93E97" w:rsidP="00D93E97">
            <w:pPr>
              <w:jc w:val="center"/>
            </w:pPr>
            <w:r>
              <w:t>54</w:t>
            </w:r>
          </w:p>
        </w:tc>
        <w:tc>
          <w:tcPr>
            <w:tcW w:w="1803" w:type="dxa"/>
            <w:vAlign w:val="center"/>
          </w:tcPr>
          <w:p w14:paraId="73412FD7" w14:textId="77777777" w:rsidR="00E35004" w:rsidRDefault="00D93E97" w:rsidP="00D93E97">
            <w:pPr>
              <w:jc w:val="center"/>
            </w:pPr>
            <w:r>
              <w:t>67</w:t>
            </w:r>
          </w:p>
        </w:tc>
        <w:tc>
          <w:tcPr>
            <w:tcW w:w="1803" w:type="dxa"/>
            <w:vAlign w:val="center"/>
          </w:tcPr>
          <w:p w14:paraId="26D54D68" w14:textId="77777777" w:rsidR="00E35004" w:rsidRDefault="00D93E97" w:rsidP="00D93E97">
            <w:pPr>
              <w:jc w:val="center"/>
            </w:pPr>
            <w:r>
              <w:t>41</w:t>
            </w:r>
          </w:p>
        </w:tc>
        <w:tc>
          <w:tcPr>
            <w:tcW w:w="1804" w:type="dxa"/>
            <w:vAlign w:val="center"/>
          </w:tcPr>
          <w:p w14:paraId="600763D3" w14:textId="77777777" w:rsidR="00E35004" w:rsidRDefault="00D93E97" w:rsidP="00D93E97">
            <w:pPr>
              <w:jc w:val="center"/>
            </w:pPr>
            <w:r>
              <w:t>72</w:t>
            </w:r>
          </w:p>
        </w:tc>
      </w:tr>
      <w:tr w:rsidR="00E35004" w14:paraId="06699860" w14:textId="77777777" w:rsidTr="00D93E97">
        <w:tc>
          <w:tcPr>
            <w:tcW w:w="1803" w:type="dxa"/>
          </w:tcPr>
          <w:p w14:paraId="4BE99BB6" w14:textId="77777777" w:rsidR="00E35004" w:rsidRDefault="00D93E97" w:rsidP="00E35004">
            <w:r>
              <w:t>Gransha</w:t>
            </w:r>
          </w:p>
        </w:tc>
        <w:tc>
          <w:tcPr>
            <w:tcW w:w="1803" w:type="dxa"/>
            <w:vAlign w:val="center"/>
          </w:tcPr>
          <w:p w14:paraId="5C0771BA" w14:textId="77777777" w:rsidR="00E35004" w:rsidRDefault="00D93E97" w:rsidP="00D93E97">
            <w:pPr>
              <w:jc w:val="center"/>
            </w:pPr>
            <w:r>
              <w:t>64</w:t>
            </w:r>
          </w:p>
        </w:tc>
        <w:tc>
          <w:tcPr>
            <w:tcW w:w="1803" w:type="dxa"/>
            <w:vAlign w:val="center"/>
          </w:tcPr>
          <w:p w14:paraId="24A2D9E5" w14:textId="77777777" w:rsidR="00E35004" w:rsidRDefault="00D93E97" w:rsidP="00D93E97">
            <w:pPr>
              <w:jc w:val="center"/>
            </w:pPr>
            <w:r>
              <w:t>42</w:t>
            </w:r>
          </w:p>
        </w:tc>
        <w:tc>
          <w:tcPr>
            <w:tcW w:w="1803" w:type="dxa"/>
            <w:vAlign w:val="center"/>
          </w:tcPr>
          <w:p w14:paraId="168DDA32" w14:textId="77777777" w:rsidR="00E35004" w:rsidRDefault="00D93E97" w:rsidP="00D93E97">
            <w:pPr>
              <w:jc w:val="center"/>
            </w:pPr>
            <w:r>
              <w:t>32</w:t>
            </w:r>
          </w:p>
        </w:tc>
        <w:tc>
          <w:tcPr>
            <w:tcW w:w="1804" w:type="dxa"/>
            <w:vAlign w:val="center"/>
          </w:tcPr>
          <w:p w14:paraId="5AF865E3" w14:textId="77777777" w:rsidR="00E35004" w:rsidRDefault="00D93E97" w:rsidP="00D93E97">
            <w:pPr>
              <w:jc w:val="center"/>
            </w:pPr>
            <w:r>
              <w:t>178</w:t>
            </w:r>
          </w:p>
        </w:tc>
      </w:tr>
      <w:tr w:rsidR="00E35004" w14:paraId="58E6398D" w14:textId="77777777" w:rsidTr="00D93E97">
        <w:tc>
          <w:tcPr>
            <w:tcW w:w="1803" w:type="dxa"/>
          </w:tcPr>
          <w:p w14:paraId="1C07455D" w14:textId="77777777" w:rsidR="00E35004" w:rsidRDefault="00D93E97" w:rsidP="00E35004">
            <w:r>
              <w:t>Derrytrasna 2</w:t>
            </w:r>
          </w:p>
        </w:tc>
        <w:tc>
          <w:tcPr>
            <w:tcW w:w="1803" w:type="dxa"/>
            <w:vAlign w:val="center"/>
          </w:tcPr>
          <w:p w14:paraId="5DFCB3E2" w14:textId="77777777" w:rsidR="00E35004" w:rsidRDefault="00D93E97" w:rsidP="00D93E97">
            <w:pPr>
              <w:jc w:val="center"/>
            </w:pPr>
            <w:r>
              <w:t>73</w:t>
            </w:r>
          </w:p>
        </w:tc>
        <w:tc>
          <w:tcPr>
            <w:tcW w:w="1803" w:type="dxa"/>
            <w:vAlign w:val="center"/>
          </w:tcPr>
          <w:p w14:paraId="428DE0A9" w14:textId="77777777" w:rsidR="00E35004" w:rsidRDefault="00D93E97" w:rsidP="00D93E97">
            <w:pPr>
              <w:jc w:val="center"/>
            </w:pPr>
            <w:r>
              <w:t>56</w:t>
            </w:r>
          </w:p>
        </w:tc>
        <w:tc>
          <w:tcPr>
            <w:tcW w:w="1803" w:type="dxa"/>
            <w:vAlign w:val="center"/>
          </w:tcPr>
          <w:p w14:paraId="57F07B06" w14:textId="77777777" w:rsidR="00E35004" w:rsidRDefault="00D93E97" w:rsidP="00D93E97">
            <w:pPr>
              <w:jc w:val="center"/>
            </w:pPr>
            <w:r>
              <w:t>187</w:t>
            </w:r>
          </w:p>
        </w:tc>
        <w:tc>
          <w:tcPr>
            <w:tcW w:w="1804" w:type="dxa"/>
            <w:vAlign w:val="center"/>
          </w:tcPr>
          <w:p w14:paraId="3FAC87E5" w14:textId="77777777" w:rsidR="00E35004" w:rsidRDefault="00D93E97" w:rsidP="00D93E97">
            <w:pPr>
              <w:jc w:val="center"/>
            </w:pPr>
            <w:r>
              <w:t>30</w:t>
            </w:r>
          </w:p>
        </w:tc>
      </w:tr>
      <w:tr w:rsidR="00E35004" w14:paraId="7131D606" w14:textId="77777777" w:rsidTr="00D93E97">
        <w:tc>
          <w:tcPr>
            <w:tcW w:w="1803" w:type="dxa"/>
          </w:tcPr>
          <w:p w14:paraId="133ABC81" w14:textId="77777777" w:rsidR="00E35004" w:rsidRDefault="00D93E97" w:rsidP="00E35004">
            <w:r>
              <w:t>Killylea</w:t>
            </w:r>
          </w:p>
        </w:tc>
        <w:tc>
          <w:tcPr>
            <w:tcW w:w="1803" w:type="dxa"/>
            <w:vAlign w:val="center"/>
          </w:tcPr>
          <w:p w14:paraId="4F5E5204" w14:textId="77777777" w:rsidR="00E35004" w:rsidRDefault="00D93E97" w:rsidP="00D93E97">
            <w:pPr>
              <w:jc w:val="center"/>
            </w:pPr>
            <w:r>
              <w:t>89</w:t>
            </w:r>
          </w:p>
        </w:tc>
        <w:tc>
          <w:tcPr>
            <w:tcW w:w="1803" w:type="dxa"/>
            <w:vAlign w:val="center"/>
          </w:tcPr>
          <w:p w14:paraId="707D4349" w14:textId="77777777" w:rsidR="00E35004" w:rsidRDefault="00D93E97" w:rsidP="00D93E97">
            <w:pPr>
              <w:jc w:val="center"/>
            </w:pPr>
            <w:r>
              <w:t>38</w:t>
            </w:r>
          </w:p>
        </w:tc>
        <w:tc>
          <w:tcPr>
            <w:tcW w:w="1803" w:type="dxa"/>
            <w:vAlign w:val="center"/>
          </w:tcPr>
          <w:p w14:paraId="108B2D93" w14:textId="77777777" w:rsidR="00E35004" w:rsidRDefault="00D93E97" w:rsidP="00D93E97">
            <w:pPr>
              <w:jc w:val="center"/>
            </w:pPr>
            <w:r>
              <w:t>86</w:t>
            </w:r>
          </w:p>
        </w:tc>
        <w:tc>
          <w:tcPr>
            <w:tcW w:w="1804" w:type="dxa"/>
            <w:vAlign w:val="center"/>
          </w:tcPr>
          <w:p w14:paraId="4660232A" w14:textId="77777777" w:rsidR="00E35004" w:rsidRDefault="00D93E97" w:rsidP="00D93E97">
            <w:pPr>
              <w:jc w:val="center"/>
            </w:pPr>
            <w:r>
              <w:t>143</w:t>
            </w:r>
          </w:p>
        </w:tc>
      </w:tr>
      <w:tr w:rsidR="00E35004" w14:paraId="1692E18C" w14:textId="77777777" w:rsidTr="00D93E97">
        <w:tc>
          <w:tcPr>
            <w:tcW w:w="1803" w:type="dxa"/>
          </w:tcPr>
          <w:p w14:paraId="1FECA73B" w14:textId="77777777" w:rsidR="00E35004" w:rsidRDefault="00D93E97" w:rsidP="00E35004">
            <w:r>
              <w:t>The Birches 2</w:t>
            </w:r>
          </w:p>
        </w:tc>
        <w:tc>
          <w:tcPr>
            <w:tcW w:w="1803" w:type="dxa"/>
            <w:vAlign w:val="center"/>
          </w:tcPr>
          <w:p w14:paraId="54D8506F" w14:textId="77777777" w:rsidR="00E35004" w:rsidRDefault="00D93E97" w:rsidP="00D93E97">
            <w:pPr>
              <w:jc w:val="center"/>
            </w:pPr>
            <w:r>
              <w:t>96</w:t>
            </w:r>
          </w:p>
        </w:tc>
        <w:tc>
          <w:tcPr>
            <w:tcW w:w="1803" w:type="dxa"/>
            <w:vAlign w:val="center"/>
          </w:tcPr>
          <w:p w14:paraId="09928F8A" w14:textId="77777777" w:rsidR="00E35004" w:rsidRDefault="00D93E97" w:rsidP="00D93E97">
            <w:pPr>
              <w:jc w:val="center"/>
            </w:pPr>
            <w:r>
              <w:t>19</w:t>
            </w:r>
          </w:p>
        </w:tc>
        <w:tc>
          <w:tcPr>
            <w:tcW w:w="1803" w:type="dxa"/>
            <w:vAlign w:val="center"/>
          </w:tcPr>
          <w:p w14:paraId="5699531C" w14:textId="77777777" w:rsidR="00E35004" w:rsidRDefault="00D93E97" w:rsidP="00D93E97">
            <w:pPr>
              <w:jc w:val="center"/>
            </w:pPr>
            <w:r>
              <w:t>133</w:t>
            </w:r>
          </w:p>
        </w:tc>
        <w:tc>
          <w:tcPr>
            <w:tcW w:w="1804" w:type="dxa"/>
            <w:vAlign w:val="center"/>
          </w:tcPr>
          <w:p w14:paraId="531638EE" w14:textId="77777777" w:rsidR="00E35004" w:rsidRDefault="00D93E97" w:rsidP="00D93E97">
            <w:pPr>
              <w:jc w:val="center"/>
            </w:pPr>
            <w:r>
              <w:t>202</w:t>
            </w:r>
          </w:p>
        </w:tc>
      </w:tr>
      <w:tr w:rsidR="00E35004" w14:paraId="2C8FE2B1" w14:textId="77777777" w:rsidTr="00D93E97">
        <w:tc>
          <w:tcPr>
            <w:tcW w:w="1803" w:type="dxa"/>
          </w:tcPr>
          <w:p w14:paraId="1BE37E98" w14:textId="77777777" w:rsidR="00E35004" w:rsidRDefault="00D93E97" w:rsidP="00E35004">
            <w:r>
              <w:t>Quilly</w:t>
            </w:r>
          </w:p>
        </w:tc>
        <w:tc>
          <w:tcPr>
            <w:tcW w:w="1803" w:type="dxa"/>
            <w:vAlign w:val="center"/>
          </w:tcPr>
          <w:p w14:paraId="017C52AE" w14:textId="77777777" w:rsidR="00E35004" w:rsidRDefault="00D93E97" w:rsidP="00D93E97">
            <w:pPr>
              <w:jc w:val="center"/>
            </w:pPr>
            <w:r>
              <w:t>98</w:t>
            </w:r>
          </w:p>
        </w:tc>
        <w:tc>
          <w:tcPr>
            <w:tcW w:w="1803" w:type="dxa"/>
            <w:vAlign w:val="center"/>
          </w:tcPr>
          <w:p w14:paraId="197C9F4D" w14:textId="77777777" w:rsidR="00E35004" w:rsidRDefault="00D93E97" w:rsidP="00D93E97">
            <w:pPr>
              <w:jc w:val="center"/>
            </w:pPr>
            <w:r>
              <w:t>199</w:t>
            </w:r>
          </w:p>
        </w:tc>
        <w:tc>
          <w:tcPr>
            <w:tcW w:w="1803" w:type="dxa"/>
            <w:vAlign w:val="center"/>
          </w:tcPr>
          <w:p w14:paraId="5CF80864" w14:textId="77777777" w:rsidR="00E35004" w:rsidRDefault="00D93E97" w:rsidP="00D93E97">
            <w:pPr>
              <w:jc w:val="center"/>
            </w:pPr>
            <w:r>
              <w:t>34</w:t>
            </w:r>
          </w:p>
        </w:tc>
        <w:tc>
          <w:tcPr>
            <w:tcW w:w="1804" w:type="dxa"/>
            <w:vAlign w:val="center"/>
          </w:tcPr>
          <w:p w14:paraId="3266CB3E" w14:textId="77777777" w:rsidR="00E35004" w:rsidRDefault="00D93E97" w:rsidP="00D93E97">
            <w:pPr>
              <w:jc w:val="center"/>
            </w:pPr>
            <w:r>
              <w:t>99</w:t>
            </w:r>
          </w:p>
        </w:tc>
      </w:tr>
      <w:tr w:rsidR="00E35004" w14:paraId="56320B03" w14:textId="77777777" w:rsidTr="00D93E97">
        <w:tc>
          <w:tcPr>
            <w:tcW w:w="1803" w:type="dxa"/>
          </w:tcPr>
          <w:p w14:paraId="26F8599F" w14:textId="77777777" w:rsidR="00E35004" w:rsidRDefault="00D93E97" w:rsidP="00E35004">
            <w:r>
              <w:t>Carrigatuke</w:t>
            </w:r>
          </w:p>
        </w:tc>
        <w:tc>
          <w:tcPr>
            <w:tcW w:w="1803" w:type="dxa"/>
            <w:vAlign w:val="center"/>
          </w:tcPr>
          <w:p w14:paraId="209300E1" w14:textId="77777777" w:rsidR="00E35004" w:rsidRDefault="00D93E97" w:rsidP="00D93E97">
            <w:pPr>
              <w:jc w:val="center"/>
            </w:pPr>
            <w:r>
              <w:t>100</w:t>
            </w:r>
          </w:p>
        </w:tc>
        <w:tc>
          <w:tcPr>
            <w:tcW w:w="1803" w:type="dxa"/>
            <w:vAlign w:val="center"/>
          </w:tcPr>
          <w:p w14:paraId="42958298" w14:textId="77777777" w:rsidR="00E35004" w:rsidRDefault="00D93E97" w:rsidP="00D93E97">
            <w:pPr>
              <w:jc w:val="center"/>
            </w:pPr>
            <w:r>
              <w:t>96</w:t>
            </w:r>
          </w:p>
        </w:tc>
        <w:tc>
          <w:tcPr>
            <w:tcW w:w="1803" w:type="dxa"/>
            <w:vAlign w:val="center"/>
          </w:tcPr>
          <w:p w14:paraId="7CBFC64D" w14:textId="77777777" w:rsidR="00E35004" w:rsidRDefault="00D93E97" w:rsidP="00D93E97">
            <w:pPr>
              <w:jc w:val="center"/>
            </w:pPr>
            <w:r>
              <w:t>84</w:t>
            </w:r>
          </w:p>
        </w:tc>
        <w:tc>
          <w:tcPr>
            <w:tcW w:w="1804" w:type="dxa"/>
            <w:vAlign w:val="center"/>
          </w:tcPr>
          <w:p w14:paraId="642763F1" w14:textId="77777777" w:rsidR="00E35004" w:rsidRDefault="00D93E97" w:rsidP="00D93E97">
            <w:pPr>
              <w:jc w:val="center"/>
            </w:pPr>
            <w:r>
              <w:t>94</w:t>
            </w:r>
          </w:p>
        </w:tc>
      </w:tr>
      <w:tr w:rsidR="00D93E97" w14:paraId="5B4F4B03" w14:textId="77777777" w:rsidTr="00D93E97">
        <w:tc>
          <w:tcPr>
            <w:tcW w:w="1803" w:type="dxa"/>
          </w:tcPr>
          <w:p w14:paraId="58DD5299" w14:textId="77777777" w:rsidR="00D93E97" w:rsidRDefault="00D93E97" w:rsidP="00E35004">
            <w:r>
              <w:t>Poyntz Pass</w:t>
            </w:r>
          </w:p>
        </w:tc>
        <w:tc>
          <w:tcPr>
            <w:tcW w:w="1803" w:type="dxa"/>
            <w:vAlign w:val="center"/>
          </w:tcPr>
          <w:p w14:paraId="3DB68FA0" w14:textId="77777777" w:rsidR="00D93E97" w:rsidRDefault="00D93E97" w:rsidP="00D93E97">
            <w:pPr>
              <w:jc w:val="center"/>
            </w:pPr>
            <w:r>
              <w:t>101</w:t>
            </w:r>
          </w:p>
        </w:tc>
        <w:tc>
          <w:tcPr>
            <w:tcW w:w="1803" w:type="dxa"/>
            <w:vAlign w:val="center"/>
          </w:tcPr>
          <w:p w14:paraId="1FB0B103" w14:textId="77777777" w:rsidR="00D93E97" w:rsidRDefault="00D93E97" w:rsidP="00D93E97">
            <w:pPr>
              <w:jc w:val="center"/>
            </w:pPr>
            <w:r>
              <w:t>129</w:t>
            </w:r>
          </w:p>
        </w:tc>
        <w:tc>
          <w:tcPr>
            <w:tcW w:w="1803" w:type="dxa"/>
            <w:vAlign w:val="center"/>
          </w:tcPr>
          <w:p w14:paraId="5883894B" w14:textId="77777777" w:rsidR="00D93E97" w:rsidRDefault="00D93E97" w:rsidP="00D93E97">
            <w:pPr>
              <w:jc w:val="center"/>
            </w:pPr>
            <w:r>
              <w:t>116</w:t>
            </w:r>
          </w:p>
        </w:tc>
        <w:tc>
          <w:tcPr>
            <w:tcW w:w="1804" w:type="dxa"/>
            <w:vAlign w:val="center"/>
          </w:tcPr>
          <w:p w14:paraId="4936EDD8" w14:textId="77777777" w:rsidR="00D93E97" w:rsidRDefault="00D93E97" w:rsidP="00D93E97">
            <w:pPr>
              <w:jc w:val="center"/>
            </w:pPr>
            <w:r>
              <w:t>51</w:t>
            </w:r>
          </w:p>
        </w:tc>
      </w:tr>
    </w:tbl>
    <w:p w14:paraId="0BFDA03D" w14:textId="77777777" w:rsidR="00E35004" w:rsidRDefault="004D2DE7" w:rsidP="00E35004">
      <w:r>
        <w:rPr>
          <w:i/>
          <w:sz w:val="20"/>
          <w:szCs w:val="20"/>
        </w:rPr>
        <w:t>Tabl</w:t>
      </w:r>
      <w:r w:rsidR="00D75815">
        <w:rPr>
          <w:i/>
          <w:sz w:val="20"/>
          <w:szCs w:val="20"/>
        </w:rPr>
        <w:t>e 1:</w:t>
      </w:r>
      <w:r w:rsidRPr="00C70FE9">
        <w:rPr>
          <w:i/>
          <w:sz w:val="20"/>
          <w:szCs w:val="20"/>
        </w:rPr>
        <w:t xml:space="preserve"> </w:t>
      </w:r>
      <w:r>
        <w:rPr>
          <w:i/>
          <w:sz w:val="20"/>
          <w:szCs w:val="20"/>
        </w:rPr>
        <w:t>Top ten most deprived SOAs</w:t>
      </w:r>
      <w:r w:rsidRPr="00C70FE9">
        <w:rPr>
          <w:i/>
          <w:sz w:val="20"/>
          <w:szCs w:val="20"/>
        </w:rPr>
        <w:t xml:space="preserve"> in Armagh City, Banbridge and Craigavon Borough </w:t>
      </w:r>
      <w:r>
        <w:rPr>
          <w:i/>
          <w:sz w:val="20"/>
          <w:szCs w:val="20"/>
        </w:rPr>
        <w:t>in terms of</w:t>
      </w:r>
      <w:r w:rsidR="00D75815">
        <w:rPr>
          <w:i/>
          <w:sz w:val="20"/>
          <w:szCs w:val="20"/>
        </w:rPr>
        <w:t xml:space="preserve"> the</w:t>
      </w:r>
      <w:r>
        <w:rPr>
          <w:i/>
          <w:sz w:val="20"/>
          <w:szCs w:val="20"/>
        </w:rPr>
        <w:t xml:space="preserve"> Access to Services </w:t>
      </w:r>
      <w:r w:rsidR="00D75815">
        <w:rPr>
          <w:i/>
          <w:sz w:val="20"/>
          <w:szCs w:val="20"/>
        </w:rPr>
        <w:t>Domain</w:t>
      </w:r>
      <w:r>
        <w:rPr>
          <w:i/>
          <w:sz w:val="20"/>
          <w:szCs w:val="20"/>
        </w:rPr>
        <w:t>. Source: Northern Ireland Multiple Deprivation Measure 2017, NISRA.</w:t>
      </w:r>
    </w:p>
    <w:p w14:paraId="1BF8F817" w14:textId="77777777" w:rsidR="000C4C0C" w:rsidRDefault="004D2DE7" w:rsidP="000C4C0C">
      <w:r>
        <w:t>Although not all are shown above, the borough has 11 SOAs in the top 100 most deprived in Northern Ireland for service-weighted fastest travel time by private transport, 10 for service-weighted fastest travel time by public transport and 11 for proportion of properties with broadband speed below 10Mb/s. Each of the</w:t>
      </w:r>
      <w:r w:rsidR="00BC730E">
        <w:t xml:space="preserve">se SOAs </w:t>
      </w:r>
      <w:r>
        <w:t xml:space="preserve">are classified as rural. </w:t>
      </w:r>
    </w:p>
    <w:p w14:paraId="3952391D" w14:textId="77777777" w:rsidR="004D2DE7" w:rsidRDefault="00EE4CE5" w:rsidP="000C4C0C">
      <w:r>
        <w:t>The purpose of the Income Deprivation Domain is to identify the proportion of the population on low income. Armagh City, Banbridge and Craigavon Borough has nine SOAs (10% of the total 87 SOAs in the borough) in the top 100 most deprived in Northern Ireland on the Income Deprivation Domain. Three of these nine are rural areas according to the NISRA default classification.</w:t>
      </w:r>
    </w:p>
    <w:p w14:paraId="2265CE33" w14:textId="77777777" w:rsidR="00EE4CE5" w:rsidRDefault="00C44CA7" w:rsidP="000C4C0C">
      <w:r>
        <w:t>The Living Environment Domain aims to identify the prevalence of shortcomings in the quality of housing, access to suitable housing and the outdoor physical environment. Figures for the Housing Quality S</w:t>
      </w:r>
      <w:r w:rsidR="00D35FBD">
        <w:t>ub-Domain show the borough has eight</w:t>
      </w:r>
      <w:r>
        <w:t xml:space="preserve"> </w:t>
      </w:r>
      <w:r w:rsidR="00D35FBD">
        <w:t>of the top</w:t>
      </w:r>
      <w:r>
        <w:t xml:space="preserve"> 100 most deprived </w:t>
      </w:r>
      <w:r w:rsidR="00D35FBD">
        <w:t>SOAs in Northern Ireland of which four are rural.</w:t>
      </w:r>
    </w:p>
    <w:p w14:paraId="36A44B00" w14:textId="77777777" w:rsidR="0006258D" w:rsidRDefault="0006258D" w:rsidP="000C4C0C">
      <w:r>
        <w:lastRenderedPageBreak/>
        <w:t>Further information can be found via the following link:</w:t>
      </w:r>
      <w:r w:rsidR="00D75815">
        <w:t xml:space="preserve"> </w:t>
      </w:r>
      <w:hyperlink r:id="rId9" w:history="1">
        <w:r>
          <w:rPr>
            <w:rStyle w:val="Hyperlink"/>
          </w:rPr>
          <w:t>https://www.nisra.gov.uk/statistics/deprivation/northern-ireland-multiple-deprivation-measure-2017-nimdm2017</w:t>
        </w:r>
      </w:hyperlink>
    </w:p>
    <w:sectPr w:rsidR="000625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A60D" w14:textId="77777777" w:rsidR="00D75815" w:rsidRDefault="00D75815" w:rsidP="00D75815">
      <w:pPr>
        <w:spacing w:after="0" w:line="240" w:lineRule="auto"/>
      </w:pPr>
      <w:r>
        <w:separator/>
      </w:r>
    </w:p>
  </w:endnote>
  <w:endnote w:type="continuationSeparator" w:id="0">
    <w:p w14:paraId="663DB9FB" w14:textId="77777777" w:rsidR="00D75815" w:rsidRDefault="00D75815" w:rsidP="00D7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883204"/>
      <w:docPartObj>
        <w:docPartGallery w:val="Page Numbers (Bottom of Page)"/>
        <w:docPartUnique/>
      </w:docPartObj>
    </w:sdtPr>
    <w:sdtEndPr>
      <w:rPr>
        <w:noProof/>
      </w:rPr>
    </w:sdtEndPr>
    <w:sdtContent>
      <w:p w14:paraId="597FAF32" w14:textId="77777777" w:rsidR="00D75815" w:rsidRDefault="00D758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70EFA7" w14:textId="77777777" w:rsidR="00D75815" w:rsidRDefault="00D7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5D864" w14:textId="77777777" w:rsidR="00D75815" w:rsidRDefault="00D75815" w:rsidP="00D75815">
      <w:pPr>
        <w:spacing w:after="0" w:line="240" w:lineRule="auto"/>
      </w:pPr>
      <w:r>
        <w:separator/>
      </w:r>
    </w:p>
  </w:footnote>
  <w:footnote w:type="continuationSeparator" w:id="0">
    <w:p w14:paraId="18663C03" w14:textId="77777777" w:rsidR="00D75815" w:rsidRDefault="00D75815" w:rsidP="00D75815">
      <w:pPr>
        <w:spacing w:after="0" w:line="240" w:lineRule="auto"/>
      </w:pPr>
      <w:r>
        <w:continuationSeparator/>
      </w:r>
    </w:p>
  </w:footnote>
  <w:footnote w:id="1">
    <w:p w14:paraId="74490730" w14:textId="77777777" w:rsidR="00D75815" w:rsidRDefault="00D75815">
      <w:pPr>
        <w:pStyle w:val="FootnoteText"/>
      </w:pPr>
      <w:r>
        <w:rPr>
          <w:rStyle w:val="FootnoteReference"/>
        </w:rPr>
        <w:footnoteRef/>
      </w:r>
      <w:r>
        <w:t xml:space="preserve"> Northern Ireland is split into 890 spatial areas known as Super Output Areas (SOAs), with an average population of around 2,100 people.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92750"/>
    <w:multiLevelType w:val="hybridMultilevel"/>
    <w:tmpl w:val="CE2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62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7D"/>
    <w:rsid w:val="0006258D"/>
    <w:rsid w:val="000C4C0C"/>
    <w:rsid w:val="000C7A7D"/>
    <w:rsid w:val="00120B7C"/>
    <w:rsid w:val="004B4A28"/>
    <w:rsid w:val="004D2DE7"/>
    <w:rsid w:val="004E10C3"/>
    <w:rsid w:val="00756DAE"/>
    <w:rsid w:val="0076650E"/>
    <w:rsid w:val="007F4811"/>
    <w:rsid w:val="00975252"/>
    <w:rsid w:val="009B21D5"/>
    <w:rsid w:val="00A65413"/>
    <w:rsid w:val="00A93AAD"/>
    <w:rsid w:val="00BC730E"/>
    <w:rsid w:val="00C05018"/>
    <w:rsid w:val="00C44CA7"/>
    <w:rsid w:val="00C70FE9"/>
    <w:rsid w:val="00D35FBD"/>
    <w:rsid w:val="00D440F3"/>
    <w:rsid w:val="00D75815"/>
    <w:rsid w:val="00D91B60"/>
    <w:rsid w:val="00D93E97"/>
    <w:rsid w:val="00E35004"/>
    <w:rsid w:val="00EB0C4D"/>
    <w:rsid w:val="00EE4CE5"/>
    <w:rsid w:val="00F9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34CA"/>
  <w15:chartTrackingRefBased/>
  <w15:docId w15:val="{86449CB3-98A9-4989-9A27-9D3197E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C0C"/>
    <w:pPr>
      <w:ind w:left="720"/>
      <w:contextualSpacing/>
    </w:pPr>
  </w:style>
  <w:style w:type="table" w:styleId="TableGrid">
    <w:name w:val="Table Grid"/>
    <w:basedOn w:val="TableNormal"/>
    <w:uiPriority w:val="39"/>
    <w:rsid w:val="00E3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11"/>
    <w:rPr>
      <w:rFonts w:ascii="Segoe UI" w:hAnsi="Segoe UI" w:cs="Segoe UI"/>
      <w:sz w:val="18"/>
      <w:szCs w:val="18"/>
    </w:rPr>
  </w:style>
  <w:style w:type="character" w:styleId="Hyperlink">
    <w:name w:val="Hyperlink"/>
    <w:basedOn w:val="DefaultParagraphFont"/>
    <w:uiPriority w:val="99"/>
    <w:semiHidden/>
    <w:unhideWhenUsed/>
    <w:rsid w:val="0006258D"/>
    <w:rPr>
      <w:color w:val="0000FF"/>
      <w:u w:val="single"/>
    </w:rPr>
  </w:style>
  <w:style w:type="paragraph" w:styleId="FootnoteText">
    <w:name w:val="footnote text"/>
    <w:basedOn w:val="Normal"/>
    <w:link w:val="FootnoteTextChar"/>
    <w:uiPriority w:val="99"/>
    <w:semiHidden/>
    <w:unhideWhenUsed/>
    <w:rsid w:val="00D75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815"/>
    <w:rPr>
      <w:sz w:val="20"/>
      <w:szCs w:val="20"/>
    </w:rPr>
  </w:style>
  <w:style w:type="character" w:styleId="FootnoteReference">
    <w:name w:val="footnote reference"/>
    <w:basedOn w:val="DefaultParagraphFont"/>
    <w:uiPriority w:val="99"/>
    <w:semiHidden/>
    <w:unhideWhenUsed/>
    <w:rsid w:val="00D75815"/>
    <w:rPr>
      <w:vertAlign w:val="superscript"/>
    </w:rPr>
  </w:style>
  <w:style w:type="paragraph" w:styleId="Header">
    <w:name w:val="header"/>
    <w:basedOn w:val="Normal"/>
    <w:link w:val="HeaderChar"/>
    <w:uiPriority w:val="99"/>
    <w:unhideWhenUsed/>
    <w:rsid w:val="00D7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815"/>
  </w:style>
  <w:style w:type="paragraph" w:styleId="Footer">
    <w:name w:val="footer"/>
    <w:basedOn w:val="Normal"/>
    <w:link w:val="FooterChar"/>
    <w:uiPriority w:val="99"/>
    <w:unhideWhenUsed/>
    <w:rsid w:val="00D7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sra.gov.uk/statistics/deprivation/northern-ireland-multiple-deprivation-measure-2017-nimdm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F473-2BF1-4EDC-8CD7-327D59AB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cp:revision>
  <cp:lastPrinted>2019-10-03T14:19:00Z</cp:lastPrinted>
  <dcterms:created xsi:type="dcterms:W3CDTF">2025-06-02T08:23:00Z</dcterms:created>
  <dcterms:modified xsi:type="dcterms:W3CDTF">2025-06-02T08:39:00Z</dcterms:modified>
</cp:coreProperties>
</file>