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20B6" w14:textId="77777777" w:rsidR="002E31FB" w:rsidRPr="00A65E19" w:rsidRDefault="003A6B98">
      <w:pPr>
        <w:rPr>
          <w:b/>
        </w:rPr>
      </w:pPr>
      <w:r w:rsidRPr="00A65E19">
        <w:rPr>
          <w:b/>
        </w:rPr>
        <w:t>Mid-Year Population Estimates</w:t>
      </w:r>
    </w:p>
    <w:p w14:paraId="7916928C" w14:textId="62358449" w:rsidR="003A6B98" w:rsidRDefault="003A6B98">
      <w:r>
        <w:t xml:space="preserve">The estimated population of Armagh City, Banbridge and Craigavon </w:t>
      </w:r>
      <w:r w:rsidR="00E1225D">
        <w:t xml:space="preserve">Borough </w:t>
      </w:r>
      <w:proofErr w:type="gramStart"/>
      <w:r>
        <w:t>at</w:t>
      </w:r>
      <w:proofErr w:type="gramEnd"/>
      <w:r>
        <w:t xml:space="preserve"> 30</w:t>
      </w:r>
      <w:r w:rsidRPr="003A6B98">
        <w:rPr>
          <w:vertAlign w:val="superscript"/>
        </w:rPr>
        <w:t>th</w:t>
      </w:r>
      <w:r w:rsidR="001842FB">
        <w:t xml:space="preserve"> June 20</w:t>
      </w:r>
      <w:r w:rsidR="00B20361">
        <w:t>2</w:t>
      </w:r>
      <w:r w:rsidR="00EE438F">
        <w:t>3</w:t>
      </w:r>
      <w:r w:rsidR="00B20361">
        <w:t xml:space="preserve"> </w:t>
      </w:r>
      <w:r>
        <w:t xml:space="preserve">was </w:t>
      </w:r>
      <w:r w:rsidR="00EE438F">
        <w:t>221,754</w:t>
      </w:r>
      <w:r>
        <w:t xml:space="preserve">, making </w:t>
      </w:r>
      <w:r w:rsidR="00B20361">
        <w:t>up 11.5</w:t>
      </w:r>
      <w:r w:rsidR="00F15B67">
        <w:t xml:space="preserve">% of </w:t>
      </w:r>
      <w:r w:rsidR="00F51248">
        <w:t xml:space="preserve">the Northern Ireland population. </w:t>
      </w:r>
      <w:r w:rsidR="00E1225D">
        <w:t>It is the second largest council after Belfast in terms of population.</w:t>
      </w:r>
    </w:p>
    <w:p w14:paraId="7200FA0B" w14:textId="23E6574C" w:rsidR="00E1225D" w:rsidRDefault="00BC187D">
      <w:r>
        <w:t>The b</w:t>
      </w:r>
      <w:r w:rsidR="001842FB">
        <w:t xml:space="preserve">orough is made up of </w:t>
      </w:r>
      <w:r w:rsidR="00DA3473">
        <w:t>109,</w:t>
      </w:r>
      <w:r w:rsidR="00FB3181">
        <w:t>745</w:t>
      </w:r>
      <w:r w:rsidR="00C641B1">
        <w:t xml:space="preserve"> (49.</w:t>
      </w:r>
      <w:r w:rsidR="00DA3473">
        <w:t>5</w:t>
      </w:r>
      <w:r w:rsidR="001842FB">
        <w:t xml:space="preserve">%) males and </w:t>
      </w:r>
      <w:r w:rsidR="00FB3181">
        <w:t>112,009</w:t>
      </w:r>
      <w:r w:rsidR="00DA3473">
        <w:t xml:space="preserve"> (50.5</w:t>
      </w:r>
      <w:r w:rsidR="00E1225D">
        <w:t>%) females.</w:t>
      </w:r>
      <w:r w:rsidR="00F8015E">
        <w:t xml:space="preserve"> In Northern Ireland </w:t>
      </w:r>
      <w:r w:rsidR="001217B0">
        <w:t xml:space="preserve">overall </w:t>
      </w:r>
      <w:r w:rsidR="00F51248">
        <w:t>the proportion of fe</w:t>
      </w:r>
      <w:r w:rsidR="00DA3473">
        <w:t>males is slightly higher at 50.8</w:t>
      </w:r>
      <w:r w:rsidR="00F51248">
        <w:t>%.</w:t>
      </w:r>
      <w:r w:rsidR="00E1225D">
        <w:t xml:space="preserve"> </w:t>
      </w:r>
    </w:p>
    <w:tbl>
      <w:tblPr>
        <w:tblStyle w:val="GridTable1Light"/>
        <w:tblW w:w="8217" w:type="dxa"/>
        <w:tblLayout w:type="fixed"/>
        <w:tblLook w:val="04A0" w:firstRow="1" w:lastRow="0" w:firstColumn="1" w:lastColumn="0" w:noHBand="0" w:noVBand="1"/>
        <w:tblCaption w:val="Age Profile of Armagh City, Banbridge and Craigavon Borough and Northern Ireland at 30th June 2020."/>
        <w:tblDescription w:val="Age profile of Armagh City, Banbridge and Craigavon Borough as follows: 0-15 22.5%, 16-24 9.7%, 25-49 33.2%, 50-64 18.8%,  and 65 and over 15.7%.  In Northern Ireland, the age profile is as follows:  0-15 20.9%, 16-24 10.6%, 25-49 32.3%, 50-64 19.4%,  and 65 and over 16.9%."/>
      </w:tblPr>
      <w:tblGrid>
        <w:gridCol w:w="2122"/>
        <w:gridCol w:w="1523"/>
        <w:gridCol w:w="1524"/>
        <w:gridCol w:w="1524"/>
        <w:gridCol w:w="1524"/>
      </w:tblGrid>
      <w:tr w:rsidR="00FB3181" w:rsidRPr="00FB3181" w14:paraId="1E3D584C" w14:textId="77777777" w:rsidTr="00FB3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2A857B7F" w14:textId="77777777" w:rsidR="00FB3181" w:rsidRPr="00FB3181" w:rsidRDefault="00FB3181" w:rsidP="00FB318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DDF8895" w14:textId="77777777" w:rsidR="00FB3181" w:rsidRPr="00FB3181" w:rsidRDefault="00FB3181" w:rsidP="00FB318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FB3181">
              <w:rPr>
                <w:rFonts w:ascii="Calibri" w:eastAsia="Times New Roman" w:hAnsi="Calibri" w:cs="Calibri"/>
                <w:color w:val="000000"/>
                <w:lang w:eastAsia="en-GB"/>
              </w:rPr>
              <w:t>Age Group</w:t>
            </w:r>
          </w:p>
        </w:tc>
        <w:tc>
          <w:tcPr>
            <w:tcW w:w="3047" w:type="dxa"/>
            <w:gridSpan w:val="2"/>
            <w:noWrap/>
            <w:hideMark/>
          </w:tcPr>
          <w:p w14:paraId="661D9F68" w14:textId="492E1FFA" w:rsidR="00FB3181" w:rsidRPr="00FB3181" w:rsidRDefault="00FB3181" w:rsidP="00FB3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3181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  <w:p w14:paraId="197949C7" w14:textId="0D05EE1D" w:rsidR="00FB3181" w:rsidRPr="00FB3181" w:rsidRDefault="00FB3181" w:rsidP="00337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3048" w:type="dxa"/>
            <w:gridSpan w:val="2"/>
            <w:noWrap/>
            <w:hideMark/>
          </w:tcPr>
          <w:p w14:paraId="747BF5CC" w14:textId="77777777" w:rsidR="00FB3181" w:rsidRPr="00FB3181" w:rsidRDefault="00FB3181" w:rsidP="00337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D413F5D" w14:textId="7C89F19A" w:rsidR="00FB3181" w:rsidRPr="00FB3181" w:rsidRDefault="00FB3181" w:rsidP="00FB3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3181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  <w:p w14:paraId="3B289087" w14:textId="6C2F4569" w:rsidR="00FB3181" w:rsidRPr="00FB3181" w:rsidRDefault="00FB3181" w:rsidP="00337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</w:tr>
      <w:tr w:rsidR="00FB3181" w:rsidRPr="00FB3181" w14:paraId="5BF077E0" w14:textId="77777777" w:rsidTr="00FB3181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A7A1FB" w14:textId="77777777" w:rsidR="00FB3181" w:rsidRPr="00FB3181" w:rsidRDefault="00FB3181" w:rsidP="00FB318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3" w:type="dxa"/>
            <w:noWrap/>
          </w:tcPr>
          <w:p w14:paraId="2FFE0C00" w14:textId="785879B0" w:rsidR="00FB3181" w:rsidRPr="00FB3181" w:rsidRDefault="00FB3181" w:rsidP="00337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318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1524" w:type="dxa"/>
            <w:noWrap/>
          </w:tcPr>
          <w:p w14:paraId="401F328B" w14:textId="378C8C21" w:rsidR="00FB3181" w:rsidRPr="00FB3181" w:rsidRDefault="00FB3181" w:rsidP="00337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318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1524" w:type="dxa"/>
            <w:noWrap/>
          </w:tcPr>
          <w:p w14:paraId="07E2D079" w14:textId="38E4224B" w:rsidR="00FB3181" w:rsidRPr="00FB3181" w:rsidRDefault="00FB3181" w:rsidP="00337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318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1524" w:type="dxa"/>
            <w:noWrap/>
          </w:tcPr>
          <w:p w14:paraId="23645A7F" w14:textId="6C86C301" w:rsidR="00FB3181" w:rsidRPr="00FB3181" w:rsidRDefault="00FB3181" w:rsidP="00337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318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  <w:tr w:rsidR="00FB3181" w:rsidRPr="00FB3181" w14:paraId="3D98483D" w14:textId="77777777" w:rsidTr="00A80F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2711980" w14:textId="77777777" w:rsidR="00FB3181" w:rsidRPr="00FB3181" w:rsidRDefault="00FB3181" w:rsidP="00FB3181">
            <w:pPr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FB3181">
              <w:rPr>
                <w:rFonts w:ascii="Calibri" w:eastAsia="Times New Roman" w:hAnsi="Calibri" w:cs="Calibri"/>
                <w:lang w:eastAsia="en-GB"/>
              </w:rPr>
              <w:t>0 – 15 years</w:t>
            </w:r>
          </w:p>
        </w:tc>
        <w:tc>
          <w:tcPr>
            <w:tcW w:w="1523" w:type="dxa"/>
            <w:noWrap/>
            <w:vAlign w:val="bottom"/>
          </w:tcPr>
          <w:p w14:paraId="37EC1EB0" w14:textId="341DD42C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48,363</w:t>
            </w:r>
          </w:p>
        </w:tc>
        <w:tc>
          <w:tcPr>
            <w:tcW w:w="1524" w:type="dxa"/>
            <w:noWrap/>
            <w:vAlign w:val="bottom"/>
          </w:tcPr>
          <w:p w14:paraId="786221F2" w14:textId="701A5B05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21.8%</w:t>
            </w:r>
          </w:p>
        </w:tc>
        <w:tc>
          <w:tcPr>
            <w:tcW w:w="1524" w:type="dxa"/>
            <w:noWrap/>
            <w:vAlign w:val="bottom"/>
          </w:tcPr>
          <w:p w14:paraId="67BD4336" w14:textId="58B1C175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388,219</w:t>
            </w:r>
          </w:p>
        </w:tc>
        <w:tc>
          <w:tcPr>
            <w:tcW w:w="1524" w:type="dxa"/>
            <w:noWrap/>
            <w:vAlign w:val="bottom"/>
          </w:tcPr>
          <w:p w14:paraId="62C86A06" w14:textId="59241D74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20.2%</w:t>
            </w:r>
          </w:p>
        </w:tc>
      </w:tr>
      <w:tr w:rsidR="00FB3181" w:rsidRPr="00FB3181" w14:paraId="15A8D78F" w14:textId="77777777" w:rsidTr="00A80F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61820C2" w14:textId="77777777" w:rsidR="00FB3181" w:rsidRPr="00FB3181" w:rsidRDefault="00FB3181" w:rsidP="00FB3181">
            <w:pPr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FB3181">
              <w:rPr>
                <w:rFonts w:ascii="Calibri" w:eastAsia="Times New Roman" w:hAnsi="Calibri" w:cs="Calibri"/>
                <w:lang w:eastAsia="en-GB"/>
              </w:rPr>
              <w:t>16 – 24 years</w:t>
            </w:r>
          </w:p>
        </w:tc>
        <w:tc>
          <w:tcPr>
            <w:tcW w:w="1523" w:type="dxa"/>
            <w:noWrap/>
            <w:vAlign w:val="bottom"/>
          </w:tcPr>
          <w:p w14:paraId="36AD68BA" w14:textId="3E3A65C2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21,714</w:t>
            </w:r>
          </w:p>
        </w:tc>
        <w:tc>
          <w:tcPr>
            <w:tcW w:w="1524" w:type="dxa"/>
            <w:noWrap/>
            <w:vAlign w:val="bottom"/>
          </w:tcPr>
          <w:p w14:paraId="35976E87" w14:textId="04BAAA21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9.8%</w:t>
            </w:r>
          </w:p>
        </w:tc>
        <w:tc>
          <w:tcPr>
            <w:tcW w:w="1524" w:type="dxa"/>
            <w:noWrap/>
            <w:vAlign w:val="bottom"/>
          </w:tcPr>
          <w:p w14:paraId="0D780B69" w14:textId="6AF77353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197,651</w:t>
            </w:r>
          </w:p>
        </w:tc>
        <w:tc>
          <w:tcPr>
            <w:tcW w:w="1524" w:type="dxa"/>
            <w:noWrap/>
            <w:vAlign w:val="bottom"/>
          </w:tcPr>
          <w:p w14:paraId="515A70DE" w14:textId="2E62C6D8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10.3%</w:t>
            </w:r>
          </w:p>
        </w:tc>
      </w:tr>
      <w:tr w:rsidR="00FB3181" w:rsidRPr="00FB3181" w14:paraId="00D49525" w14:textId="77777777" w:rsidTr="00A80F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9623370" w14:textId="77777777" w:rsidR="00FB3181" w:rsidRPr="00FB3181" w:rsidRDefault="00FB3181" w:rsidP="00FB3181">
            <w:pPr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FB3181">
              <w:rPr>
                <w:rFonts w:ascii="Calibri" w:eastAsia="Times New Roman" w:hAnsi="Calibri" w:cs="Calibri"/>
                <w:lang w:eastAsia="en-GB"/>
              </w:rPr>
              <w:t>25 – 49 years</w:t>
            </w:r>
          </w:p>
        </w:tc>
        <w:tc>
          <w:tcPr>
            <w:tcW w:w="1523" w:type="dxa"/>
            <w:noWrap/>
            <w:vAlign w:val="bottom"/>
          </w:tcPr>
          <w:p w14:paraId="175C02CB" w14:textId="429A15FC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72,122</w:t>
            </w:r>
          </w:p>
        </w:tc>
        <w:tc>
          <w:tcPr>
            <w:tcW w:w="1524" w:type="dxa"/>
            <w:noWrap/>
            <w:vAlign w:val="bottom"/>
          </w:tcPr>
          <w:p w14:paraId="3FE3D494" w14:textId="355CA3C1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32.5%</w:t>
            </w:r>
          </w:p>
        </w:tc>
        <w:tc>
          <w:tcPr>
            <w:tcW w:w="1524" w:type="dxa"/>
            <w:noWrap/>
            <w:vAlign w:val="bottom"/>
          </w:tcPr>
          <w:p w14:paraId="225EF966" w14:textId="0FFD38DD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614,615</w:t>
            </w:r>
          </w:p>
        </w:tc>
        <w:tc>
          <w:tcPr>
            <w:tcW w:w="1524" w:type="dxa"/>
            <w:noWrap/>
            <w:vAlign w:val="bottom"/>
          </w:tcPr>
          <w:p w14:paraId="30928A68" w14:textId="11E3B9A9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32.0%</w:t>
            </w:r>
          </w:p>
        </w:tc>
      </w:tr>
      <w:tr w:rsidR="00FB3181" w:rsidRPr="00FB3181" w14:paraId="557F6CB0" w14:textId="77777777" w:rsidTr="00A80F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66A6C5A" w14:textId="77777777" w:rsidR="00FB3181" w:rsidRPr="00FB3181" w:rsidRDefault="00FB3181" w:rsidP="00FB3181">
            <w:pPr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FB3181">
              <w:rPr>
                <w:rFonts w:ascii="Calibri" w:eastAsia="Times New Roman" w:hAnsi="Calibri" w:cs="Calibri"/>
                <w:lang w:eastAsia="en-GB"/>
              </w:rPr>
              <w:t>50 – 64 years</w:t>
            </w:r>
          </w:p>
        </w:tc>
        <w:tc>
          <w:tcPr>
            <w:tcW w:w="1523" w:type="dxa"/>
            <w:noWrap/>
            <w:vAlign w:val="bottom"/>
          </w:tcPr>
          <w:p w14:paraId="6BCBB693" w14:textId="4E4F622D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42,617</w:t>
            </w:r>
          </w:p>
        </w:tc>
        <w:tc>
          <w:tcPr>
            <w:tcW w:w="1524" w:type="dxa"/>
            <w:noWrap/>
            <w:vAlign w:val="bottom"/>
          </w:tcPr>
          <w:p w14:paraId="012810C7" w14:textId="1252EBE0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19.2%</w:t>
            </w:r>
          </w:p>
        </w:tc>
        <w:tc>
          <w:tcPr>
            <w:tcW w:w="1524" w:type="dxa"/>
            <w:noWrap/>
            <w:vAlign w:val="bottom"/>
          </w:tcPr>
          <w:p w14:paraId="79186101" w14:textId="4ADE3AA6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377,415</w:t>
            </w:r>
          </w:p>
        </w:tc>
        <w:tc>
          <w:tcPr>
            <w:tcW w:w="1524" w:type="dxa"/>
            <w:noWrap/>
            <w:vAlign w:val="bottom"/>
          </w:tcPr>
          <w:p w14:paraId="374E64D7" w14:textId="30ECD666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19.7%</w:t>
            </w:r>
          </w:p>
        </w:tc>
      </w:tr>
      <w:tr w:rsidR="00FB3181" w:rsidRPr="00FB3181" w14:paraId="1C1E2AC8" w14:textId="77777777" w:rsidTr="00A80F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4797AF3" w14:textId="77777777" w:rsidR="00FB3181" w:rsidRPr="00FB3181" w:rsidRDefault="00FB3181" w:rsidP="00FB3181">
            <w:pPr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FB3181">
              <w:rPr>
                <w:rFonts w:ascii="Calibri" w:eastAsia="Times New Roman" w:hAnsi="Calibri" w:cs="Calibri"/>
                <w:lang w:eastAsia="en-GB"/>
              </w:rPr>
              <w:t>65 and over</w:t>
            </w:r>
          </w:p>
        </w:tc>
        <w:tc>
          <w:tcPr>
            <w:tcW w:w="1523" w:type="dxa"/>
            <w:noWrap/>
            <w:vAlign w:val="bottom"/>
          </w:tcPr>
          <w:p w14:paraId="136E7C0B" w14:textId="0DDBB496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36,938</w:t>
            </w:r>
          </w:p>
        </w:tc>
        <w:tc>
          <w:tcPr>
            <w:tcW w:w="1524" w:type="dxa"/>
            <w:noWrap/>
            <w:vAlign w:val="bottom"/>
          </w:tcPr>
          <w:p w14:paraId="10997B94" w14:textId="0F599C4C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16.7%</w:t>
            </w:r>
          </w:p>
        </w:tc>
        <w:tc>
          <w:tcPr>
            <w:tcW w:w="1524" w:type="dxa"/>
            <w:noWrap/>
            <w:vAlign w:val="bottom"/>
          </w:tcPr>
          <w:p w14:paraId="6B269E7A" w14:textId="20F586D4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342,482</w:t>
            </w:r>
          </w:p>
        </w:tc>
        <w:tc>
          <w:tcPr>
            <w:tcW w:w="1524" w:type="dxa"/>
            <w:noWrap/>
            <w:vAlign w:val="bottom"/>
          </w:tcPr>
          <w:p w14:paraId="439A93A0" w14:textId="35A5A099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color w:val="000000"/>
              </w:rPr>
              <w:t>17.8%</w:t>
            </w:r>
          </w:p>
        </w:tc>
      </w:tr>
      <w:tr w:rsidR="00FB3181" w:rsidRPr="00FB3181" w14:paraId="19382538" w14:textId="77777777" w:rsidTr="000034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C5C0356" w14:textId="77777777" w:rsidR="00FB3181" w:rsidRPr="00FB3181" w:rsidRDefault="00FB3181" w:rsidP="00FB3181">
            <w:pPr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FB3181">
              <w:rPr>
                <w:rFonts w:ascii="Calibri" w:eastAsia="Times New Roman" w:hAnsi="Calibri" w:cs="Calibri"/>
                <w:lang w:eastAsia="en-GB"/>
              </w:rPr>
              <w:t xml:space="preserve">Total </w:t>
            </w:r>
          </w:p>
        </w:tc>
        <w:tc>
          <w:tcPr>
            <w:tcW w:w="3047" w:type="dxa"/>
            <w:gridSpan w:val="2"/>
            <w:noWrap/>
            <w:vAlign w:val="bottom"/>
          </w:tcPr>
          <w:p w14:paraId="6606AEA0" w14:textId="6E112897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b/>
                <w:bCs/>
                <w:color w:val="000000"/>
              </w:rPr>
              <w:t>221,754</w:t>
            </w:r>
          </w:p>
        </w:tc>
        <w:tc>
          <w:tcPr>
            <w:tcW w:w="3048" w:type="dxa"/>
            <w:gridSpan w:val="2"/>
            <w:noWrap/>
            <w:vAlign w:val="bottom"/>
          </w:tcPr>
          <w:p w14:paraId="4D3F8758" w14:textId="2B7D1D83" w:rsidR="00FB3181" w:rsidRPr="00FB3181" w:rsidRDefault="00FB3181" w:rsidP="00FB31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B3181">
              <w:rPr>
                <w:rFonts w:ascii="Calibri" w:hAnsi="Calibri" w:cs="Calibri"/>
                <w:b/>
                <w:bCs/>
                <w:color w:val="000000"/>
              </w:rPr>
              <w:t>1,920,382</w:t>
            </w:r>
          </w:p>
        </w:tc>
      </w:tr>
    </w:tbl>
    <w:p w14:paraId="451EF824" w14:textId="7018913C" w:rsidR="00AF71E8" w:rsidRDefault="008B7C8F" w:rsidP="003A7285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1: Age profile of</w:t>
      </w:r>
      <w:r w:rsidR="00BC187D">
        <w:rPr>
          <w:i/>
          <w:sz w:val="20"/>
          <w:szCs w:val="20"/>
        </w:rPr>
        <w:t xml:space="preserve"> Armagh City, Banbridge and Craigavon</w:t>
      </w:r>
      <w:r>
        <w:rPr>
          <w:i/>
          <w:sz w:val="20"/>
          <w:szCs w:val="20"/>
        </w:rPr>
        <w:t xml:space="preserve"> Borough</w:t>
      </w:r>
      <w:r w:rsidR="00BC187D">
        <w:rPr>
          <w:i/>
          <w:sz w:val="20"/>
          <w:szCs w:val="20"/>
        </w:rPr>
        <w:t xml:space="preserve"> and Northern Ireland </w:t>
      </w:r>
      <w:proofErr w:type="gramStart"/>
      <w:r w:rsidR="00BC187D">
        <w:rPr>
          <w:i/>
          <w:sz w:val="20"/>
          <w:szCs w:val="20"/>
        </w:rPr>
        <w:t>at</w:t>
      </w:r>
      <w:proofErr w:type="gramEnd"/>
      <w:r w:rsidR="00BC187D">
        <w:rPr>
          <w:i/>
          <w:sz w:val="20"/>
          <w:szCs w:val="20"/>
        </w:rPr>
        <w:t xml:space="preserve"> 30</w:t>
      </w:r>
      <w:r w:rsidR="00BC187D" w:rsidRPr="00BC187D">
        <w:rPr>
          <w:i/>
          <w:sz w:val="20"/>
          <w:szCs w:val="20"/>
          <w:vertAlign w:val="superscript"/>
        </w:rPr>
        <w:t>th</w:t>
      </w:r>
      <w:r w:rsidR="00BC187D">
        <w:rPr>
          <w:i/>
          <w:sz w:val="20"/>
          <w:szCs w:val="20"/>
        </w:rPr>
        <w:t xml:space="preserve"> June 20</w:t>
      </w:r>
      <w:r w:rsidR="00C641B1">
        <w:rPr>
          <w:i/>
          <w:sz w:val="20"/>
          <w:szCs w:val="20"/>
        </w:rPr>
        <w:t>2</w:t>
      </w:r>
      <w:r w:rsidR="00FB3181">
        <w:rPr>
          <w:i/>
          <w:sz w:val="20"/>
          <w:szCs w:val="20"/>
        </w:rPr>
        <w:t>3</w:t>
      </w:r>
      <w:r w:rsidR="00BC187D">
        <w:rPr>
          <w:i/>
          <w:sz w:val="20"/>
          <w:szCs w:val="20"/>
        </w:rPr>
        <w:t xml:space="preserve">. </w:t>
      </w:r>
      <w:r w:rsidR="009B4079" w:rsidRPr="002A2185">
        <w:rPr>
          <w:i/>
          <w:sz w:val="20"/>
          <w:szCs w:val="20"/>
        </w:rPr>
        <w:t>Source:</w:t>
      </w:r>
      <w:r w:rsidR="009B4079">
        <w:rPr>
          <w:i/>
          <w:sz w:val="20"/>
          <w:szCs w:val="20"/>
        </w:rPr>
        <w:t xml:space="preserve"> </w:t>
      </w:r>
      <w:r w:rsidR="00BC187D">
        <w:rPr>
          <w:i/>
          <w:sz w:val="20"/>
          <w:szCs w:val="20"/>
        </w:rPr>
        <w:t>20</w:t>
      </w:r>
      <w:r w:rsidR="00C641B1">
        <w:rPr>
          <w:i/>
          <w:sz w:val="20"/>
          <w:szCs w:val="20"/>
        </w:rPr>
        <w:t>2</w:t>
      </w:r>
      <w:r w:rsidR="00FB3181">
        <w:rPr>
          <w:i/>
          <w:sz w:val="20"/>
          <w:szCs w:val="20"/>
        </w:rPr>
        <w:t>3</w:t>
      </w:r>
      <w:r w:rsidR="00BC187D">
        <w:rPr>
          <w:i/>
          <w:sz w:val="20"/>
          <w:szCs w:val="20"/>
        </w:rPr>
        <w:t xml:space="preserve"> Mid-Year Population Estimates,</w:t>
      </w:r>
      <w:r w:rsidR="00BC187D" w:rsidRPr="002A2185">
        <w:rPr>
          <w:i/>
          <w:sz w:val="20"/>
          <w:szCs w:val="20"/>
        </w:rPr>
        <w:t xml:space="preserve"> </w:t>
      </w:r>
      <w:r w:rsidR="009B4079">
        <w:rPr>
          <w:i/>
          <w:sz w:val="20"/>
          <w:szCs w:val="20"/>
        </w:rPr>
        <w:t>NISRA</w:t>
      </w:r>
      <w:r w:rsidR="009B4079" w:rsidRPr="002A2185">
        <w:rPr>
          <w:i/>
          <w:sz w:val="20"/>
          <w:szCs w:val="20"/>
        </w:rPr>
        <w:t>.</w:t>
      </w:r>
    </w:p>
    <w:p w14:paraId="3CFDAC91" w14:textId="77777777" w:rsidR="00AF71E8" w:rsidRDefault="00AF71E8" w:rsidP="003A7285">
      <w:pPr>
        <w:rPr>
          <w:i/>
          <w:sz w:val="20"/>
          <w:szCs w:val="20"/>
        </w:rPr>
      </w:pPr>
    </w:p>
    <w:p w14:paraId="516CF80C" w14:textId="093CB088" w:rsidR="003A7285" w:rsidRPr="00AE4700" w:rsidRDefault="00AF71E8" w:rsidP="003A7285">
      <w:r>
        <w:rPr>
          <w:noProof/>
        </w:rPr>
        <w:drawing>
          <wp:inline distT="0" distB="0" distL="0" distR="0" wp14:anchorId="56756361" wp14:editId="360B3E95">
            <wp:extent cx="5731510" cy="3019425"/>
            <wp:effectExtent l="0" t="0" r="2540" b="9525"/>
            <wp:docPr id="14666035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CAC0948-3285-DC2B-1650-2ADB174FC4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3A7285" w:rsidRPr="0081498E">
        <w:rPr>
          <w:i/>
          <w:sz w:val="20"/>
          <w:szCs w:val="20"/>
        </w:rPr>
        <w:t>Figure 1</w:t>
      </w:r>
      <w:r w:rsidR="008B7C8F" w:rsidRPr="0081498E">
        <w:rPr>
          <w:i/>
          <w:sz w:val="20"/>
          <w:szCs w:val="20"/>
        </w:rPr>
        <w:t xml:space="preserve">: </w:t>
      </w:r>
      <w:r w:rsidR="003A7285" w:rsidRPr="0081498E">
        <w:rPr>
          <w:i/>
          <w:sz w:val="20"/>
          <w:szCs w:val="20"/>
        </w:rPr>
        <w:t xml:space="preserve"> </w:t>
      </w:r>
      <w:r w:rsidR="008B7C8F" w:rsidRPr="0081498E">
        <w:rPr>
          <w:i/>
          <w:sz w:val="20"/>
          <w:szCs w:val="20"/>
        </w:rPr>
        <w:t>Age profile of</w:t>
      </w:r>
      <w:r w:rsidR="00BC187D">
        <w:rPr>
          <w:i/>
          <w:sz w:val="20"/>
          <w:szCs w:val="20"/>
        </w:rPr>
        <w:t xml:space="preserve"> Armagh City, Banbridge and Craigavon</w:t>
      </w:r>
      <w:r w:rsidR="008B7C8F">
        <w:rPr>
          <w:i/>
          <w:sz w:val="20"/>
          <w:szCs w:val="20"/>
        </w:rPr>
        <w:t xml:space="preserve"> Borough</w:t>
      </w:r>
      <w:r w:rsidR="00BC187D">
        <w:rPr>
          <w:i/>
          <w:sz w:val="20"/>
          <w:szCs w:val="20"/>
        </w:rPr>
        <w:t xml:space="preserve"> and Northern Ireland </w:t>
      </w:r>
      <w:proofErr w:type="gramStart"/>
      <w:r w:rsidR="00BC187D">
        <w:rPr>
          <w:i/>
          <w:sz w:val="20"/>
          <w:szCs w:val="20"/>
        </w:rPr>
        <w:t>at</w:t>
      </w:r>
      <w:proofErr w:type="gramEnd"/>
      <w:r w:rsidR="00BC187D">
        <w:rPr>
          <w:i/>
          <w:sz w:val="20"/>
          <w:szCs w:val="20"/>
        </w:rPr>
        <w:t xml:space="preserve"> 30</w:t>
      </w:r>
      <w:r w:rsidR="00BC187D" w:rsidRPr="00BC187D">
        <w:rPr>
          <w:i/>
          <w:sz w:val="20"/>
          <w:szCs w:val="20"/>
          <w:vertAlign w:val="superscript"/>
        </w:rPr>
        <w:t>th</w:t>
      </w:r>
      <w:r w:rsidR="00CE1CA9">
        <w:rPr>
          <w:i/>
          <w:sz w:val="20"/>
          <w:szCs w:val="20"/>
        </w:rPr>
        <w:t xml:space="preserve"> June 202</w:t>
      </w:r>
      <w:r>
        <w:rPr>
          <w:i/>
          <w:sz w:val="20"/>
          <w:szCs w:val="20"/>
        </w:rPr>
        <w:t>3</w:t>
      </w:r>
      <w:r w:rsidR="00BC187D">
        <w:rPr>
          <w:i/>
          <w:sz w:val="20"/>
          <w:szCs w:val="20"/>
        </w:rPr>
        <w:t xml:space="preserve">. </w:t>
      </w:r>
      <w:r w:rsidR="00BC187D" w:rsidRPr="002A2185">
        <w:rPr>
          <w:i/>
          <w:sz w:val="20"/>
          <w:szCs w:val="20"/>
        </w:rPr>
        <w:t>Source:</w:t>
      </w:r>
      <w:r w:rsidR="00CE1CA9">
        <w:rPr>
          <w:i/>
          <w:sz w:val="20"/>
          <w:szCs w:val="20"/>
        </w:rPr>
        <w:t xml:space="preserve"> 202</w:t>
      </w:r>
      <w:r>
        <w:rPr>
          <w:i/>
          <w:sz w:val="20"/>
          <w:szCs w:val="20"/>
        </w:rPr>
        <w:t>3</w:t>
      </w:r>
      <w:r w:rsidR="00BC187D">
        <w:rPr>
          <w:i/>
          <w:sz w:val="20"/>
          <w:szCs w:val="20"/>
        </w:rPr>
        <w:t xml:space="preserve"> Mid-Year Population Estimates,</w:t>
      </w:r>
      <w:r w:rsidR="00BC187D" w:rsidRPr="002A2185">
        <w:rPr>
          <w:i/>
          <w:sz w:val="20"/>
          <w:szCs w:val="20"/>
        </w:rPr>
        <w:t xml:space="preserve"> </w:t>
      </w:r>
      <w:r w:rsidR="00BC187D">
        <w:rPr>
          <w:i/>
          <w:sz w:val="20"/>
          <w:szCs w:val="20"/>
        </w:rPr>
        <w:t>NISRA</w:t>
      </w:r>
      <w:r w:rsidR="00BC187D" w:rsidRPr="002A2185">
        <w:rPr>
          <w:i/>
          <w:sz w:val="20"/>
          <w:szCs w:val="20"/>
        </w:rPr>
        <w:t>.</w:t>
      </w:r>
    </w:p>
    <w:p w14:paraId="5C74D294" w14:textId="77777777" w:rsidR="003A7285" w:rsidRDefault="003A7285"/>
    <w:p w14:paraId="08BF5907" w14:textId="600006B4" w:rsidR="009B4079" w:rsidRDefault="00AF71E8">
      <w:r>
        <w:t>Just under 22</w:t>
      </w:r>
      <w:r w:rsidR="009B4079">
        <w:t>% of the borough’s population are aged under 16, compared with</w:t>
      </w:r>
      <w:r w:rsidR="004E5D0E">
        <w:t xml:space="preserve"> </w:t>
      </w:r>
      <w:r>
        <w:t>approximately 20</w:t>
      </w:r>
      <w:r w:rsidR="00D96E5B">
        <w:t>% in N</w:t>
      </w:r>
      <w:r w:rsidR="00C03C6D">
        <w:t xml:space="preserve">orthern Ireland as a whole. </w:t>
      </w:r>
      <w:r w:rsidR="004E5D0E">
        <w:t>16.</w:t>
      </w:r>
      <w:r>
        <w:t>7</w:t>
      </w:r>
      <w:r w:rsidR="00D96E5B">
        <w:t>% of the borough’s population are aged</w:t>
      </w:r>
      <w:r w:rsidR="00C03C6D">
        <w:t xml:space="preserve"> 65 and over, compared with </w:t>
      </w:r>
      <w:r w:rsidR="004E5D0E">
        <w:t>17.</w:t>
      </w:r>
      <w:r>
        <w:t>8</w:t>
      </w:r>
      <w:r w:rsidR="00D96E5B">
        <w:t>% in Northern Ireland as a whole.</w:t>
      </w:r>
    </w:p>
    <w:p w14:paraId="2FC70C2E" w14:textId="75F04F72" w:rsidR="009B4079" w:rsidRPr="00EB2A1E" w:rsidRDefault="00C411C5">
      <w:r>
        <w:t>Between 201</w:t>
      </w:r>
      <w:r w:rsidR="006D12C8">
        <w:t>3</w:t>
      </w:r>
      <w:r>
        <w:t xml:space="preserve"> and 202</w:t>
      </w:r>
      <w:r w:rsidR="006D12C8">
        <w:t>3</w:t>
      </w:r>
      <w:r w:rsidR="00D96E5B">
        <w:t xml:space="preserve"> the population of Armagh City, Banbridge and Craig</w:t>
      </w:r>
      <w:r w:rsidR="008F56A3">
        <w:t xml:space="preserve">avon Borough increased by </w:t>
      </w:r>
      <w:r w:rsidR="005D5E99">
        <w:t>17,</w:t>
      </w:r>
      <w:r w:rsidR="006D12C8">
        <w:t>682</w:t>
      </w:r>
      <w:r w:rsidR="00D96E5B">
        <w:t xml:space="preserve"> peo</w:t>
      </w:r>
      <w:r w:rsidR="008F56A3">
        <w:t>ple (</w:t>
      </w:r>
      <w:r w:rsidR="005D5E99">
        <w:t>8.7</w:t>
      </w:r>
      <w:r w:rsidR="00D96E5B">
        <w:t xml:space="preserve">%). This was almost </w:t>
      </w:r>
      <w:r w:rsidR="006D12C8">
        <w:t xml:space="preserve">4 percentage points more than the percentage </w:t>
      </w:r>
      <w:r w:rsidR="00D96E5B">
        <w:t xml:space="preserve">increase for </w:t>
      </w:r>
      <w:r w:rsidR="00D96E5B">
        <w:lastRenderedPageBreak/>
        <w:t xml:space="preserve">Northern Ireland </w:t>
      </w:r>
      <w:proofErr w:type="gramStart"/>
      <w:r w:rsidR="00262C76">
        <w:t xml:space="preserve">as a whole </w:t>
      </w:r>
      <w:r w:rsidR="005D5E99">
        <w:t>over</w:t>
      </w:r>
      <w:proofErr w:type="gramEnd"/>
      <w:r w:rsidR="005D5E99">
        <w:t xml:space="preserve"> the same period (4.</w:t>
      </w:r>
      <w:r w:rsidR="006D12C8">
        <w:t>8</w:t>
      </w:r>
      <w:r w:rsidR="00D96E5B">
        <w:t xml:space="preserve">%). </w:t>
      </w:r>
      <w:r w:rsidR="00A65E19" w:rsidRPr="00EB2A1E">
        <w:t>The largest percentage increase was shown in the</w:t>
      </w:r>
      <w:r w:rsidR="00F8015E" w:rsidRPr="00EB2A1E">
        <w:t xml:space="preserve"> aged 65 and ov</w:t>
      </w:r>
      <w:r w:rsidR="008F56A3" w:rsidRPr="00EB2A1E">
        <w:t xml:space="preserve">er group which increased by </w:t>
      </w:r>
      <w:r w:rsidR="006D12C8">
        <w:t>24.9</w:t>
      </w:r>
      <w:r w:rsidR="008F56A3" w:rsidRPr="00EB2A1E">
        <w:t>% (7,</w:t>
      </w:r>
      <w:r w:rsidR="006D12C8">
        <w:t>363</w:t>
      </w:r>
      <w:r w:rsidR="00F8015E" w:rsidRPr="00EB2A1E">
        <w:t xml:space="preserve"> people). The only age group</w:t>
      </w:r>
      <w:r w:rsidR="008B7C8F" w:rsidRPr="00EB2A1E">
        <w:t xml:space="preserve"> in the borough</w:t>
      </w:r>
      <w:r w:rsidR="00F8015E" w:rsidRPr="00EB2A1E">
        <w:t xml:space="preserve"> to show a decrease in population were those aged 16 to 24 years old</w:t>
      </w:r>
      <w:r w:rsidRPr="00EB2A1E">
        <w:t xml:space="preserve"> where the total number decreased by </w:t>
      </w:r>
      <w:r w:rsidR="006D12C8">
        <w:t>1,387</w:t>
      </w:r>
      <w:r w:rsidR="007D4AAB" w:rsidRPr="00EB2A1E">
        <w:t xml:space="preserve"> (</w:t>
      </w:r>
      <w:r w:rsidR="006D12C8">
        <w:t>-6</w:t>
      </w:r>
      <w:r w:rsidR="007D4AAB" w:rsidRPr="00EB2A1E">
        <w:t>%)</w:t>
      </w:r>
      <w:r w:rsidR="00F8015E" w:rsidRPr="00EB2A1E"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Age Profile of Armagh City, Banbridge and Craigavon Borough at 2010 and 2020."/>
        <w:tblDescription w:val="Table shows the % change in the age groups between 2010 and 2020 in Armagh City, Banbridge and Craigavon Borough.  The percentage change in age groups is as follows: 0-15 increase of 11.2%; 16-24 decrease of 11.5%; 25-49 increase of 2.1%; 50-64 increase of 25.3%; and 65 and over increase of 26.2%."/>
      </w:tblPr>
      <w:tblGrid>
        <w:gridCol w:w="1803"/>
        <w:gridCol w:w="1803"/>
        <w:gridCol w:w="1803"/>
        <w:gridCol w:w="1803"/>
        <w:gridCol w:w="1804"/>
      </w:tblGrid>
      <w:tr w:rsidR="006D12C8" w:rsidRPr="006D12C8" w14:paraId="01D18FF2" w14:textId="77777777" w:rsidTr="00205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22B01C1" w14:textId="77777777" w:rsidR="006D12C8" w:rsidRPr="006D12C8" w:rsidRDefault="006D12C8" w:rsidP="006D12C8">
            <w:pPr>
              <w:rPr>
                <w:rFonts w:eastAsia="Times New Roman" w:cstheme="minorHAnsi"/>
                <w:b w:val="0"/>
                <w:bCs w:val="0"/>
                <w:color w:val="000000"/>
                <w:lang w:eastAsia="en-GB"/>
              </w:rPr>
            </w:pPr>
            <w:r w:rsidRPr="006D12C8">
              <w:rPr>
                <w:rFonts w:eastAsia="Times New Roman" w:cstheme="minorHAnsi"/>
                <w:color w:val="000000"/>
                <w:lang w:eastAsia="en-GB"/>
              </w:rPr>
              <w:t>Age Group</w:t>
            </w:r>
          </w:p>
        </w:tc>
        <w:tc>
          <w:tcPr>
            <w:tcW w:w="1803" w:type="dxa"/>
            <w:vAlign w:val="bottom"/>
          </w:tcPr>
          <w:p w14:paraId="46EEEFB4" w14:textId="215C0FCE" w:rsidR="006D12C8" w:rsidRPr="006D12C8" w:rsidRDefault="006D12C8" w:rsidP="006D12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1803" w:type="dxa"/>
            <w:vAlign w:val="bottom"/>
          </w:tcPr>
          <w:p w14:paraId="576E94C6" w14:textId="4CD3AA23" w:rsidR="006D12C8" w:rsidRPr="006D12C8" w:rsidRDefault="006D12C8" w:rsidP="006D12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803" w:type="dxa"/>
            <w:vAlign w:val="bottom"/>
          </w:tcPr>
          <w:p w14:paraId="484E4C3E" w14:textId="0D3F2807" w:rsidR="006D12C8" w:rsidRPr="006D12C8" w:rsidRDefault="006D12C8" w:rsidP="006D12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Change</w:t>
            </w:r>
          </w:p>
        </w:tc>
        <w:tc>
          <w:tcPr>
            <w:tcW w:w="1804" w:type="dxa"/>
            <w:vAlign w:val="bottom"/>
          </w:tcPr>
          <w:p w14:paraId="7ECFB7F8" w14:textId="5A6B2550" w:rsidR="006D12C8" w:rsidRPr="006D12C8" w:rsidRDefault="006D12C8" w:rsidP="006D12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% Change</w:t>
            </w:r>
          </w:p>
        </w:tc>
      </w:tr>
      <w:tr w:rsidR="006D12C8" w:rsidRPr="006D12C8" w14:paraId="1F4CB4B6" w14:textId="77777777" w:rsidTr="00205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5F8BEB4A" w14:textId="77777777" w:rsidR="006D12C8" w:rsidRPr="006D12C8" w:rsidRDefault="006D12C8" w:rsidP="006D12C8">
            <w:pPr>
              <w:rPr>
                <w:rFonts w:eastAsia="Times New Roman" w:cstheme="minorHAnsi"/>
                <w:b w:val="0"/>
                <w:bCs w:val="0"/>
                <w:color w:val="000000"/>
                <w:lang w:eastAsia="en-GB"/>
              </w:rPr>
            </w:pPr>
            <w:r w:rsidRPr="006D12C8">
              <w:rPr>
                <w:rFonts w:eastAsia="Times New Roman" w:cstheme="minorHAnsi"/>
                <w:color w:val="000000"/>
                <w:lang w:eastAsia="en-GB"/>
              </w:rPr>
              <w:t>0 – 15 years</w:t>
            </w:r>
          </w:p>
        </w:tc>
        <w:tc>
          <w:tcPr>
            <w:tcW w:w="1803" w:type="dxa"/>
            <w:vAlign w:val="bottom"/>
          </w:tcPr>
          <w:p w14:paraId="15CE4E74" w14:textId="57BD6B54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45,291</w:t>
            </w:r>
          </w:p>
        </w:tc>
        <w:tc>
          <w:tcPr>
            <w:tcW w:w="1803" w:type="dxa"/>
            <w:vAlign w:val="bottom"/>
          </w:tcPr>
          <w:p w14:paraId="26A47715" w14:textId="4C7C130A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48,363</w:t>
            </w:r>
          </w:p>
        </w:tc>
        <w:tc>
          <w:tcPr>
            <w:tcW w:w="1803" w:type="dxa"/>
            <w:vAlign w:val="bottom"/>
          </w:tcPr>
          <w:p w14:paraId="0E792A49" w14:textId="63D800D1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3,072</w:t>
            </w:r>
          </w:p>
        </w:tc>
        <w:tc>
          <w:tcPr>
            <w:tcW w:w="1804" w:type="dxa"/>
            <w:vAlign w:val="bottom"/>
          </w:tcPr>
          <w:p w14:paraId="5957FB33" w14:textId="6A9F1147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6.8%</w:t>
            </w:r>
          </w:p>
        </w:tc>
      </w:tr>
      <w:tr w:rsidR="006D12C8" w:rsidRPr="006D12C8" w14:paraId="7B80B957" w14:textId="77777777" w:rsidTr="00205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5CBD7425" w14:textId="77777777" w:rsidR="006D12C8" w:rsidRPr="006D12C8" w:rsidRDefault="006D12C8" w:rsidP="006D12C8">
            <w:pPr>
              <w:rPr>
                <w:rFonts w:eastAsia="Times New Roman" w:cstheme="minorHAnsi"/>
                <w:b w:val="0"/>
                <w:bCs w:val="0"/>
                <w:color w:val="000000"/>
                <w:lang w:eastAsia="en-GB"/>
              </w:rPr>
            </w:pPr>
            <w:r w:rsidRPr="006D12C8">
              <w:rPr>
                <w:rFonts w:eastAsia="Times New Roman" w:cstheme="minorHAnsi"/>
                <w:color w:val="000000"/>
                <w:lang w:eastAsia="en-GB"/>
              </w:rPr>
              <w:t>16 – 24 years</w:t>
            </w:r>
          </w:p>
        </w:tc>
        <w:tc>
          <w:tcPr>
            <w:tcW w:w="1803" w:type="dxa"/>
            <w:vAlign w:val="bottom"/>
          </w:tcPr>
          <w:p w14:paraId="6B1D9AF6" w14:textId="4A6C984F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23,101</w:t>
            </w:r>
          </w:p>
        </w:tc>
        <w:tc>
          <w:tcPr>
            <w:tcW w:w="1803" w:type="dxa"/>
            <w:vAlign w:val="bottom"/>
          </w:tcPr>
          <w:p w14:paraId="69CEC24E" w14:textId="20A94853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21,714</w:t>
            </w:r>
          </w:p>
        </w:tc>
        <w:tc>
          <w:tcPr>
            <w:tcW w:w="1803" w:type="dxa"/>
            <w:vAlign w:val="bottom"/>
          </w:tcPr>
          <w:p w14:paraId="3C011CC1" w14:textId="07F1557D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-1,387</w:t>
            </w:r>
          </w:p>
        </w:tc>
        <w:tc>
          <w:tcPr>
            <w:tcW w:w="1804" w:type="dxa"/>
            <w:vAlign w:val="bottom"/>
          </w:tcPr>
          <w:p w14:paraId="11B8D99B" w14:textId="732A8922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-6.0%</w:t>
            </w:r>
          </w:p>
        </w:tc>
      </w:tr>
      <w:tr w:rsidR="006D12C8" w:rsidRPr="006D12C8" w14:paraId="23DFCA6A" w14:textId="77777777" w:rsidTr="00205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4533AFD" w14:textId="77777777" w:rsidR="006D12C8" w:rsidRPr="006D12C8" w:rsidRDefault="006D12C8" w:rsidP="006D12C8">
            <w:pPr>
              <w:rPr>
                <w:rFonts w:eastAsia="Times New Roman" w:cstheme="minorHAnsi"/>
                <w:b w:val="0"/>
                <w:bCs w:val="0"/>
                <w:color w:val="000000"/>
                <w:lang w:eastAsia="en-GB"/>
              </w:rPr>
            </w:pPr>
            <w:r w:rsidRPr="006D12C8">
              <w:rPr>
                <w:rFonts w:eastAsia="Times New Roman" w:cstheme="minorHAnsi"/>
                <w:color w:val="000000"/>
                <w:lang w:eastAsia="en-GB"/>
              </w:rPr>
              <w:t>25 – 49 years</w:t>
            </w:r>
          </w:p>
        </w:tc>
        <w:tc>
          <w:tcPr>
            <w:tcW w:w="1803" w:type="dxa"/>
            <w:vAlign w:val="bottom"/>
          </w:tcPr>
          <w:p w14:paraId="580AC377" w14:textId="2ABE231C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71,399</w:t>
            </w:r>
          </w:p>
        </w:tc>
        <w:tc>
          <w:tcPr>
            <w:tcW w:w="1803" w:type="dxa"/>
            <w:vAlign w:val="bottom"/>
          </w:tcPr>
          <w:p w14:paraId="2FF997FB" w14:textId="0316080D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72,122</w:t>
            </w:r>
          </w:p>
        </w:tc>
        <w:tc>
          <w:tcPr>
            <w:tcW w:w="1803" w:type="dxa"/>
            <w:vAlign w:val="bottom"/>
          </w:tcPr>
          <w:p w14:paraId="1548334E" w14:textId="455B9F66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723</w:t>
            </w:r>
          </w:p>
        </w:tc>
        <w:tc>
          <w:tcPr>
            <w:tcW w:w="1804" w:type="dxa"/>
            <w:vAlign w:val="bottom"/>
          </w:tcPr>
          <w:p w14:paraId="0DE4F6E1" w14:textId="5B8156F7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1.0%</w:t>
            </w:r>
          </w:p>
        </w:tc>
      </w:tr>
      <w:tr w:rsidR="006D12C8" w:rsidRPr="006D12C8" w14:paraId="0F0C40F6" w14:textId="77777777" w:rsidTr="00205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5B651295" w14:textId="77777777" w:rsidR="006D12C8" w:rsidRPr="006D12C8" w:rsidRDefault="006D12C8" w:rsidP="006D12C8">
            <w:pPr>
              <w:rPr>
                <w:rFonts w:eastAsia="Times New Roman" w:cstheme="minorHAnsi"/>
                <w:b w:val="0"/>
                <w:bCs w:val="0"/>
                <w:color w:val="000000"/>
                <w:lang w:eastAsia="en-GB"/>
              </w:rPr>
            </w:pPr>
            <w:r w:rsidRPr="006D12C8">
              <w:rPr>
                <w:rFonts w:eastAsia="Times New Roman" w:cstheme="minorHAnsi"/>
                <w:color w:val="000000"/>
                <w:lang w:eastAsia="en-GB"/>
              </w:rPr>
              <w:t>50 – 64 years</w:t>
            </w:r>
          </w:p>
        </w:tc>
        <w:tc>
          <w:tcPr>
            <w:tcW w:w="1803" w:type="dxa"/>
            <w:vAlign w:val="bottom"/>
          </w:tcPr>
          <w:p w14:paraId="4F86C24F" w14:textId="655A1C34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34,706</w:t>
            </w:r>
          </w:p>
        </w:tc>
        <w:tc>
          <w:tcPr>
            <w:tcW w:w="1803" w:type="dxa"/>
            <w:vAlign w:val="bottom"/>
          </w:tcPr>
          <w:p w14:paraId="7FD924EA" w14:textId="053AB042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42,617</w:t>
            </w:r>
          </w:p>
        </w:tc>
        <w:tc>
          <w:tcPr>
            <w:tcW w:w="1803" w:type="dxa"/>
            <w:vAlign w:val="bottom"/>
          </w:tcPr>
          <w:p w14:paraId="486A2B81" w14:textId="0BD27E0A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7,911</w:t>
            </w:r>
          </w:p>
        </w:tc>
        <w:tc>
          <w:tcPr>
            <w:tcW w:w="1804" w:type="dxa"/>
            <w:vAlign w:val="bottom"/>
          </w:tcPr>
          <w:p w14:paraId="2C13CF81" w14:textId="3E106215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22.8%</w:t>
            </w:r>
          </w:p>
        </w:tc>
      </w:tr>
      <w:tr w:rsidR="006D12C8" w:rsidRPr="006D12C8" w14:paraId="39C93938" w14:textId="77777777" w:rsidTr="00205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424E093" w14:textId="77777777" w:rsidR="006D12C8" w:rsidRPr="006D12C8" w:rsidRDefault="006D12C8" w:rsidP="006D12C8">
            <w:pPr>
              <w:rPr>
                <w:rFonts w:eastAsia="Times New Roman" w:cstheme="minorHAnsi"/>
                <w:b w:val="0"/>
                <w:bCs w:val="0"/>
                <w:color w:val="000000"/>
                <w:lang w:eastAsia="en-GB"/>
              </w:rPr>
            </w:pPr>
            <w:r w:rsidRPr="006D12C8">
              <w:rPr>
                <w:rFonts w:eastAsia="Times New Roman" w:cstheme="minorHAnsi"/>
                <w:color w:val="000000"/>
                <w:lang w:eastAsia="en-GB"/>
              </w:rPr>
              <w:t>65 and over</w:t>
            </w:r>
          </w:p>
        </w:tc>
        <w:tc>
          <w:tcPr>
            <w:tcW w:w="1803" w:type="dxa"/>
            <w:vAlign w:val="bottom"/>
          </w:tcPr>
          <w:p w14:paraId="75C864FB" w14:textId="41781CD6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29,575</w:t>
            </w:r>
          </w:p>
        </w:tc>
        <w:tc>
          <w:tcPr>
            <w:tcW w:w="1803" w:type="dxa"/>
            <w:vAlign w:val="bottom"/>
          </w:tcPr>
          <w:p w14:paraId="23D6DB82" w14:textId="1A4E2376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36,938</w:t>
            </w:r>
          </w:p>
        </w:tc>
        <w:tc>
          <w:tcPr>
            <w:tcW w:w="1803" w:type="dxa"/>
            <w:vAlign w:val="bottom"/>
          </w:tcPr>
          <w:p w14:paraId="04AFDA7B" w14:textId="7058232B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7,363</w:t>
            </w:r>
          </w:p>
        </w:tc>
        <w:tc>
          <w:tcPr>
            <w:tcW w:w="1804" w:type="dxa"/>
            <w:vAlign w:val="bottom"/>
          </w:tcPr>
          <w:p w14:paraId="695D4266" w14:textId="33A62B19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24.9%</w:t>
            </w:r>
          </w:p>
        </w:tc>
      </w:tr>
      <w:tr w:rsidR="006D12C8" w:rsidRPr="006D12C8" w14:paraId="76DA00B2" w14:textId="77777777" w:rsidTr="00205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7A4DDFA" w14:textId="77777777" w:rsidR="006D12C8" w:rsidRPr="006D12C8" w:rsidRDefault="006D12C8" w:rsidP="006D12C8">
            <w:pPr>
              <w:rPr>
                <w:rFonts w:eastAsia="Times New Roman" w:cstheme="minorHAnsi"/>
                <w:b w:val="0"/>
                <w:bCs w:val="0"/>
                <w:color w:val="000000"/>
                <w:lang w:eastAsia="en-GB"/>
              </w:rPr>
            </w:pPr>
            <w:r w:rsidRPr="006D12C8">
              <w:rPr>
                <w:rFonts w:eastAsia="Times New Roman" w:cstheme="minorHAnsi"/>
                <w:color w:val="000000"/>
                <w:lang w:eastAsia="en-GB"/>
              </w:rPr>
              <w:t>Total</w:t>
            </w:r>
          </w:p>
        </w:tc>
        <w:tc>
          <w:tcPr>
            <w:tcW w:w="1803" w:type="dxa"/>
            <w:vAlign w:val="bottom"/>
          </w:tcPr>
          <w:p w14:paraId="0AE4A859" w14:textId="32D98884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204,072</w:t>
            </w:r>
          </w:p>
        </w:tc>
        <w:tc>
          <w:tcPr>
            <w:tcW w:w="1803" w:type="dxa"/>
            <w:vAlign w:val="bottom"/>
          </w:tcPr>
          <w:p w14:paraId="011B20CC" w14:textId="49428365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221,754</w:t>
            </w:r>
          </w:p>
        </w:tc>
        <w:tc>
          <w:tcPr>
            <w:tcW w:w="1803" w:type="dxa"/>
            <w:vAlign w:val="bottom"/>
          </w:tcPr>
          <w:p w14:paraId="08C5EA02" w14:textId="7AD420DB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17,682</w:t>
            </w:r>
          </w:p>
        </w:tc>
        <w:tc>
          <w:tcPr>
            <w:tcW w:w="1804" w:type="dxa"/>
            <w:vAlign w:val="bottom"/>
          </w:tcPr>
          <w:p w14:paraId="2BAF1589" w14:textId="343E74CC" w:rsidR="006D12C8" w:rsidRPr="006D12C8" w:rsidRDefault="006D12C8" w:rsidP="006D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6D12C8">
              <w:rPr>
                <w:rFonts w:ascii="Calibri" w:hAnsi="Calibri" w:cs="Calibri"/>
                <w:color w:val="000000"/>
              </w:rPr>
              <w:t>8.7%</w:t>
            </w:r>
          </w:p>
        </w:tc>
      </w:tr>
    </w:tbl>
    <w:p w14:paraId="24599FA5" w14:textId="50289F2C" w:rsidR="00F51248" w:rsidRDefault="00F51248" w:rsidP="00F51248">
      <w:pPr>
        <w:rPr>
          <w:i/>
          <w:sz w:val="20"/>
          <w:szCs w:val="20"/>
        </w:rPr>
      </w:pPr>
      <w:r w:rsidRPr="002A2185">
        <w:rPr>
          <w:i/>
          <w:sz w:val="20"/>
          <w:szCs w:val="20"/>
        </w:rPr>
        <w:t xml:space="preserve">Table </w:t>
      </w:r>
      <w:r>
        <w:rPr>
          <w:i/>
          <w:sz w:val="20"/>
          <w:szCs w:val="20"/>
        </w:rPr>
        <w:t>2</w:t>
      </w:r>
      <w:r w:rsidR="008B7C8F">
        <w:rPr>
          <w:i/>
          <w:sz w:val="20"/>
          <w:szCs w:val="20"/>
        </w:rPr>
        <w:t xml:space="preserve">: </w:t>
      </w:r>
      <w:r w:rsidR="00BC187D">
        <w:rPr>
          <w:i/>
          <w:sz w:val="20"/>
          <w:szCs w:val="20"/>
        </w:rPr>
        <w:t xml:space="preserve">Age </w:t>
      </w:r>
      <w:r w:rsidR="008B7C8F">
        <w:rPr>
          <w:i/>
          <w:sz w:val="20"/>
          <w:szCs w:val="20"/>
        </w:rPr>
        <w:t>profile of</w:t>
      </w:r>
      <w:r w:rsidR="00BC187D">
        <w:rPr>
          <w:i/>
          <w:sz w:val="20"/>
          <w:szCs w:val="20"/>
        </w:rPr>
        <w:t xml:space="preserve"> Armagh City, Banbridge and Craigavon</w:t>
      </w:r>
      <w:r w:rsidR="008B7C8F">
        <w:rPr>
          <w:i/>
          <w:sz w:val="20"/>
          <w:szCs w:val="20"/>
        </w:rPr>
        <w:t xml:space="preserve"> Borough</w:t>
      </w:r>
      <w:r w:rsidR="008F56A3">
        <w:rPr>
          <w:i/>
          <w:sz w:val="20"/>
          <w:szCs w:val="20"/>
        </w:rPr>
        <w:t xml:space="preserve"> </w:t>
      </w:r>
      <w:proofErr w:type="gramStart"/>
      <w:r w:rsidR="008F56A3">
        <w:rPr>
          <w:i/>
          <w:sz w:val="20"/>
          <w:szCs w:val="20"/>
        </w:rPr>
        <w:t>at</w:t>
      </w:r>
      <w:proofErr w:type="gramEnd"/>
      <w:r w:rsidR="008F56A3">
        <w:rPr>
          <w:i/>
          <w:sz w:val="20"/>
          <w:szCs w:val="20"/>
        </w:rPr>
        <w:t xml:space="preserve"> 20</w:t>
      </w:r>
      <w:r w:rsidR="00C411C5">
        <w:rPr>
          <w:i/>
          <w:sz w:val="20"/>
          <w:szCs w:val="20"/>
        </w:rPr>
        <w:t>1</w:t>
      </w:r>
      <w:r w:rsidR="006D12C8">
        <w:rPr>
          <w:i/>
          <w:sz w:val="20"/>
          <w:szCs w:val="20"/>
        </w:rPr>
        <w:t>3</w:t>
      </w:r>
      <w:r w:rsidR="008F56A3">
        <w:rPr>
          <w:i/>
          <w:sz w:val="20"/>
          <w:szCs w:val="20"/>
        </w:rPr>
        <w:t xml:space="preserve"> and 20</w:t>
      </w:r>
      <w:r w:rsidR="00C411C5">
        <w:rPr>
          <w:i/>
          <w:sz w:val="20"/>
          <w:szCs w:val="20"/>
        </w:rPr>
        <w:t>2</w:t>
      </w:r>
      <w:r w:rsidR="006D12C8">
        <w:rPr>
          <w:i/>
          <w:sz w:val="20"/>
          <w:szCs w:val="20"/>
        </w:rPr>
        <w:t>3</w:t>
      </w:r>
      <w:r w:rsidR="00BC187D">
        <w:rPr>
          <w:i/>
          <w:sz w:val="20"/>
          <w:szCs w:val="20"/>
        </w:rPr>
        <w:t xml:space="preserve">. </w:t>
      </w:r>
      <w:r w:rsidR="00BC187D" w:rsidRPr="002A2185">
        <w:rPr>
          <w:i/>
          <w:sz w:val="20"/>
          <w:szCs w:val="20"/>
        </w:rPr>
        <w:t>Source:</w:t>
      </w:r>
      <w:r w:rsidR="008B7C8F">
        <w:rPr>
          <w:i/>
          <w:sz w:val="20"/>
          <w:szCs w:val="20"/>
        </w:rPr>
        <w:t xml:space="preserve"> </w:t>
      </w:r>
      <w:r w:rsidR="00BC187D">
        <w:rPr>
          <w:i/>
          <w:sz w:val="20"/>
          <w:szCs w:val="20"/>
        </w:rPr>
        <w:t>Mid-Year Population Estimates,</w:t>
      </w:r>
      <w:r w:rsidR="00BC187D" w:rsidRPr="002A2185">
        <w:rPr>
          <w:i/>
          <w:sz w:val="20"/>
          <w:szCs w:val="20"/>
        </w:rPr>
        <w:t xml:space="preserve"> </w:t>
      </w:r>
      <w:r w:rsidR="00BC187D">
        <w:rPr>
          <w:i/>
          <w:sz w:val="20"/>
          <w:szCs w:val="20"/>
        </w:rPr>
        <w:t>NISRA</w:t>
      </w:r>
      <w:r w:rsidR="00BC187D" w:rsidRPr="002A2185">
        <w:rPr>
          <w:i/>
          <w:sz w:val="20"/>
          <w:szCs w:val="20"/>
        </w:rPr>
        <w:t>.</w:t>
      </w:r>
    </w:p>
    <w:p w14:paraId="1D4E3943" w14:textId="77777777" w:rsidR="00F621CA" w:rsidRDefault="00F621CA" w:rsidP="00F51248">
      <w:pPr>
        <w:rPr>
          <w:i/>
          <w:sz w:val="20"/>
          <w:szCs w:val="20"/>
        </w:rPr>
      </w:pPr>
    </w:p>
    <w:p w14:paraId="5CF77B48" w14:textId="6B253AA0" w:rsidR="003A7285" w:rsidRPr="00AE4700" w:rsidRDefault="004A5664" w:rsidP="003A7285">
      <w:r>
        <w:rPr>
          <w:noProof/>
        </w:rPr>
        <w:drawing>
          <wp:inline distT="0" distB="0" distL="0" distR="0" wp14:anchorId="19571957" wp14:editId="686CBCE2">
            <wp:extent cx="5724525" cy="3038475"/>
            <wp:effectExtent l="0" t="0" r="9525" b="9525"/>
            <wp:docPr id="2492103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3F7BF85-C51C-05A5-17D1-E52038D1EF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A7285" w:rsidRPr="0081498E">
        <w:rPr>
          <w:i/>
          <w:sz w:val="20"/>
          <w:szCs w:val="20"/>
        </w:rPr>
        <w:t>Figure 2</w:t>
      </w:r>
      <w:r w:rsidR="008B7C8F" w:rsidRPr="0081498E">
        <w:rPr>
          <w:i/>
          <w:sz w:val="20"/>
          <w:szCs w:val="20"/>
        </w:rPr>
        <w:t>: Population</w:t>
      </w:r>
      <w:r w:rsidR="008B7C8F">
        <w:rPr>
          <w:i/>
          <w:sz w:val="20"/>
          <w:szCs w:val="20"/>
        </w:rPr>
        <w:t xml:space="preserve"> e</w:t>
      </w:r>
      <w:r w:rsidR="00BC187D">
        <w:rPr>
          <w:i/>
          <w:sz w:val="20"/>
          <w:szCs w:val="20"/>
        </w:rPr>
        <w:t>stimates for Armagh City, Banbridge and Craigavon</w:t>
      </w:r>
      <w:r w:rsidR="008B7C8F">
        <w:rPr>
          <w:i/>
          <w:sz w:val="20"/>
          <w:szCs w:val="20"/>
        </w:rPr>
        <w:t xml:space="preserve"> Borough</w:t>
      </w:r>
      <w:r w:rsidR="0081498E">
        <w:rPr>
          <w:i/>
          <w:sz w:val="20"/>
          <w:szCs w:val="20"/>
        </w:rPr>
        <w:t xml:space="preserve"> 20</w:t>
      </w:r>
      <w:r w:rsidR="00F621CA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3</w:t>
      </w:r>
      <w:r w:rsidR="0081498E">
        <w:rPr>
          <w:i/>
          <w:sz w:val="20"/>
          <w:szCs w:val="20"/>
        </w:rPr>
        <w:t xml:space="preserve"> to 20</w:t>
      </w:r>
      <w:r w:rsidR="00F621CA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3</w:t>
      </w:r>
      <w:r w:rsidR="00BC187D">
        <w:rPr>
          <w:i/>
          <w:sz w:val="20"/>
          <w:szCs w:val="20"/>
        </w:rPr>
        <w:t xml:space="preserve">. </w:t>
      </w:r>
      <w:r w:rsidR="00BC187D" w:rsidRPr="002A2185">
        <w:rPr>
          <w:i/>
          <w:sz w:val="20"/>
          <w:szCs w:val="20"/>
        </w:rPr>
        <w:t>Source:</w:t>
      </w:r>
      <w:r w:rsidR="008B7C8F">
        <w:rPr>
          <w:i/>
          <w:sz w:val="20"/>
          <w:szCs w:val="20"/>
        </w:rPr>
        <w:t xml:space="preserve"> </w:t>
      </w:r>
      <w:r w:rsidR="00BC187D">
        <w:rPr>
          <w:i/>
          <w:sz w:val="20"/>
          <w:szCs w:val="20"/>
        </w:rPr>
        <w:t>Mid-Year Population Estimates,</w:t>
      </w:r>
      <w:r w:rsidR="00BC187D" w:rsidRPr="002A2185">
        <w:rPr>
          <w:i/>
          <w:sz w:val="20"/>
          <w:szCs w:val="20"/>
        </w:rPr>
        <w:t xml:space="preserve"> </w:t>
      </w:r>
      <w:r w:rsidR="00BC187D">
        <w:rPr>
          <w:i/>
          <w:sz w:val="20"/>
          <w:szCs w:val="20"/>
        </w:rPr>
        <w:t>NISRA</w:t>
      </w:r>
      <w:r w:rsidR="00BC187D" w:rsidRPr="002A2185">
        <w:rPr>
          <w:i/>
          <w:sz w:val="20"/>
          <w:szCs w:val="20"/>
        </w:rPr>
        <w:t>.</w:t>
      </w:r>
    </w:p>
    <w:p w14:paraId="1D415EFC" w14:textId="77777777" w:rsidR="00EB2A1E" w:rsidRDefault="00EB2A1E" w:rsidP="003A7285"/>
    <w:p w14:paraId="5BA82898" w14:textId="631FBA70" w:rsidR="00EB2A1E" w:rsidRDefault="008F56A3" w:rsidP="003A7285">
      <w:r>
        <w:t>In the year endin</w:t>
      </w:r>
      <w:r w:rsidR="00F621CA">
        <w:t>g mid-202</w:t>
      </w:r>
      <w:r w:rsidR="004A5664">
        <w:t>3</w:t>
      </w:r>
      <w:r w:rsidR="00F8015E">
        <w:t xml:space="preserve">, the median age (i.e. the age at which half the population is </w:t>
      </w:r>
      <w:proofErr w:type="gramStart"/>
      <w:r w:rsidR="00F8015E">
        <w:t>older</w:t>
      </w:r>
      <w:proofErr w:type="gramEnd"/>
      <w:r w:rsidR="00F8015E">
        <w:t xml:space="preserve"> and half is younger) of the b</w:t>
      </w:r>
      <w:r w:rsidR="003D6454">
        <w:t xml:space="preserve">orough’s population was </w:t>
      </w:r>
      <w:r w:rsidR="00EB2A1E">
        <w:t>39</w:t>
      </w:r>
      <w:r w:rsidR="00331F25">
        <w:t>.3</w:t>
      </w:r>
      <w:r>
        <w:t xml:space="preserve"> years. This compared to </w:t>
      </w:r>
      <w:r w:rsidR="00096D21">
        <w:t>40</w:t>
      </w:r>
      <w:r w:rsidR="00331F25">
        <w:t>.2</w:t>
      </w:r>
      <w:r w:rsidR="00F8015E">
        <w:t xml:space="preserve"> years for Northern Ireland. The median age of fe</w:t>
      </w:r>
      <w:r>
        <w:t>males in the borough in mid-20</w:t>
      </w:r>
      <w:r w:rsidR="003D6454">
        <w:t>2</w:t>
      </w:r>
      <w:r w:rsidR="00331F25">
        <w:t>3</w:t>
      </w:r>
      <w:r>
        <w:t xml:space="preserve"> was </w:t>
      </w:r>
      <w:r w:rsidR="00331F25">
        <w:t>40.1</w:t>
      </w:r>
      <w:r w:rsidR="00096D21">
        <w:t xml:space="preserve"> years compared to 38</w:t>
      </w:r>
      <w:r>
        <w:t>.</w:t>
      </w:r>
      <w:r w:rsidR="00331F25">
        <w:t>4</w:t>
      </w:r>
      <w:r w:rsidR="00F8015E">
        <w:t xml:space="preserve"> years for males. </w:t>
      </w:r>
    </w:p>
    <w:p w14:paraId="63DDD1AD" w14:textId="77777777" w:rsidR="00331F25" w:rsidRDefault="00331F25" w:rsidP="003A7285"/>
    <w:p w14:paraId="5D2A3319" w14:textId="77777777" w:rsidR="00A65E19" w:rsidRDefault="00C37B0B" w:rsidP="003A7285">
      <w:r>
        <w:t>Further information on population estimates can be found via the following link:</w:t>
      </w:r>
    </w:p>
    <w:p w14:paraId="1A6C4279" w14:textId="0E4AD01C" w:rsidR="004A5664" w:rsidRDefault="004A5664" w:rsidP="003A7285">
      <w:hyperlink r:id="rId9" w:history="1">
        <w:r>
          <w:rPr>
            <w:rStyle w:val="Hyperlink"/>
          </w:rPr>
          <w:t>2023 Mid-Year Population Estimates for Northern Ireland | Northern Ireland Statistics and Research Agency</w:t>
        </w:r>
      </w:hyperlink>
    </w:p>
    <w:sectPr w:rsidR="004A566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60009" w14:textId="77777777" w:rsidR="008B7C8F" w:rsidRDefault="008B7C8F" w:rsidP="008B7C8F">
      <w:pPr>
        <w:spacing w:after="0" w:line="240" w:lineRule="auto"/>
      </w:pPr>
      <w:r>
        <w:separator/>
      </w:r>
    </w:p>
  </w:endnote>
  <w:endnote w:type="continuationSeparator" w:id="0">
    <w:p w14:paraId="10B1760B" w14:textId="77777777" w:rsidR="008B7C8F" w:rsidRDefault="008B7C8F" w:rsidP="008B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844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B776C" w14:textId="77777777" w:rsidR="008B7C8F" w:rsidRDefault="008B7C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1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14F51" w14:textId="77777777" w:rsidR="008B7C8F" w:rsidRDefault="008B7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5B055" w14:textId="77777777" w:rsidR="008B7C8F" w:rsidRDefault="008B7C8F" w:rsidP="008B7C8F">
      <w:pPr>
        <w:spacing w:after="0" w:line="240" w:lineRule="auto"/>
      </w:pPr>
      <w:r>
        <w:separator/>
      </w:r>
    </w:p>
  </w:footnote>
  <w:footnote w:type="continuationSeparator" w:id="0">
    <w:p w14:paraId="5F0750B4" w14:textId="77777777" w:rsidR="008B7C8F" w:rsidRDefault="008B7C8F" w:rsidP="008B7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B98"/>
    <w:rsid w:val="00096D21"/>
    <w:rsid w:val="001217B0"/>
    <w:rsid w:val="001842FB"/>
    <w:rsid w:val="00226541"/>
    <w:rsid w:val="00262C76"/>
    <w:rsid w:val="00282B08"/>
    <w:rsid w:val="002E31FB"/>
    <w:rsid w:val="003021F6"/>
    <w:rsid w:val="00331F25"/>
    <w:rsid w:val="003A0911"/>
    <w:rsid w:val="003A6B98"/>
    <w:rsid w:val="003A7285"/>
    <w:rsid w:val="003B4AB0"/>
    <w:rsid w:val="003D6454"/>
    <w:rsid w:val="00404196"/>
    <w:rsid w:val="004321A8"/>
    <w:rsid w:val="004A5664"/>
    <w:rsid w:val="004E5D0E"/>
    <w:rsid w:val="005904C2"/>
    <w:rsid w:val="005D5E99"/>
    <w:rsid w:val="005D61CC"/>
    <w:rsid w:val="00666476"/>
    <w:rsid w:val="006D12C8"/>
    <w:rsid w:val="007B1532"/>
    <w:rsid w:val="007D4AAB"/>
    <w:rsid w:val="0081498E"/>
    <w:rsid w:val="008B7C8F"/>
    <w:rsid w:val="008F56A3"/>
    <w:rsid w:val="00922C76"/>
    <w:rsid w:val="00972A5D"/>
    <w:rsid w:val="00973D9C"/>
    <w:rsid w:val="009749EE"/>
    <w:rsid w:val="0099509C"/>
    <w:rsid w:val="009B4079"/>
    <w:rsid w:val="00A461C5"/>
    <w:rsid w:val="00A65E19"/>
    <w:rsid w:val="00A831F2"/>
    <w:rsid w:val="00AE4700"/>
    <w:rsid w:val="00AF71E8"/>
    <w:rsid w:val="00B20361"/>
    <w:rsid w:val="00BC187D"/>
    <w:rsid w:val="00C03C6D"/>
    <w:rsid w:val="00C10DE4"/>
    <w:rsid w:val="00C37B0B"/>
    <w:rsid w:val="00C411C5"/>
    <w:rsid w:val="00C62512"/>
    <w:rsid w:val="00C641B1"/>
    <w:rsid w:val="00CE1CA9"/>
    <w:rsid w:val="00CF5C72"/>
    <w:rsid w:val="00D96E5B"/>
    <w:rsid w:val="00DA3473"/>
    <w:rsid w:val="00E1225D"/>
    <w:rsid w:val="00EB2A1E"/>
    <w:rsid w:val="00EE3CE6"/>
    <w:rsid w:val="00EE438F"/>
    <w:rsid w:val="00EF2ACC"/>
    <w:rsid w:val="00F15B67"/>
    <w:rsid w:val="00F51248"/>
    <w:rsid w:val="00F621CA"/>
    <w:rsid w:val="00F8015E"/>
    <w:rsid w:val="00FB3181"/>
    <w:rsid w:val="00FD11B1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D78CF"/>
  <w15:chartTrackingRefBased/>
  <w15:docId w15:val="{5459D39A-D23C-43DB-892A-13E35904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B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7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C8F"/>
  </w:style>
  <w:style w:type="paragraph" w:styleId="Footer">
    <w:name w:val="footer"/>
    <w:basedOn w:val="Normal"/>
    <w:link w:val="FooterChar"/>
    <w:uiPriority w:val="99"/>
    <w:unhideWhenUsed/>
    <w:rsid w:val="008B7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C8F"/>
  </w:style>
  <w:style w:type="table" w:styleId="TableGrid">
    <w:name w:val="Table Grid"/>
    <w:basedOn w:val="TableNormal"/>
    <w:uiPriority w:val="39"/>
    <w:rsid w:val="00C4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950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A5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isra.gov.uk/publications/2023-mid-year-population-estimates-northern-ireland-and-estimates-population-aged-85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Population\Updates\MYE23%20Working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Population\Updates\MYE23%20Working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ABC!$AD$22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ABC!$AC$23:$AC$27</c:f>
              <c:strCache>
                <c:ptCount val="5"/>
                <c:pt idx="0">
                  <c:v>0 – 15 </c:v>
                </c:pt>
                <c:pt idx="1">
                  <c:v>16 – 24</c:v>
                </c:pt>
                <c:pt idx="2">
                  <c:v>25 – 49 </c:v>
                </c:pt>
                <c:pt idx="3">
                  <c:v>50 – 64</c:v>
                </c:pt>
                <c:pt idx="4">
                  <c:v>65 and over</c:v>
                </c:pt>
              </c:strCache>
            </c:strRef>
          </c:cat>
          <c:val>
            <c:numRef>
              <c:f>ABC!$AD$23:$AD$27</c:f>
              <c:numCache>
                <c:formatCode>0.0%</c:formatCode>
                <c:ptCount val="5"/>
                <c:pt idx="0">
                  <c:v>0.21809302199734842</c:v>
                </c:pt>
                <c:pt idx="1">
                  <c:v>9.7919315998809486E-2</c:v>
                </c:pt>
                <c:pt idx="2">
                  <c:v>0.3252342686039485</c:v>
                </c:pt>
                <c:pt idx="3">
                  <c:v>0.19218142626514065</c:v>
                </c:pt>
                <c:pt idx="4">
                  <c:v>0.16657196713475292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36-468A-9977-D8E35B982E57}"/>
            </c:ext>
          </c:extLst>
        </c:ser>
        <c:ser>
          <c:idx val="1"/>
          <c:order val="1"/>
          <c:tx>
            <c:strRef>
              <c:f>ABC!$AE$22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ABC!$AC$23:$AC$27</c:f>
              <c:strCache>
                <c:ptCount val="5"/>
                <c:pt idx="0">
                  <c:v>0 – 15 </c:v>
                </c:pt>
                <c:pt idx="1">
                  <c:v>16 – 24</c:v>
                </c:pt>
                <c:pt idx="2">
                  <c:v>25 – 49 </c:v>
                </c:pt>
                <c:pt idx="3">
                  <c:v>50 – 64</c:v>
                </c:pt>
                <c:pt idx="4">
                  <c:v>65 and over</c:v>
                </c:pt>
              </c:strCache>
            </c:strRef>
          </c:cat>
          <c:val>
            <c:numRef>
              <c:f>ABC!$AE$23:$AE$27</c:f>
              <c:numCache>
                <c:formatCode>0.0%</c:formatCode>
                <c:ptCount val="5"/>
                <c:pt idx="0">
                  <c:v>0.20215717497872818</c:v>
                </c:pt>
                <c:pt idx="1">
                  <c:v>0.10292275182750099</c:v>
                </c:pt>
                <c:pt idx="2">
                  <c:v>0.32004830288973757</c:v>
                </c:pt>
                <c:pt idx="3">
                  <c:v>0.19653121097781587</c:v>
                </c:pt>
                <c:pt idx="4">
                  <c:v>0.1783405593262174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36-468A-9977-D8E35B982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691382992"/>
        <c:axId val="1691383952"/>
      </c:barChart>
      <c:catAx>
        <c:axId val="169138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383952"/>
        <c:crosses val="autoZero"/>
        <c:auto val="1"/>
        <c:lblAlgn val="ctr"/>
        <c:lblOffset val="100"/>
        <c:noMultiLvlLbl val="0"/>
      </c:catAx>
      <c:valAx>
        <c:axId val="169138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38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ABC!$AD$57</c:f>
              <c:strCache>
                <c:ptCount val="1"/>
                <c:pt idx="0">
                  <c:v>ABC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03-47F0-ABBD-055F88C2E709}"/>
                </c:ext>
              </c:extLst>
            </c:dLbl>
            <c:dLbl>
              <c:idx val="1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03-47F0-ABBD-055F88C2E7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ABC!$AC$58:$AC$68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ABC!$AD$58:$AD$68</c:f>
              <c:numCache>
                <c:formatCode>#,##0</c:formatCode>
                <c:ptCount val="11"/>
                <c:pt idx="0">
                  <c:v>204072</c:v>
                </c:pt>
                <c:pt idx="1">
                  <c:v>206141</c:v>
                </c:pt>
                <c:pt idx="2">
                  <c:v>208339</c:v>
                </c:pt>
                <c:pt idx="3">
                  <c:v>210924</c:v>
                </c:pt>
                <c:pt idx="4">
                  <c:v>212635</c:v>
                </c:pt>
                <c:pt idx="5">
                  <c:v>214887</c:v>
                </c:pt>
                <c:pt idx="6">
                  <c:v>217069</c:v>
                </c:pt>
                <c:pt idx="7">
                  <c:v>218162</c:v>
                </c:pt>
                <c:pt idx="8">
                  <c:v>219127</c:v>
                </c:pt>
                <c:pt idx="9">
                  <c:v>220271</c:v>
                </c:pt>
                <c:pt idx="10">
                  <c:v>221754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03-47F0-ABBD-055F88C2E7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51764768"/>
        <c:axId val="851765248"/>
      </c:lineChart>
      <c:catAx>
        <c:axId val="85176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1765248"/>
        <c:crosses val="autoZero"/>
        <c:auto val="1"/>
        <c:lblAlgn val="ctr"/>
        <c:lblOffset val="100"/>
        <c:noMultiLvlLbl val="0"/>
      </c:catAx>
      <c:valAx>
        <c:axId val="851765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176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BE4A-EA84-4C3B-9B86-63B8A29E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6</cp:revision>
  <dcterms:created xsi:type="dcterms:W3CDTF">2025-05-30T13:37:00Z</dcterms:created>
  <dcterms:modified xsi:type="dcterms:W3CDTF">2025-05-30T15:15:00Z</dcterms:modified>
</cp:coreProperties>
</file>