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7E3A3" w14:textId="77777777" w:rsidR="00C17259" w:rsidRPr="00900955" w:rsidRDefault="00900955">
      <w:pPr>
        <w:rPr>
          <w:b/>
        </w:rPr>
      </w:pPr>
      <w:r>
        <w:rPr>
          <w:b/>
        </w:rPr>
        <w:t>CO</w:t>
      </w:r>
      <w:r w:rsidRPr="00900955">
        <w:rPr>
          <w:b/>
          <w:vertAlign w:val="subscript"/>
        </w:rPr>
        <w:t>2</w:t>
      </w:r>
      <w:r>
        <w:rPr>
          <w:b/>
          <w:vertAlign w:val="subscript"/>
        </w:rPr>
        <w:t xml:space="preserve"> </w:t>
      </w:r>
      <w:r>
        <w:rPr>
          <w:b/>
        </w:rPr>
        <w:t>Emissions</w:t>
      </w:r>
    </w:p>
    <w:p w14:paraId="28A48C14" w14:textId="6C1B6C98" w:rsidR="0063391F" w:rsidRPr="0063391F" w:rsidRDefault="00543077" w:rsidP="00C6515D">
      <w:r>
        <w:t>It is estimated that in Armagh City, Banbrid</w:t>
      </w:r>
      <w:r w:rsidR="005367EC">
        <w:t>ge and Craigavon Borough in 20</w:t>
      </w:r>
      <w:r w:rsidR="00866EAE">
        <w:t>2</w:t>
      </w:r>
      <w:r w:rsidR="00034091">
        <w:t>2</w:t>
      </w:r>
      <w:r w:rsidR="005367EC">
        <w:t xml:space="preserve"> there were </w:t>
      </w:r>
      <w:r w:rsidR="00866EAE">
        <w:t>1,</w:t>
      </w:r>
      <w:r w:rsidR="00034091">
        <w:t>341.5</w:t>
      </w:r>
      <w:r>
        <w:t xml:space="preserve"> </w:t>
      </w:r>
      <w:proofErr w:type="spellStart"/>
      <w:r>
        <w:t>kilotonnes</w:t>
      </w:r>
      <w:proofErr w:type="spellEnd"/>
      <w:r>
        <w:t xml:space="preserve"> of CO</w:t>
      </w:r>
      <w:r w:rsidRPr="00543077">
        <w:rPr>
          <w:vertAlign w:val="subscript"/>
        </w:rPr>
        <w:t>2</w:t>
      </w:r>
      <w:r>
        <w:rPr>
          <w:vertAlign w:val="subscript"/>
        </w:rPr>
        <w:t xml:space="preserve"> </w:t>
      </w:r>
      <w:r>
        <w:t>e</w:t>
      </w:r>
      <w:r w:rsidR="00C6515D">
        <w:t>quivalent e</w:t>
      </w:r>
      <w:r>
        <w:t>miss</w:t>
      </w:r>
      <w:r w:rsidR="005367EC">
        <w:t>ions</w:t>
      </w:r>
      <w:r w:rsidR="004F4CC1">
        <w:rPr>
          <w:rStyle w:val="FootnoteReference"/>
        </w:rPr>
        <w:footnoteReference w:id="1"/>
      </w:r>
      <w:r w:rsidR="005367EC">
        <w:t xml:space="preserve">. This is </w:t>
      </w:r>
      <w:r w:rsidR="009F37F9">
        <w:t xml:space="preserve">a </w:t>
      </w:r>
      <w:r w:rsidR="00034091">
        <w:t>de</w:t>
      </w:r>
      <w:r w:rsidR="009F37F9">
        <w:t>crease</w:t>
      </w:r>
      <w:r w:rsidR="005367EC">
        <w:t xml:space="preserve"> of </w:t>
      </w:r>
      <w:r w:rsidR="00034091">
        <w:t>3.3</w:t>
      </w:r>
      <w:r>
        <w:t>%</w:t>
      </w:r>
      <w:r w:rsidR="005367EC">
        <w:t xml:space="preserve"> on 20</w:t>
      </w:r>
      <w:r w:rsidR="00866EAE">
        <w:t>2</w:t>
      </w:r>
      <w:r w:rsidR="00034091">
        <w:t>1</w:t>
      </w:r>
      <w:r w:rsidR="009F37F9">
        <w:t xml:space="preserve"> estimates </w:t>
      </w:r>
      <w:r w:rsidR="00034091">
        <w:t>and</w:t>
      </w:r>
      <w:r w:rsidR="009F37F9">
        <w:t xml:space="preserve"> a</w:t>
      </w:r>
      <w:r w:rsidR="00034091">
        <w:t>lmost</w:t>
      </w:r>
      <w:r w:rsidR="009F37F9">
        <w:t xml:space="preserve"> 2</w:t>
      </w:r>
      <w:r w:rsidR="00034091">
        <w:t>9</w:t>
      </w:r>
      <w:r w:rsidR="009F37F9">
        <w:t>% since 2010 wh</w:t>
      </w:r>
      <w:r w:rsidR="00CC76A0">
        <w:t>en it</w:t>
      </w:r>
      <w:r w:rsidR="009F37F9">
        <w:t xml:space="preserve"> was</w:t>
      </w:r>
      <w:r w:rsidR="00CC76A0">
        <w:t xml:space="preserve"> at</w:t>
      </w:r>
      <w:r w:rsidR="009F37F9">
        <w:t xml:space="preserve"> the </w:t>
      </w:r>
      <w:r w:rsidR="00663F53">
        <w:t>highest level of the</w:t>
      </w:r>
      <w:r w:rsidR="005367EC">
        <w:t xml:space="preserve"> </w:t>
      </w:r>
      <w:r w:rsidR="009A4629">
        <w:t>years</w:t>
      </w:r>
      <w:r w:rsidR="00663F53">
        <w:t xml:space="preserve"> presented below</w:t>
      </w:r>
      <w:r w:rsidR="009A4629">
        <w:t>.</w:t>
      </w:r>
      <w:r w:rsidR="00CB5416">
        <w:t xml:space="preserve"> The decrease in CO</w:t>
      </w:r>
      <w:r w:rsidR="00CB5416" w:rsidRPr="00CB5416">
        <w:rPr>
          <w:vertAlign w:val="subscript"/>
        </w:rPr>
        <w:t>2</w:t>
      </w:r>
      <w:r w:rsidR="00CB5416">
        <w:rPr>
          <w:vertAlign w:val="subscript"/>
        </w:rPr>
        <w:t xml:space="preserve"> </w:t>
      </w:r>
      <w:r w:rsidR="00CB5416">
        <w:t>e</w:t>
      </w:r>
      <w:r w:rsidR="00C6515D">
        <w:t>quivalent e</w:t>
      </w:r>
      <w:r w:rsidR="00CB5416">
        <w:t xml:space="preserve">mission estimates over the same period in Northern Ireland </w:t>
      </w:r>
      <w:r w:rsidR="0063391F">
        <w:t xml:space="preserve">was </w:t>
      </w:r>
      <w:r w:rsidR="00866EAE">
        <w:t>slightly higher</w:t>
      </w:r>
      <w:r w:rsidR="00663F53">
        <w:t xml:space="preserve"> at</w:t>
      </w:r>
      <w:r w:rsidR="00CB5416">
        <w:t xml:space="preserve"> </w:t>
      </w:r>
      <w:r w:rsidR="001627CE">
        <w:t>29.5</w:t>
      </w:r>
      <w:r w:rsidR="0063391F">
        <w:t>%.</w:t>
      </w:r>
      <w:r w:rsidR="009D2ED9">
        <w:rPr>
          <w:sz w:val="8"/>
          <w:szCs w:val="8"/>
        </w:rPr>
        <w:tab/>
      </w:r>
      <w:r w:rsidR="00663F53" w:rsidRPr="00663F53">
        <w:rPr>
          <w:b/>
          <w:sz w:val="18"/>
          <w:szCs w:val="18"/>
        </w:rPr>
        <w:t xml:space="preserve"> </w:t>
      </w:r>
      <w:r w:rsidR="008F1AD8">
        <w:rPr>
          <w:b/>
          <w:sz w:val="18"/>
          <w:szCs w:val="18"/>
        </w:rPr>
        <w:t xml:space="preserve">   </w:t>
      </w:r>
    </w:p>
    <w:tbl>
      <w:tblPr>
        <w:tblStyle w:val="GridTable1Light"/>
        <w:tblW w:w="7225" w:type="dxa"/>
        <w:tblLook w:val="04A0" w:firstRow="1" w:lastRow="0" w:firstColumn="1" w:lastColumn="0" w:noHBand="0" w:noVBand="1"/>
      </w:tblPr>
      <w:tblGrid>
        <w:gridCol w:w="1320"/>
        <w:gridCol w:w="2928"/>
        <w:gridCol w:w="2977"/>
      </w:tblGrid>
      <w:tr w:rsidR="0063391F" w:rsidRPr="0063391F" w14:paraId="0B94EAA2" w14:textId="77777777" w:rsidTr="00866EA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20" w:type="dxa"/>
            <w:hideMark/>
          </w:tcPr>
          <w:p w14:paraId="4B9EA705" w14:textId="77777777" w:rsidR="0063391F" w:rsidRPr="0063391F" w:rsidRDefault="0063391F" w:rsidP="0063391F">
            <w:pPr>
              <w:rPr>
                <w:rFonts w:ascii="Calibri" w:eastAsia="Times New Roman" w:hAnsi="Calibri" w:cs="Calibri"/>
                <w:color w:val="000000"/>
                <w:lang w:eastAsia="en-GB"/>
              </w:rPr>
            </w:pPr>
            <w:r w:rsidRPr="0063391F">
              <w:rPr>
                <w:rFonts w:ascii="Calibri" w:eastAsia="Times New Roman" w:hAnsi="Calibri" w:cs="Calibri"/>
                <w:color w:val="000000"/>
                <w:lang w:eastAsia="en-GB"/>
              </w:rPr>
              <w:t> </w:t>
            </w:r>
          </w:p>
        </w:tc>
        <w:tc>
          <w:tcPr>
            <w:tcW w:w="5905" w:type="dxa"/>
            <w:gridSpan w:val="2"/>
            <w:noWrap/>
            <w:hideMark/>
          </w:tcPr>
          <w:p w14:paraId="207A36CC" w14:textId="0032326C" w:rsidR="0063391F" w:rsidRPr="0063391F" w:rsidRDefault="0063391F" w:rsidP="006339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63391F">
              <w:rPr>
                <w:rFonts w:ascii="Calibri" w:eastAsia="Times New Roman" w:hAnsi="Calibri" w:cs="Calibri"/>
                <w:color w:val="000000"/>
                <w:lang w:eastAsia="en-GB"/>
              </w:rPr>
              <w:t>CO</w:t>
            </w:r>
            <w:r w:rsidRPr="0063391F">
              <w:rPr>
                <w:rFonts w:ascii="Calibri" w:eastAsia="Times New Roman" w:hAnsi="Calibri" w:cs="Calibri"/>
                <w:color w:val="000000"/>
                <w:vertAlign w:val="subscript"/>
                <w:lang w:eastAsia="en-GB"/>
              </w:rPr>
              <w:t xml:space="preserve">2 </w:t>
            </w:r>
            <w:r w:rsidRPr="0063391F">
              <w:rPr>
                <w:rFonts w:ascii="Calibri" w:eastAsia="Times New Roman" w:hAnsi="Calibri" w:cs="Calibri"/>
                <w:color w:val="000000"/>
                <w:lang w:eastAsia="en-GB"/>
              </w:rPr>
              <w:t>Emission Estimates (</w:t>
            </w:r>
            <w:proofErr w:type="spellStart"/>
            <w:r w:rsidRPr="0063391F">
              <w:rPr>
                <w:i/>
              </w:rPr>
              <w:t>Kilotonnes</w:t>
            </w:r>
            <w:proofErr w:type="spellEnd"/>
            <w:r w:rsidRPr="0063391F">
              <w:rPr>
                <w:i/>
              </w:rPr>
              <w:t xml:space="preserve"> (kt CO</w:t>
            </w:r>
            <w:r w:rsidRPr="0063391F">
              <w:rPr>
                <w:i/>
                <w:vertAlign w:val="subscript"/>
              </w:rPr>
              <w:t>2</w:t>
            </w:r>
            <w:r w:rsidRPr="0063391F">
              <w:rPr>
                <w:i/>
              </w:rPr>
              <w:t>e)</w:t>
            </w:r>
            <w:r w:rsidR="006D6FFA">
              <w:rPr>
                <w:i/>
              </w:rPr>
              <w:t>)</w:t>
            </w:r>
          </w:p>
        </w:tc>
      </w:tr>
      <w:tr w:rsidR="0063391F" w:rsidRPr="0063391F" w14:paraId="39456AB7" w14:textId="77777777" w:rsidTr="00866EAE">
        <w:trPr>
          <w:trHeight w:val="656"/>
        </w:trPr>
        <w:tc>
          <w:tcPr>
            <w:cnfStyle w:val="001000000000" w:firstRow="0" w:lastRow="0" w:firstColumn="1" w:lastColumn="0" w:oddVBand="0" w:evenVBand="0" w:oddHBand="0" w:evenHBand="0" w:firstRowFirstColumn="0" w:firstRowLastColumn="0" w:lastRowFirstColumn="0" w:lastRowLastColumn="0"/>
            <w:tcW w:w="1320" w:type="dxa"/>
            <w:hideMark/>
          </w:tcPr>
          <w:p w14:paraId="6AF9F701" w14:textId="77777777" w:rsidR="0063391F" w:rsidRPr="0063391F" w:rsidRDefault="0063391F" w:rsidP="0063391F">
            <w:pPr>
              <w:rPr>
                <w:rFonts w:ascii="Calibri" w:eastAsia="Times New Roman" w:hAnsi="Calibri" w:cs="Calibri"/>
                <w:color w:val="000000"/>
                <w:lang w:eastAsia="en-GB"/>
              </w:rPr>
            </w:pPr>
            <w:r w:rsidRPr="0063391F">
              <w:rPr>
                <w:rFonts w:ascii="Calibri" w:eastAsia="Times New Roman" w:hAnsi="Calibri" w:cs="Calibri"/>
                <w:color w:val="000000"/>
                <w:lang w:eastAsia="en-GB"/>
              </w:rPr>
              <w:t> </w:t>
            </w:r>
          </w:p>
        </w:tc>
        <w:tc>
          <w:tcPr>
            <w:tcW w:w="2928" w:type="dxa"/>
            <w:hideMark/>
          </w:tcPr>
          <w:p w14:paraId="1285DD5F" w14:textId="77777777" w:rsidR="0063391F" w:rsidRPr="0063391F" w:rsidRDefault="0063391F" w:rsidP="006339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Armagh City, Banbridge and Craigavon</w:t>
            </w:r>
          </w:p>
        </w:tc>
        <w:tc>
          <w:tcPr>
            <w:tcW w:w="2977" w:type="dxa"/>
            <w:hideMark/>
          </w:tcPr>
          <w:p w14:paraId="348A50AA" w14:textId="77777777" w:rsidR="0063391F" w:rsidRPr="0063391F" w:rsidRDefault="0063391F" w:rsidP="006339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Northern Ireland</w:t>
            </w:r>
          </w:p>
        </w:tc>
      </w:tr>
      <w:tr w:rsidR="00034091" w:rsidRPr="0063391F" w14:paraId="5A5D19A9"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371BC9F8" w14:textId="77777777" w:rsidR="00034091" w:rsidRPr="00866EAE" w:rsidRDefault="00034091" w:rsidP="00034091">
            <w:pPr>
              <w:pStyle w:val="NoSpacing"/>
            </w:pPr>
            <w:r w:rsidRPr="00866EAE">
              <w:rPr>
                <w:bCs w:val="0"/>
              </w:rPr>
              <w:t>2010</w:t>
            </w:r>
          </w:p>
        </w:tc>
        <w:tc>
          <w:tcPr>
            <w:tcW w:w="2928" w:type="dxa"/>
            <w:noWrap/>
            <w:vAlign w:val="bottom"/>
            <w:hideMark/>
          </w:tcPr>
          <w:p w14:paraId="4020009E" w14:textId="25C54D8C"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1,879.6</w:t>
            </w:r>
          </w:p>
        </w:tc>
        <w:tc>
          <w:tcPr>
            <w:tcW w:w="2977" w:type="dxa"/>
            <w:noWrap/>
            <w:vAlign w:val="bottom"/>
            <w:hideMark/>
          </w:tcPr>
          <w:p w14:paraId="26C478DA" w14:textId="406CE08B"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16,457.0</w:t>
            </w:r>
          </w:p>
        </w:tc>
      </w:tr>
      <w:tr w:rsidR="00034091" w:rsidRPr="0063391F" w14:paraId="3061C684"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40AE59C3" w14:textId="77777777" w:rsidR="00034091" w:rsidRPr="00866EAE" w:rsidRDefault="00034091" w:rsidP="00034091">
            <w:pPr>
              <w:pStyle w:val="NoSpacing"/>
            </w:pPr>
            <w:r w:rsidRPr="00866EAE">
              <w:rPr>
                <w:bCs w:val="0"/>
              </w:rPr>
              <w:t>2011</w:t>
            </w:r>
          </w:p>
        </w:tc>
        <w:tc>
          <w:tcPr>
            <w:tcW w:w="2928" w:type="dxa"/>
            <w:noWrap/>
            <w:vAlign w:val="bottom"/>
            <w:hideMark/>
          </w:tcPr>
          <w:p w14:paraId="7BB660DB" w14:textId="0F0B33A4"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1,736.7</w:t>
            </w:r>
          </w:p>
        </w:tc>
        <w:tc>
          <w:tcPr>
            <w:tcW w:w="2977" w:type="dxa"/>
            <w:noWrap/>
            <w:vAlign w:val="bottom"/>
            <w:hideMark/>
          </w:tcPr>
          <w:p w14:paraId="1EAEBBA7" w14:textId="1F9617C8"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15,195.0</w:t>
            </w:r>
          </w:p>
        </w:tc>
      </w:tr>
      <w:tr w:rsidR="00034091" w:rsidRPr="0063391F" w14:paraId="4087118D"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32098F6B" w14:textId="77777777" w:rsidR="00034091" w:rsidRPr="00866EAE" w:rsidRDefault="00034091" w:rsidP="00034091">
            <w:pPr>
              <w:pStyle w:val="NoSpacing"/>
            </w:pPr>
            <w:r w:rsidRPr="00866EAE">
              <w:rPr>
                <w:bCs w:val="0"/>
              </w:rPr>
              <w:t>2012</w:t>
            </w:r>
          </w:p>
        </w:tc>
        <w:tc>
          <w:tcPr>
            <w:tcW w:w="2928" w:type="dxa"/>
            <w:noWrap/>
            <w:vAlign w:val="bottom"/>
            <w:hideMark/>
          </w:tcPr>
          <w:p w14:paraId="33CFD111" w14:textId="148E6DC9"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1,748.6</w:t>
            </w:r>
          </w:p>
        </w:tc>
        <w:tc>
          <w:tcPr>
            <w:tcW w:w="2977" w:type="dxa"/>
            <w:noWrap/>
            <w:vAlign w:val="bottom"/>
            <w:hideMark/>
          </w:tcPr>
          <w:p w14:paraId="469440CF" w14:textId="71FE7A9E"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15,506.4</w:t>
            </w:r>
          </w:p>
        </w:tc>
      </w:tr>
      <w:tr w:rsidR="00034091" w:rsidRPr="0063391F" w14:paraId="594A3D71"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18B92B96" w14:textId="77777777" w:rsidR="00034091" w:rsidRPr="00866EAE" w:rsidRDefault="00034091" w:rsidP="00034091">
            <w:pPr>
              <w:pStyle w:val="NoSpacing"/>
            </w:pPr>
            <w:r w:rsidRPr="00866EAE">
              <w:rPr>
                <w:bCs w:val="0"/>
              </w:rPr>
              <w:t>2013</w:t>
            </w:r>
          </w:p>
        </w:tc>
        <w:tc>
          <w:tcPr>
            <w:tcW w:w="2928" w:type="dxa"/>
            <w:noWrap/>
            <w:vAlign w:val="bottom"/>
            <w:hideMark/>
          </w:tcPr>
          <w:p w14:paraId="12C9D969" w14:textId="4D192A51"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1,713.8</w:t>
            </w:r>
          </w:p>
        </w:tc>
        <w:tc>
          <w:tcPr>
            <w:tcW w:w="2977" w:type="dxa"/>
            <w:noWrap/>
            <w:vAlign w:val="bottom"/>
            <w:hideMark/>
          </w:tcPr>
          <w:p w14:paraId="64A6424C" w14:textId="1C0F7EC8"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15,254.1</w:t>
            </w:r>
          </w:p>
        </w:tc>
      </w:tr>
      <w:tr w:rsidR="00034091" w:rsidRPr="0063391F" w14:paraId="645E261A"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1023FE1B" w14:textId="77777777" w:rsidR="00034091" w:rsidRPr="00866EAE" w:rsidRDefault="00034091" w:rsidP="00034091">
            <w:pPr>
              <w:pStyle w:val="NoSpacing"/>
            </w:pPr>
            <w:r w:rsidRPr="00866EAE">
              <w:rPr>
                <w:bCs w:val="0"/>
              </w:rPr>
              <w:t>2014</w:t>
            </w:r>
          </w:p>
        </w:tc>
        <w:tc>
          <w:tcPr>
            <w:tcW w:w="2928" w:type="dxa"/>
            <w:noWrap/>
            <w:vAlign w:val="bottom"/>
            <w:hideMark/>
          </w:tcPr>
          <w:p w14:paraId="4FD8146B" w14:textId="4C389245"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1,636.5</w:t>
            </w:r>
          </w:p>
        </w:tc>
        <w:tc>
          <w:tcPr>
            <w:tcW w:w="2977" w:type="dxa"/>
            <w:noWrap/>
            <w:vAlign w:val="bottom"/>
            <w:hideMark/>
          </w:tcPr>
          <w:p w14:paraId="2F943912" w14:textId="6DA8CB2F"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14,491.5</w:t>
            </w:r>
          </w:p>
        </w:tc>
      </w:tr>
      <w:tr w:rsidR="00034091" w:rsidRPr="0063391F" w14:paraId="05837B94"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0AE8A6FD" w14:textId="77777777" w:rsidR="00034091" w:rsidRPr="00866EAE" w:rsidRDefault="00034091" w:rsidP="00034091">
            <w:pPr>
              <w:pStyle w:val="NoSpacing"/>
            </w:pPr>
            <w:r w:rsidRPr="00866EAE">
              <w:rPr>
                <w:bCs w:val="0"/>
              </w:rPr>
              <w:t>2015</w:t>
            </w:r>
          </w:p>
        </w:tc>
        <w:tc>
          <w:tcPr>
            <w:tcW w:w="2928" w:type="dxa"/>
            <w:noWrap/>
            <w:vAlign w:val="bottom"/>
            <w:hideMark/>
          </w:tcPr>
          <w:p w14:paraId="1A5AEED6" w14:textId="1587CD11"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1,592.8</w:t>
            </w:r>
          </w:p>
        </w:tc>
        <w:tc>
          <w:tcPr>
            <w:tcW w:w="2977" w:type="dxa"/>
            <w:noWrap/>
            <w:vAlign w:val="bottom"/>
            <w:hideMark/>
          </w:tcPr>
          <w:p w14:paraId="2D8940B0" w14:textId="4F9B34FF"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14,073.0</w:t>
            </w:r>
          </w:p>
        </w:tc>
      </w:tr>
      <w:tr w:rsidR="00034091" w:rsidRPr="0063391F" w14:paraId="6A1DFC04"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202895DD" w14:textId="77777777" w:rsidR="00034091" w:rsidRPr="00866EAE" w:rsidRDefault="00034091" w:rsidP="00034091">
            <w:pPr>
              <w:pStyle w:val="NoSpacing"/>
            </w:pPr>
            <w:r w:rsidRPr="00866EAE">
              <w:rPr>
                <w:bCs w:val="0"/>
              </w:rPr>
              <w:t>2016</w:t>
            </w:r>
          </w:p>
        </w:tc>
        <w:tc>
          <w:tcPr>
            <w:tcW w:w="2928" w:type="dxa"/>
            <w:noWrap/>
            <w:vAlign w:val="bottom"/>
            <w:hideMark/>
          </w:tcPr>
          <w:p w14:paraId="500A027F" w14:textId="7277078F"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1,516.6</w:t>
            </w:r>
          </w:p>
        </w:tc>
        <w:tc>
          <w:tcPr>
            <w:tcW w:w="2977" w:type="dxa"/>
            <w:noWrap/>
            <w:vAlign w:val="bottom"/>
            <w:hideMark/>
          </w:tcPr>
          <w:p w14:paraId="2B0E995B" w14:textId="0B2C230F"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13,429.6</w:t>
            </w:r>
          </w:p>
        </w:tc>
      </w:tr>
      <w:tr w:rsidR="00034091" w:rsidRPr="0063391F" w14:paraId="0C5ECDBA"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1B5A1BFE" w14:textId="77777777" w:rsidR="00034091" w:rsidRPr="00866EAE" w:rsidRDefault="00034091" w:rsidP="00034091">
            <w:pPr>
              <w:pStyle w:val="NoSpacing"/>
            </w:pPr>
            <w:r w:rsidRPr="00866EAE">
              <w:rPr>
                <w:bCs w:val="0"/>
              </w:rPr>
              <w:t>2017</w:t>
            </w:r>
          </w:p>
        </w:tc>
        <w:tc>
          <w:tcPr>
            <w:tcW w:w="2928" w:type="dxa"/>
            <w:noWrap/>
            <w:vAlign w:val="bottom"/>
            <w:hideMark/>
          </w:tcPr>
          <w:p w14:paraId="6AF0A062" w14:textId="1DC6F4C4"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1,469.9</w:t>
            </w:r>
          </w:p>
        </w:tc>
        <w:tc>
          <w:tcPr>
            <w:tcW w:w="2977" w:type="dxa"/>
            <w:noWrap/>
            <w:vAlign w:val="bottom"/>
            <w:hideMark/>
          </w:tcPr>
          <w:p w14:paraId="2C45C9E3" w14:textId="0ACABC7A"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12,949.1</w:t>
            </w:r>
          </w:p>
        </w:tc>
      </w:tr>
      <w:tr w:rsidR="00034091" w:rsidRPr="0063391F" w14:paraId="530DF91B"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2C071E41" w14:textId="77777777" w:rsidR="00034091" w:rsidRPr="00866EAE" w:rsidRDefault="00034091" w:rsidP="00034091">
            <w:pPr>
              <w:pStyle w:val="NoSpacing"/>
            </w:pPr>
            <w:r w:rsidRPr="00866EAE">
              <w:rPr>
                <w:bCs w:val="0"/>
              </w:rPr>
              <w:t>2018</w:t>
            </w:r>
          </w:p>
        </w:tc>
        <w:tc>
          <w:tcPr>
            <w:tcW w:w="2928" w:type="dxa"/>
            <w:noWrap/>
            <w:vAlign w:val="bottom"/>
            <w:hideMark/>
          </w:tcPr>
          <w:p w14:paraId="28207A9B" w14:textId="7926A916"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1,473.1</w:t>
            </w:r>
          </w:p>
        </w:tc>
        <w:tc>
          <w:tcPr>
            <w:tcW w:w="2977" w:type="dxa"/>
            <w:noWrap/>
            <w:vAlign w:val="bottom"/>
            <w:hideMark/>
          </w:tcPr>
          <w:p w14:paraId="010C61BB" w14:textId="1DE8CB95"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12,850.6</w:t>
            </w:r>
          </w:p>
        </w:tc>
      </w:tr>
      <w:tr w:rsidR="00034091" w:rsidRPr="0063391F" w14:paraId="3D324BFA"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5A1A6729" w14:textId="77777777" w:rsidR="00034091" w:rsidRPr="00866EAE" w:rsidRDefault="00034091" w:rsidP="00034091">
            <w:pPr>
              <w:pStyle w:val="NoSpacing"/>
            </w:pPr>
            <w:r w:rsidRPr="00866EAE">
              <w:rPr>
                <w:bCs w:val="0"/>
              </w:rPr>
              <w:t>2019</w:t>
            </w:r>
          </w:p>
        </w:tc>
        <w:tc>
          <w:tcPr>
            <w:tcW w:w="2928" w:type="dxa"/>
            <w:noWrap/>
            <w:vAlign w:val="bottom"/>
            <w:hideMark/>
          </w:tcPr>
          <w:p w14:paraId="41F479D8" w14:textId="7D0326A2"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1,432.6</w:t>
            </w:r>
          </w:p>
        </w:tc>
        <w:tc>
          <w:tcPr>
            <w:tcW w:w="2977" w:type="dxa"/>
            <w:noWrap/>
            <w:vAlign w:val="bottom"/>
            <w:hideMark/>
          </w:tcPr>
          <w:p w14:paraId="5AF3272A" w14:textId="56A19546"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12,570.5</w:t>
            </w:r>
          </w:p>
        </w:tc>
      </w:tr>
      <w:tr w:rsidR="00034091" w:rsidRPr="0063391F" w14:paraId="4FB37CD0"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14:paraId="4D9987DE" w14:textId="77777777" w:rsidR="00034091" w:rsidRPr="00866EAE" w:rsidRDefault="00034091" w:rsidP="00034091">
            <w:pPr>
              <w:pStyle w:val="NoSpacing"/>
            </w:pPr>
            <w:r w:rsidRPr="00866EAE">
              <w:rPr>
                <w:bCs w:val="0"/>
              </w:rPr>
              <w:t>2020</w:t>
            </w:r>
          </w:p>
        </w:tc>
        <w:tc>
          <w:tcPr>
            <w:tcW w:w="2928" w:type="dxa"/>
            <w:noWrap/>
            <w:vAlign w:val="bottom"/>
            <w:hideMark/>
          </w:tcPr>
          <w:p w14:paraId="15FE2585" w14:textId="678B1C02"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1,324.1</w:t>
            </w:r>
          </w:p>
        </w:tc>
        <w:tc>
          <w:tcPr>
            <w:tcW w:w="2977" w:type="dxa"/>
            <w:noWrap/>
            <w:vAlign w:val="bottom"/>
            <w:hideMark/>
          </w:tcPr>
          <w:p w14:paraId="51F218EF" w14:textId="49357689"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11,591.9</w:t>
            </w:r>
          </w:p>
        </w:tc>
      </w:tr>
      <w:tr w:rsidR="00034091" w:rsidRPr="0063391F" w14:paraId="01FFDD45"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tcPr>
          <w:p w14:paraId="33C8184C" w14:textId="77777777" w:rsidR="00034091" w:rsidRPr="00866EAE" w:rsidRDefault="00034091" w:rsidP="00034091">
            <w:pPr>
              <w:pStyle w:val="NoSpacing"/>
            </w:pPr>
            <w:r w:rsidRPr="00866EAE">
              <w:rPr>
                <w:bCs w:val="0"/>
              </w:rPr>
              <w:t>2021</w:t>
            </w:r>
          </w:p>
        </w:tc>
        <w:tc>
          <w:tcPr>
            <w:tcW w:w="2928" w:type="dxa"/>
            <w:noWrap/>
            <w:vAlign w:val="bottom"/>
          </w:tcPr>
          <w:p w14:paraId="1E58E232" w14:textId="653E3250"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1,387.5</w:t>
            </w:r>
          </w:p>
        </w:tc>
        <w:tc>
          <w:tcPr>
            <w:tcW w:w="2977" w:type="dxa"/>
            <w:noWrap/>
            <w:vAlign w:val="bottom"/>
          </w:tcPr>
          <w:p w14:paraId="52EA4FAF" w14:textId="5A032C3A"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12,080.8</w:t>
            </w:r>
          </w:p>
        </w:tc>
      </w:tr>
      <w:tr w:rsidR="00034091" w:rsidRPr="0063391F" w14:paraId="57CF2253" w14:textId="77777777" w:rsidTr="005E2B99">
        <w:trPr>
          <w:trHeight w:val="300"/>
        </w:trPr>
        <w:tc>
          <w:tcPr>
            <w:cnfStyle w:val="001000000000" w:firstRow="0" w:lastRow="0" w:firstColumn="1" w:lastColumn="0" w:oddVBand="0" w:evenVBand="0" w:oddHBand="0" w:evenHBand="0" w:firstRowFirstColumn="0" w:firstRowLastColumn="0" w:lastRowFirstColumn="0" w:lastRowLastColumn="0"/>
            <w:tcW w:w="1320" w:type="dxa"/>
            <w:noWrap/>
          </w:tcPr>
          <w:p w14:paraId="293AC9FD" w14:textId="1EF15C6E" w:rsidR="00034091" w:rsidRPr="00866EAE" w:rsidRDefault="00034091" w:rsidP="00034091">
            <w:pPr>
              <w:pStyle w:val="NoSpacing"/>
            </w:pPr>
            <w:r>
              <w:t>2022</w:t>
            </w:r>
          </w:p>
        </w:tc>
        <w:tc>
          <w:tcPr>
            <w:tcW w:w="2928" w:type="dxa"/>
            <w:noWrap/>
            <w:vAlign w:val="bottom"/>
          </w:tcPr>
          <w:p w14:paraId="4F63C587" w14:textId="46C48E67"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1,341.5</w:t>
            </w:r>
          </w:p>
        </w:tc>
        <w:tc>
          <w:tcPr>
            <w:tcW w:w="2977" w:type="dxa"/>
            <w:noWrap/>
            <w:vAlign w:val="bottom"/>
          </w:tcPr>
          <w:p w14:paraId="419DA4FC" w14:textId="7D97DD61" w:rsidR="00034091" w:rsidRDefault="00034091" w:rsidP="00034091">
            <w:pPr>
              <w:pStyle w:val="NoSpacing"/>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11,602.6</w:t>
            </w:r>
          </w:p>
        </w:tc>
      </w:tr>
    </w:tbl>
    <w:p w14:paraId="4FD85ABC" w14:textId="75FB0FBD" w:rsidR="00A93EC0" w:rsidRPr="0063391F" w:rsidRDefault="008C1EDC">
      <w:pPr>
        <w:rPr>
          <w:sz w:val="20"/>
          <w:szCs w:val="20"/>
        </w:rPr>
      </w:pPr>
      <w:r w:rsidRPr="0063391F">
        <w:rPr>
          <w:i/>
          <w:sz w:val="20"/>
          <w:szCs w:val="20"/>
        </w:rPr>
        <w:t xml:space="preserve">Table 1: </w:t>
      </w:r>
      <w:r w:rsidR="009242F4" w:rsidRPr="0063391F">
        <w:rPr>
          <w:i/>
          <w:sz w:val="20"/>
          <w:szCs w:val="20"/>
        </w:rPr>
        <w:t>CO</w:t>
      </w:r>
      <w:r w:rsidR="009242F4" w:rsidRPr="0063391F">
        <w:rPr>
          <w:i/>
          <w:sz w:val="20"/>
          <w:szCs w:val="20"/>
          <w:vertAlign w:val="subscript"/>
        </w:rPr>
        <w:t>2</w:t>
      </w:r>
      <w:r w:rsidR="009242F4" w:rsidRPr="0063391F">
        <w:rPr>
          <w:i/>
          <w:sz w:val="20"/>
          <w:szCs w:val="20"/>
        </w:rPr>
        <w:t xml:space="preserve"> emission estimates for</w:t>
      </w:r>
      <w:r w:rsidR="00900955" w:rsidRPr="0063391F">
        <w:rPr>
          <w:i/>
          <w:sz w:val="20"/>
          <w:szCs w:val="20"/>
        </w:rPr>
        <w:t xml:space="preserve"> Armagh City, </w:t>
      </w:r>
      <w:r w:rsidRPr="0063391F">
        <w:rPr>
          <w:i/>
          <w:sz w:val="20"/>
          <w:szCs w:val="20"/>
        </w:rPr>
        <w:t>Banbridge and Craigavon Borough</w:t>
      </w:r>
      <w:r w:rsidR="009242F4" w:rsidRPr="0063391F">
        <w:rPr>
          <w:i/>
          <w:sz w:val="20"/>
          <w:szCs w:val="20"/>
        </w:rPr>
        <w:t xml:space="preserve"> </w:t>
      </w:r>
      <w:r w:rsidR="00CA03DD" w:rsidRPr="0063391F">
        <w:rPr>
          <w:i/>
          <w:sz w:val="20"/>
          <w:szCs w:val="20"/>
        </w:rPr>
        <w:t xml:space="preserve">and Northern Ireland </w:t>
      </w:r>
      <w:r w:rsidR="009242F4" w:rsidRPr="0063391F">
        <w:rPr>
          <w:i/>
          <w:sz w:val="20"/>
          <w:szCs w:val="20"/>
        </w:rPr>
        <w:t>2010</w:t>
      </w:r>
      <w:r w:rsidR="008C513E" w:rsidRPr="0063391F">
        <w:rPr>
          <w:i/>
          <w:sz w:val="20"/>
          <w:szCs w:val="20"/>
        </w:rPr>
        <w:t xml:space="preserve"> to 20</w:t>
      </w:r>
      <w:r w:rsidR="00866EAE">
        <w:rPr>
          <w:i/>
          <w:sz w:val="20"/>
          <w:szCs w:val="20"/>
        </w:rPr>
        <w:t>2</w:t>
      </w:r>
      <w:r w:rsidR="00CC76A0">
        <w:rPr>
          <w:i/>
          <w:sz w:val="20"/>
          <w:szCs w:val="20"/>
        </w:rPr>
        <w:t>2</w:t>
      </w:r>
      <w:r w:rsidRPr="0063391F">
        <w:rPr>
          <w:i/>
          <w:sz w:val="20"/>
          <w:szCs w:val="20"/>
        </w:rPr>
        <w:t xml:space="preserve">. Source: </w:t>
      </w:r>
      <w:r w:rsidR="009F37F9" w:rsidRPr="0063391F">
        <w:rPr>
          <w:rFonts w:cstheme="minorHAnsi"/>
          <w:i/>
          <w:sz w:val="20"/>
          <w:szCs w:val="20"/>
          <w:shd w:val="clear" w:color="auto" w:fill="FFFFFF"/>
        </w:rPr>
        <w:t>Local Authority territorial carbon dioxide (CO</w:t>
      </w:r>
      <w:r w:rsidR="00866EAE">
        <w:rPr>
          <w:rFonts w:cstheme="minorHAnsi"/>
          <w:i/>
          <w:sz w:val="20"/>
          <w:szCs w:val="20"/>
          <w:shd w:val="clear" w:color="auto" w:fill="FFFFFF"/>
        </w:rPr>
        <w:t>2) emissions estimates 2005-202</w:t>
      </w:r>
      <w:r w:rsidR="00CC76A0">
        <w:rPr>
          <w:rFonts w:cstheme="minorHAnsi"/>
          <w:i/>
          <w:sz w:val="20"/>
          <w:szCs w:val="20"/>
          <w:shd w:val="clear" w:color="auto" w:fill="FFFFFF"/>
        </w:rPr>
        <w:t>2</w:t>
      </w:r>
      <w:r w:rsidR="009F37F9" w:rsidRPr="0063391F">
        <w:rPr>
          <w:rFonts w:cstheme="minorHAnsi"/>
          <w:i/>
          <w:sz w:val="20"/>
          <w:szCs w:val="20"/>
          <w:shd w:val="clear" w:color="auto" w:fill="FFFFFF"/>
        </w:rPr>
        <w:t xml:space="preserve"> (kt CO2e)</w:t>
      </w:r>
      <w:r w:rsidR="009242F4" w:rsidRPr="0063391F">
        <w:rPr>
          <w:i/>
          <w:sz w:val="20"/>
          <w:szCs w:val="20"/>
        </w:rPr>
        <w:t>, Department for Business, Energy and Industrial Strategy</w:t>
      </w:r>
      <w:r w:rsidRPr="0063391F">
        <w:rPr>
          <w:i/>
          <w:sz w:val="20"/>
          <w:szCs w:val="20"/>
        </w:rPr>
        <w:t>.</w:t>
      </w:r>
      <w:r w:rsidR="00866EAE">
        <w:rPr>
          <w:i/>
          <w:sz w:val="20"/>
          <w:szCs w:val="20"/>
        </w:rPr>
        <w:t xml:space="preserve"> Note: I</w:t>
      </w:r>
      <w:r w:rsidR="00866EAE" w:rsidRPr="00866EAE">
        <w:rPr>
          <w:i/>
          <w:sz w:val="20"/>
          <w:szCs w:val="20"/>
        </w:rPr>
        <w:t>n these statistics</w:t>
      </w:r>
      <w:r w:rsidR="00866EAE">
        <w:rPr>
          <w:i/>
          <w:sz w:val="20"/>
          <w:szCs w:val="20"/>
        </w:rPr>
        <w:t>,</w:t>
      </w:r>
      <w:r w:rsidR="00866EAE" w:rsidRPr="00866EAE">
        <w:rPr>
          <w:i/>
          <w:sz w:val="20"/>
          <w:szCs w:val="20"/>
        </w:rPr>
        <w:t xml:space="preserve"> the entire time series going back to 2005 is revised each year to take account of methodological improvements, so the estimates presented here supersede previous ones.</w:t>
      </w:r>
    </w:p>
    <w:p w14:paraId="3A1DC0C1" w14:textId="77777777" w:rsidR="00866EAE" w:rsidRDefault="00866EAE">
      <w:pPr>
        <w:rPr>
          <w:i/>
          <w:sz w:val="20"/>
          <w:szCs w:val="20"/>
        </w:rPr>
      </w:pPr>
    </w:p>
    <w:p w14:paraId="22789085" w14:textId="110CF9C5" w:rsidR="00C6515D" w:rsidRDefault="001627CE">
      <w:pPr>
        <w:rPr>
          <w:i/>
          <w:sz w:val="20"/>
          <w:szCs w:val="20"/>
        </w:rPr>
      </w:pPr>
      <w:r>
        <w:rPr>
          <w:noProof/>
        </w:rPr>
        <w:lastRenderedPageBreak/>
        <w:drawing>
          <wp:inline distT="0" distB="0" distL="0" distR="0" wp14:anchorId="2F0C7224" wp14:editId="39D6B024">
            <wp:extent cx="5543550" cy="2956560"/>
            <wp:effectExtent l="0" t="0" r="0" b="15240"/>
            <wp:docPr id="1387502894" name="Chart 1">
              <a:extLst xmlns:a="http://schemas.openxmlformats.org/drawingml/2006/main">
                <a:ext uri="{FF2B5EF4-FFF2-40B4-BE49-F238E27FC236}">
                  <a16:creationId xmlns:a16="http://schemas.microsoft.com/office/drawing/2014/main" id="{FE17CC33-81B0-E6F6-0808-5C844F08F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9F37F9" w:rsidRPr="0063391F">
        <w:rPr>
          <w:i/>
          <w:sz w:val="20"/>
          <w:szCs w:val="20"/>
        </w:rPr>
        <w:t>Figure</w:t>
      </w:r>
      <w:r w:rsidR="009242F4" w:rsidRPr="0063391F">
        <w:rPr>
          <w:i/>
          <w:sz w:val="20"/>
          <w:szCs w:val="20"/>
        </w:rPr>
        <w:t xml:space="preserve"> 1: </w:t>
      </w:r>
      <w:r w:rsidR="00C6515D" w:rsidRPr="0063391F">
        <w:rPr>
          <w:i/>
          <w:sz w:val="20"/>
          <w:szCs w:val="20"/>
        </w:rPr>
        <w:t>CO</w:t>
      </w:r>
      <w:r w:rsidR="00C6515D" w:rsidRPr="0063391F">
        <w:rPr>
          <w:i/>
          <w:sz w:val="20"/>
          <w:szCs w:val="20"/>
          <w:vertAlign w:val="subscript"/>
        </w:rPr>
        <w:t>2</w:t>
      </w:r>
      <w:r w:rsidR="00C6515D" w:rsidRPr="0063391F">
        <w:rPr>
          <w:i/>
          <w:sz w:val="20"/>
          <w:szCs w:val="20"/>
        </w:rPr>
        <w:t xml:space="preserve"> emission estimates for Armagh City, Banbridge and Craigavon Borough a</w:t>
      </w:r>
      <w:r w:rsidR="00866EAE">
        <w:rPr>
          <w:i/>
          <w:sz w:val="20"/>
          <w:szCs w:val="20"/>
        </w:rPr>
        <w:t>nd Northern Ireland 2010 to 202</w:t>
      </w:r>
      <w:r>
        <w:rPr>
          <w:i/>
          <w:sz w:val="20"/>
          <w:szCs w:val="20"/>
        </w:rPr>
        <w:t>2</w:t>
      </w:r>
      <w:r w:rsidR="00C6515D" w:rsidRPr="0063391F">
        <w:rPr>
          <w:i/>
          <w:sz w:val="20"/>
          <w:szCs w:val="20"/>
        </w:rPr>
        <w:t xml:space="preserve">. Source: </w:t>
      </w:r>
      <w:r w:rsidR="00C6515D" w:rsidRPr="0063391F">
        <w:rPr>
          <w:rFonts w:cstheme="minorHAnsi"/>
          <w:i/>
          <w:sz w:val="20"/>
          <w:szCs w:val="20"/>
          <w:shd w:val="clear" w:color="auto" w:fill="FFFFFF"/>
        </w:rPr>
        <w:t>Local Authority territorial carbon dioxide (CO</w:t>
      </w:r>
      <w:r w:rsidR="00866EAE">
        <w:rPr>
          <w:rFonts w:cstheme="minorHAnsi"/>
          <w:i/>
          <w:sz w:val="20"/>
          <w:szCs w:val="20"/>
          <w:shd w:val="clear" w:color="auto" w:fill="FFFFFF"/>
        </w:rPr>
        <w:t>2) emissions estimates 2005-202</w:t>
      </w:r>
      <w:r>
        <w:rPr>
          <w:rFonts w:cstheme="minorHAnsi"/>
          <w:i/>
          <w:sz w:val="20"/>
          <w:szCs w:val="20"/>
          <w:shd w:val="clear" w:color="auto" w:fill="FFFFFF"/>
        </w:rPr>
        <w:t>2</w:t>
      </w:r>
      <w:r w:rsidR="00C6515D" w:rsidRPr="0063391F">
        <w:rPr>
          <w:rFonts w:cstheme="minorHAnsi"/>
          <w:i/>
          <w:sz w:val="20"/>
          <w:szCs w:val="20"/>
          <w:shd w:val="clear" w:color="auto" w:fill="FFFFFF"/>
        </w:rPr>
        <w:t xml:space="preserve"> (kt CO2e)</w:t>
      </w:r>
      <w:r w:rsidR="00C6515D" w:rsidRPr="0063391F">
        <w:rPr>
          <w:i/>
          <w:sz w:val="20"/>
          <w:szCs w:val="20"/>
        </w:rPr>
        <w:t>, Department for Business, Energy and Industrial Strategy.</w:t>
      </w:r>
    </w:p>
    <w:p w14:paraId="532F3009" w14:textId="3011CCD0" w:rsidR="00C6515D" w:rsidRDefault="00445B69">
      <w:pPr>
        <w:rPr>
          <w:i/>
          <w:sz w:val="20"/>
          <w:szCs w:val="20"/>
        </w:rPr>
      </w:pPr>
      <w:r>
        <w:t>The table below shows</w:t>
      </w:r>
      <w:r w:rsidR="00C6515D">
        <w:t xml:space="preserve"> how annual CO</w:t>
      </w:r>
      <w:r w:rsidR="00C6515D" w:rsidRPr="00E4177D">
        <w:rPr>
          <w:vertAlign w:val="subscript"/>
        </w:rPr>
        <w:t>2</w:t>
      </w:r>
      <w:r w:rsidR="00C6515D">
        <w:t xml:space="preserve"> emissions per capita compare between 20</w:t>
      </w:r>
      <w:r>
        <w:t>10</w:t>
      </w:r>
      <w:r w:rsidR="00C6515D">
        <w:t xml:space="preserve"> and 202</w:t>
      </w:r>
      <w:r w:rsidR="001627CE">
        <w:t>2</w:t>
      </w:r>
      <w:r w:rsidR="00C6515D">
        <w:t xml:space="preserve"> in </w:t>
      </w:r>
      <w:r>
        <w:t>Armagh City, Banbridge and Craigavon Borough and Northern Ireland</w:t>
      </w:r>
      <w:r w:rsidR="00C6515D">
        <w:t xml:space="preserve">. </w:t>
      </w:r>
      <w:r>
        <w:t xml:space="preserve"> </w:t>
      </w:r>
      <w:r w:rsidR="001627CE">
        <w:t>P</w:t>
      </w:r>
      <w:r w:rsidR="00E4177D">
        <w:t xml:space="preserve">er </w:t>
      </w:r>
      <w:r w:rsidR="000D1EBE">
        <w:t>ca</w:t>
      </w:r>
      <w:r w:rsidR="00E4177D">
        <w:t>pita e</w:t>
      </w:r>
      <w:r w:rsidR="00E4177D" w:rsidRPr="00E4177D">
        <w:t>missions have decreased in both the borough and Northern Ireland overall</w:t>
      </w:r>
      <w:r w:rsidR="00E4177D">
        <w:t xml:space="preserve"> </w:t>
      </w:r>
      <w:r w:rsidR="000D1EBE">
        <w:t xml:space="preserve">since 2010.  </w:t>
      </w:r>
      <w:r w:rsidR="00E4177D">
        <w:t>As per Figure 2</w:t>
      </w:r>
      <w:r w:rsidR="00065AA6">
        <w:t>,</w:t>
      </w:r>
      <w:r w:rsidR="000D1EBE">
        <w:t xml:space="preserve"> with the same per capita emissions as the Northern Ireland average, </w:t>
      </w:r>
      <w:r w:rsidR="00065AA6">
        <w:t xml:space="preserve">Armagh City, Banbridge and Craigavon Borough Council </w:t>
      </w:r>
      <w:r w:rsidR="002042B4">
        <w:t>has the fifth highest per capita emissions when compared</w:t>
      </w:r>
      <w:r w:rsidR="000D1EBE">
        <w:t xml:space="preserve"> with the other LGD’s in Northern Ireland.  Fermanagh and Omagh </w:t>
      </w:r>
      <w:r w:rsidR="00065AA6">
        <w:t xml:space="preserve">has the highest per capita emission rates of all LGD’s in Northern Ireland while Belfast has the lowest.  </w:t>
      </w:r>
    </w:p>
    <w:tbl>
      <w:tblPr>
        <w:tblStyle w:val="GridTable1Light"/>
        <w:tblW w:w="6941" w:type="dxa"/>
        <w:tblLook w:val="04A0" w:firstRow="1" w:lastRow="0" w:firstColumn="1" w:lastColumn="0" w:noHBand="0" w:noVBand="1"/>
        <w:tblCaption w:val="Table 2: CO2 per capita emission estimates for Armagh City, Banbridge and Craigavon Borough and Northern Ireland 2010 to 2020. Source: Local Authority territorial carbon dioxide (CO2) emissions estimates 2005-2020 (kt CO2e), Department for Business, Energy and Industrial Strategy."/>
      </w:tblPr>
      <w:tblGrid>
        <w:gridCol w:w="1360"/>
        <w:gridCol w:w="2746"/>
        <w:gridCol w:w="2835"/>
      </w:tblGrid>
      <w:tr w:rsidR="00C6515D" w:rsidRPr="00C6515D" w14:paraId="297A01B5" w14:textId="77777777" w:rsidTr="00540959">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1360" w:type="dxa"/>
            <w:hideMark/>
          </w:tcPr>
          <w:p w14:paraId="5452A5F4" w14:textId="77777777" w:rsidR="00C6515D" w:rsidRPr="00C6515D" w:rsidRDefault="00C6515D" w:rsidP="00C6515D">
            <w:pPr>
              <w:rPr>
                <w:rFonts w:eastAsia="Times New Roman" w:cstheme="minorHAnsi"/>
                <w:color w:val="000000"/>
                <w:lang w:eastAsia="en-GB"/>
              </w:rPr>
            </w:pPr>
            <w:r w:rsidRPr="00C6515D">
              <w:rPr>
                <w:rFonts w:eastAsia="Times New Roman" w:cstheme="minorHAnsi"/>
                <w:color w:val="000000"/>
                <w:lang w:eastAsia="en-GB"/>
              </w:rPr>
              <w:t> </w:t>
            </w:r>
          </w:p>
        </w:tc>
        <w:tc>
          <w:tcPr>
            <w:tcW w:w="5581" w:type="dxa"/>
            <w:gridSpan w:val="2"/>
            <w:noWrap/>
            <w:hideMark/>
          </w:tcPr>
          <w:p w14:paraId="01B575EF" w14:textId="77777777" w:rsidR="00C6515D" w:rsidRPr="00C6515D" w:rsidRDefault="00C6515D" w:rsidP="00C651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C6515D">
              <w:rPr>
                <w:rFonts w:eastAsia="Times New Roman" w:cstheme="minorHAnsi"/>
                <w:color w:val="000000"/>
                <w:lang w:eastAsia="en-GB"/>
              </w:rPr>
              <w:t>CO</w:t>
            </w:r>
            <w:r w:rsidRPr="00C6515D">
              <w:rPr>
                <w:rFonts w:eastAsia="Times New Roman" w:cstheme="minorHAnsi"/>
                <w:color w:val="000000"/>
                <w:vertAlign w:val="subscript"/>
                <w:lang w:eastAsia="en-GB"/>
              </w:rPr>
              <w:t xml:space="preserve">2 </w:t>
            </w:r>
            <w:r w:rsidRPr="00C6515D">
              <w:rPr>
                <w:rFonts w:eastAsia="Times New Roman" w:cstheme="minorHAnsi"/>
                <w:color w:val="000000"/>
                <w:lang w:eastAsia="en-GB"/>
              </w:rPr>
              <w:t>Per Capita Emission Estimates (tCO2e)</w:t>
            </w:r>
          </w:p>
        </w:tc>
      </w:tr>
      <w:tr w:rsidR="00C6515D" w:rsidRPr="00C6515D" w14:paraId="1D7D3849" w14:textId="77777777" w:rsidTr="00E4177D">
        <w:trPr>
          <w:trHeight w:val="576"/>
        </w:trPr>
        <w:tc>
          <w:tcPr>
            <w:cnfStyle w:val="001000000000" w:firstRow="0" w:lastRow="0" w:firstColumn="1" w:lastColumn="0" w:oddVBand="0" w:evenVBand="0" w:oddHBand="0" w:evenHBand="0" w:firstRowFirstColumn="0" w:firstRowLastColumn="0" w:lastRowFirstColumn="0" w:lastRowLastColumn="0"/>
            <w:tcW w:w="1360" w:type="dxa"/>
            <w:hideMark/>
          </w:tcPr>
          <w:p w14:paraId="48A032DB" w14:textId="77777777" w:rsidR="00C6515D" w:rsidRPr="00C6515D" w:rsidRDefault="00C6515D" w:rsidP="00C6515D">
            <w:pPr>
              <w:rPr>
                <w:rFonts w:eastAsia="Times New Roman" w:cstheme="minorHAnsi"/>
                <w:color w:val="000000"/>
                <w:lang w:eastAsia="en-GB"/>
              </w:rPr>
            </w:pPr>
            <w:r w:rsidRPr="00C6515D">
              <w:rPr>
                <w:rFonts w:eastAsia="Times New Roman" w:cstheme="minorHAnsi"/>
                <w:color w:val="000000"/>
                <w:lang w:eastAsia="en-GB"/>
              </w:rPr>
              <w:t> </w:t>
            </w:r>
          </w:p>
        </w:tc>
        <w:tc>
          <w:tcPr>
            <w:tcW w:w="2746" w:type="dxa"/>
            <w:hideMark/>
          </w:tcPr>
          <w:p w14:paraId="44CBCB95" w14:textId="77777777"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n-GB"/>
              </w:rPr>
            </w:pPr>
            <w:r w:rsidRPr="00C6515D">
              <w:rPr>
                <w:rFonts w:eastAsia="Times New Roman" w:cstheme="minorHAnsi"/>
                <w:b/>
                <w:bCs/>
                <w:color w:val="000000"/>
                <w:lang w:eastAsia="en-GB"/>
              </w:rPr>
              <w:t>Armagh City, Banbridge and Craigavon</w:t>
            </w:r>
          </w:p>
        </w:tc>
        <w:tc>
          <w:tcPr>
            <w:tcW w:w="2835" w:type="dxa"/>
            <w:hideMark/>
          </w:tcPr>
          <w:p w14:paraId="594DECAB" w14:textId="77777777"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n-GB"/>
              </w:rPr>
            </w:pPr>
            <w:r w:rsidRPr="00C6515D">
              <w:rPr>
                <w:rFonts w:eastAsia="Times New Roman" w:cstheme="minorHAnsi"/>
                <w:b/>
                <w:bCs/>
                <w:color w:val="000000"/>
                <w:lang w:eastAsia="en-GB"/>
              </w:rPr>
              <w:t>Northern Ireland</w:t>
            </w:r>
          </w:p>
        </w:tc>
      </w:tr>
      <w:tr w:rsidR="001627CE" w:rsidRPr="00C6515D" w14:paraId="2B7D6AF9" w14:textId="77777777"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67E50C07"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2010</w:t>
            </w:r>
          </w:p>
        </w:tc>
        <w:tc>
          <w:tcPr>
            <w:tcW w:w="2746" w:type="dxa"/>
            <w:noWrap/>
            <w:vAlign w:val="bottom"/>
            <w:hideMark/>
          </w:tcPr>
          <w:p w14:paraId="590B5BA2" w14:textId="057BCDAD"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2835" w:type="dxa"/>
            <w:noWrap/>
            <w:vAlign w:val="bottom"/>
            <w:hideMark/>
          </w:tcPr>
          <w:p w14:paraId="23C72FB1" w14:textId="588E77EE"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r>
      <w:tr w:rsidR="001627CE" w:rsidRPr="00C6515D" w14:paraId="1F1717DF" w14:textId="77777777"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057DABDA"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2011</w:t>
            </w:r>
          </w:p>
        </w:tc>
        <w:tc>
          <w:tcPr>
            <w:tcW w:w="2746" w:type="dxa"/>
            <w:noWrap/>
            <w:vAlign w:val="bottom"/>
            <w:hideMark/>
          </w:tcPr>
          <w:p w14:paraId="4136720F" w14:textId="30DB1E0E"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2835" w:type="dxa"/>
            <w:noWrap/>
            <w:vAlign w:val="bottom"/>
            <w:hideMark/>
          </w:tcPr>
          <w:p w14:paraId="60C27533" w14:textId="2A47D2F2"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r>
      <w:tr w:rsidR="001627CE" w:rsidRPr="00C6515D" w14:paraId="250CB62E" w14:textId="77777777"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53FB8088"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2012</w:t>
            </w:r>
          </w:p>
        </w:tc>
        <w:tc>
          <w:tcPr>
            <w:tcW w:w="2746" w:type="dxa"/>
            <w:noWrap/>
            <w:vAlign w:val="bottom"/>
            <w:hideMark/>
          </w:tcPr>
          <w:p w14:paraId="727EB5EC" w14:textId="28A1181F"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2835" w:type="dxa"/>
            <w:noWrap/>
            <w:vAlign w:val="bottom"/>
            <w:hideMark/>
          </w:tcPr>
          <w:p w14:paraId="02161ABF" w14:textId="427A6028"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r>
      <w:tr w:rsidR="001627CE" w:rsidRPr="00C6515D" w14:paraId="70620A3B" w14:textId="77777777"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73B5BD4E"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2013</w:t>
            </w:r>
          </w:p>
        </w:tc>
        <w:tc>
          <w:tcPr>
            <w:tcW w:w="2746" w:type="dxa"/>
            <w:noWrap/>
            <w:vAlign w:val="bottom"/>
            <w:hideMark/>
          </w:tcPr>
          <w:p w14:paraId="1E2C4BD4" w14:textId="694C16EC"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2835" w:type="dxa"/>
            <w:noWrap/>
            <w:vAlign w:val="bottom"/>
            <w:hideMark/>
          </w:tcPr>
          <w:p w14:paraId="2465CC79" w14:textId="68980561"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r>
      <w:tr w:rsidR="001627CE" w:rsidRPr="00C6515D" w14:paraId="160DD438" w14:textId="77777777"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7C2F7630"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2014</w:t>
            </w:r>
          </w:p>
        </w:tc>
        <w:tc>
          <w:tcPr>
            <w:tcW w:w="2746" w:type="dxa"/>
            <w:noWrap/>
            <w:vAlign w:val="bottom"/>
            <w:hideMark/>
          </w:tcPr>
          <w:p w14:paraId="43D5F9E9" w14:textId="1F5C3FEB"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2835" w:type="dxa"/>
            <w:noWrap/>
            <w:vAlign w:val="bottom"/>
            <w:hideMark/>
          </w:tcPr>
          <w:p w14:paraId="02E13DD5" w14:textId="52F15320"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r>
      <w:tr w:rsidR="001627CE" w:rsidRPr="00C6515D" w14:paraId="21F961D0" w14:textId="77777777"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2B9338E5"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2015</w:t>
            </w:r>
          </w:p>
        </w:tc>
        <w:tc>
          <w:tcPr>
            <w:tcW w:w="2746" w:type="dxa"/>
            <w:noWrap/>
            <w:vAlign w:val="bottom"/>
            <w:hideMark/>
          </w:tcPr>
          <w:p w14:paraId="49FA7DC9" w14:textId="45C10329"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2835" w:type="dxa"/>
            <w:noWrap/>
            <w:vAlign w:val="bottom"/>
            <w:hideMark/>
          </w:tcPr>
          <w:p w14:paraId="29B864A2" w14:textId="44B09185"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r>
      <w:tr w:rsidR="001627CE" w:rsidRPr="00C6515D" w14:paraId="3B3EA916" w14:textId="77777777"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772A1C8F"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2016</w:t>
            </w:r>
          </w:p>
        </w:tc>
        <w:tc>
          <w:tcPr>
            <w:tcW w:w="2746" w:type="dxa"/>
            <w:noWrap/>
            <w:vAlign w:val="bottom"/>
            <w:hideMark/>
          </w:tcPr>
          <w:p w14:paraId="25969C67" w14:textId="4B4C1D5C"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2835" w:type="dxa"/>
            <w:noWrap/>
            <w:vAlign w:val="bottom"/>
            <w:hideMark/>
          </w:tcPr>
          <w:p w14:paraId="1DFAD80A" w14:textId="5BA05252"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r>
      <w:tr w:rsidR="001627CE" w:rsidRPr="00C6515D" w14:paraId="13E54D57" w14:textId="77777777"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6DE98655"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2017</w:t>
            </w:r>
          </w:p>
        </w:tc>
        <w:tc>
          <w:tcPr>
            <w:tcW w:w="2746" w:type="dxa"/>
            <w:noWrap/>
            <w:vAlign w:val="bottom"/>
            <w:hideMark/>
          </w:tcPr>
          <w:p w14:paraId="32D366D0" w14:textId="2B6439D5"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2835" w:type="dxa"/>
            <w:noWrap/>
            <w:vAlign w:val="bottom"/>
            <w:hideMark/>
          </w:tcPr>
          <w:p w14:paraId="731BFDD2" w14:textId="3406A2EB"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r>
      <w:tr w:rsidR="001627CE" w:rsidRPr="00C6515D" w14:paraId="7728EAB5" w14:textId="77777777"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5ED4B362"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2018</w:t>
            </w:r>
          </w:p>
        </w:tc>
        <w:tc>
          <w:tcPr>
            <w:tcW w:w="2746" w:type="dxa"/>
            <w:noWrap/>
            <w:vAlign w:val="bottom"/>
            <w:hideMark/>
          </w:tcPr>
          <w:p w14:paraId="20F299F5" w14:textId="37093485"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2835" w:type="dxa"/>
            <w:noWrap/>
            <w:vAlign w:val="bottom"/>
            <w:hideMark/>
          </w:tcPr>
          <w:p w14:paraId="1609204D" w14:textId="1FB6DE50"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r>
      <w:tr w:rsidR="001627CE" w:rsidRPr="00C6515D" w14:paraId="0D2890A9" w14:textId="77777777"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77C11F8E"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2019</w:t>
            </w:r>
          </w:p>
        </w:tc>
        <w:tc>
          <w:tcPr>
            <w:tcW w:w="2746" w:type="dxa"/>
            <w:noWrap/>
            <w:vAlign w:val="bottom"/>
            <w:hideMark/>
          </w:tcPr>
          <w:p w14:paraId="46E489E4" w14:textId="27E1BBBD"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2835" w:type="dxa"/>
            <w:noWrap/>
            <w:vAlign w:val="bottom"/>
            <w:hideMark/>
          </w:tcPr>
          <w:p w14:paraId="488ABAAE" w14:textId="0DB4BF8B"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r>
      <w:tr w:rsidR="001627CE" w:rsidRPr="00C6515D" w14:paraId="5F47F706" w14:textId="77777777"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68426900"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2020</w:t>
            </w:r>
          </w:p>
        </w:tc>
        <w:tc>
          <w:tcPr>
            <w:tcW w:w="2746" w:type="dxa"/>
            <w:noWrap/>
            <w:vAlign w:val="bottom"/>
            <w:hideMark/>
          </w:tcPr>
          <w:p w14:paraId="56C31B63" w14:textId="26489944"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2835" w:type="dxa"/>
            <w:noWrap/>
            <w:vAlign w:val="bottom"/>
            <w:hideMark/>
          </w:tcPr>
          <w:p w14:paraId="15FE7E82" w14:textId="2CBDAB7F"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r>
      <w:tr w:rsidR="001627CE" w:rsidRPr="00C6515D" w14:paraId="7B819616" w14:textId="77777777"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tcPr>
          <w:p w14:paraId="66DC8B0D" w14:textId="77777777" w:rsidR="001627CE" w:rsidRPr="00866EAE" w:rsidRDefault="001627CE" w:rsidP="001627CE">
            <w:pPr>
              <w:jc w:val="right"/>
              <w:rPr>
                <w:rFonts w:ascii="Calibri" w:hAnsi="Calibri" w:cs="Calibri"/>
                <w:color w:val="000000"/>
              </w:rPr>
            </w:pPr>
            <w:r w:rsidRPr="00866EAE">
              <w:rPr>
                <w:rFonts w:ascii="Calibri" w:hAnsi="Calibri" w:cs="Calibri"/>
                <w:bCs w:val="0"/>
                <w:color w:val="000000"/>
              </w:rPr>
              <w:t>2021</w:t>
            </w:r>
          </w:p>
        </w:tc>
        <w:tc>
          <w:tcPr>
            <w:tcW w:w="2746" w:type="dxa"/>
            <w:noWrap/>
            <w:vAlign w:val="bottom"/>
          </w:tcPr>
          <w:p w14:paraId="35CF64D0" w14:textId="6DE44DAA"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2835" w:type="dxa"/>
            <w:noWrap/>
            <w:vAlign w:val="bottom"/>
          </w:tcPr>
          <w:p w14:paraId="705B5966" w14:textId="721F0872"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r>
      <w:tr w:rsidR="001627CE" w:rsidRPr="00C6515D" w14:paraId="608C12D2" w14:textId="77777777"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tcPr>
          <w:p w14:paraId="411940E2" w14:textId="49287448" w:rsidR="001627CE" w:rsidRPr="00866EAE" w:rsidRDefault="001627CE" w:rsidP="001627CE">
            <w:pPr>
              <w:jc w:val="right"/>
              <w:rPr>
                <w:rFonts w:ascii="Calibri" w:hAnsi="Calibri" w:cs="Calibri"/>
                <w:color w:val="000000"/>
              </w:rPr>
            </w:pPr>
            <w:r>
              <w:rPr>
                <w:rFonts w:ascii="Calibri" w:hAnsi="Calibri" w:cs="Calibri"/>
                <w:color w:val="000000"/>
              </w:rPr>
              <w:t>2022</w:t>
            </w:r>
          </w:p>
        </w:tc>
        <w:tc>
          <w:tcPr>
            <w:tcW w:w="2746" w:type="dxa"/>
            <w:noWrap/>
            <w:vAlign w:val="bottom"/>
          </w:tcPr>
          <w:p w14:paraId="00DAE477" w14:textId="2B93E9E9"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2835" w:type="dxa"/>
            <w:noWrap/>
            <w:vAlign w:val="bottom"/>
          </w:tcPr>
          <w:p w14:paraId="687B62D9" w14:textId="64816A15" w:rsidR="001627CE" w:rsidRDefault="001627CE" w:rsidP="001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r>
    </w:tbl>
    <w:p w14:paraId="69B9326D" w14:textId="2CED3EE9" w:rsidR="0063391F" w:rsidRDefault="00C6515D" w:rsidP="00C6515D">
      <w:pPr>
        <w:rPr>
          <w:i/>
          <w:sz w:val="20"/>
          <w:szCs w:val="20"/>
        </w:rPr>
      </w:pPr>
      <w:r w:rsidRPr="0063391F">
        <w:rPr>
          <w:i/>
          <w:sz w:val="20"/>
          <w:szCs w:val="20"/>
        </w:rPr>
        <w:t>Table 2: CO</w:t>
      </w:r>
      <w:r w:rsidRPr="0063391F">
        <w:rPr>
          <w:i/>
          <w:sz w:val="20"/>
          <w:szCs w:val="20"/>
          <w:vertAlign w:val="subscript"/>
        </w:rPr>
        <w:t>2</w:t>
      </w:r>
      <w:r w:rsidRPr="0063391F">
        <w:rPr>
          <w:i/>
          <w:sz w:val="20"/>
          <w:szCs w:val="20"/>
        </w:rPr>
        <w:t xml:space="preserve"> per capita emission estimates for Armagh City, Banbridge and Craigavon Borough and Northern Ireland 2010 to 202</w:t>
      </w:r>
      <w:r w:rsidR="001627CE">
        <w:rPr>
          <w:i/>
          <w:sz w:val="20"/>
          <w:szCs w:val="20"/>
        </w:rPr>
        <w:t>2</w:t>
      </w:r>
      <w:r w:rsidRPr="0063391F">
        <w:rPr>
          <w:i/>
          <w:sz w:val="20"/>
          <w:szCs w:val="20"/>
        </w:rPr>
        <w:t xml:space="preserve">. Source: </w:t>
      </w:r>
      <w:r w:rsidRPr="0063391F">
        <w:rPr>
          <w:rFonts w:cstheme="minorHAnsi"/>
          <w:i/>
          <w:sz w:val="20"/>
          <w:szCs w:val="20"/>
          <w:shd w:val="clear" w:color="auto" w:fill="FFFFFF"/>
        </w:rPr>
        <w:t>Local Authority territorial carbon dioxide (CO2) emissions estimates 2005-202</w:t>
      </w:r>
      <w:r w:rsidR="001627CE">
        <w:rPr>
          <w:rFonts w:cstheme="minorHAnsi"/>
          <w:i/>
          <w:sz w:val="20"/>
          <w:szCs w:val="20"/>
          <w:shd w:val="clear" w:color="auto" w:fill="FFFFFF"/>
        </w:rPr>
        <w:t>2</w:t>
      </w:r>
      <w:r w:rsidRPr="0063391F">
        <w:rPr>
          <w:rFonts w:cstheme="minorHAnsi"/>
          <w:i/>
          <w:sz w:val="20"/>
          <w:szCs w:val="20"/>
          <w:shd w:val="clear" w:color="auto" w:fill="FFFFFF"/>
        </w:rPr>
        <w:t xml:space="preserve"> (kt CO2e)</w:t>
      </w:r>
      <w:r w:rsidRPr="0063391F">
        <w:rPr>
          <w:i/>
          <w:sz w:val="20"/>
          <w:szCs w:val="20"/>
        </w:rPr>
        <w:t>, Department for Business, Energy and Industrial Strategy.</w:t>
      </w:r>
    </w:p>
    <w:p w14:paraId="00D07072" w14:textId="38F1BD05" w:rsidR="00445B69" w:rsidRDefault="002042B4" w:rsidP="00445B69">
      <w:pPr>
        <w:rPr>
          <w:i/>
          <w:sz w:val="20"/>
          <w:szCs w:val="20"/>
        </w:rPr>
      </w:pPr>
      <w:r>
        <w:rPr>
          <w:noProof/>
        </w:rPr>
        <w:lastRenderedPageBreak/>
        <w:drawing>
          <wp:inline distT="0" distB="0" distL="0" distR="0" wp14:anchorId="20E3AB4B" wp14:editId="02FE3D5A">
            <wp:extent cx="5667375" cy="3273425"/>
            <wp:effectExtent l="0" t="0" r="9525" b="3175"/>
            <wp:docPr id="193079709" name="Chart 1">
              <a:extLst xmlns:a="http://schemas.openxmlformats.org/drawingml/2006/main">
                <a:ext uri="{FF2B5EF4-FFF2-40B4-BE49-F238E27FC236}">
                  <a16:creationId xmlns:a16="http://schemas.microsoft.com/office/drawing/2014/main" id="{FB2C83F8-3630-E3F4-FDED-05C81ABD9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45B69" w:rsidRPr="0063391F">
        <w:rPr>
          <w:i/>
          <w:sz w:val="20"/>
          <w:szCs w:val="20"/>
        </w:rPr>
        <w:t>Figure 2: CO</w:t>
      </w:r>
      <w:r w:rsidR="00445B69" w:rsidRPr="0063391F">
        <w:rPr>
          <w:i/>
          <w:sz w:val="20"/>
          <w:szCs w:val="20"/>
          <w:vertAlign w:val="subscript"/>
        </w:rPr>
        <w:t>2</w:t>
      </w:r>
      <w:r w:rsidR="00445B69" w:rsidRPr="0063391F">
        <w:rPr>
          <w:i/>
          <w:sz w:val="20"/>
          <w:szCs w:val="20"/>
        </w:rPr>
        <w:t xml:space="preserve"> per capita emission estimates </w:t>
      </w:r>
      <w:r w:rsidR="00065AA6" w:rsidRPr="0063391F">
        <w:rPr>
          <w:i/>
          <w:sz w:val="20"/>
          <w:szCs w:val="20"/>
        </w:rPr>
        <w:t>by LGD</w:t>
      </w:r>
      <w:r w:rsidR="00445B69" w:rsidRPr="0063391F">
        <w:rPr>
          <w:i/>
          <w:sz w:val="20"/>
          <w:szCs w:val="20"/>
        </w:rPr>
        <w:t xml:space="preserve"> and Northern Ireland 2010 to 202</w:t>
      </w:r>
      <w:r>
        <w:rPr>
          <w:i/>
          <w:sz w:val="20"/>
          <w:szCs w:val="20"/>
        </w:rPr>
        <w:t>2</w:t>
      </w:r>
      <w:r w:rsidR="00445B69" w:rsidRPr="0063391F">
        <w:rPr>
          <w:i/>
          <w:sz w:val="20"/>
          <w:szCs w:val="20"/>
        </w:rPr>
        <w:t xml:space="preserve">. Source: </w:t>
      </w:r>
      <w:r w:rsidR="00445B69" w:rsidRPr="0063391F">
        <w:rPr>
          <w:rFonts w:cstheme="minorHAnsi"/>
          <w:i/>
          <w:sz w:val="20"/>
          <w:szCs w:val="20"/>
          <w:shd w:val="clear" w:color="auto" w:fill="FFFFFF"/>
        </w:rPr>
        <w:t>Local Authority territorial carbon dioxide (CO2) emissions estimates 2005-202</w:t>
      </w:r>
      <w:r>
        <w:rPr>
          <w:rFonts w:cstheme="minorHAnsi"/>
          <w:i/>
          <w:sz w:val="20"/>
          <w:szCs w:val="20"/>
          <w:shd w:val="clear" w:color="auto" w:fill="FFFFFF"/>
        </w:rPr>
        <w:t>2</w:t>
      </w:r>
      <w:r w:rsidR="00445B69" w:rsidRPr="0063391F">
        <w:rPr>
          <w:rFonts w:cstheme="minorHAnsi"/>
          <w:i/>
          <w:sz w:val="20"/>
          <w:szCs w:val="20"/>
          <w:shd w:val="clear" w:color="auto" w:fill="FFFFFF"/>
        </w:rPr>
        <w:t xml:space="preserve"> (kt CO2e)</w:t>
      </w:r>
      <w:r w:rsidR="00445B69" w:rsidRPr="0063391F">
        <w:rPr>
          <w:i/>
          <w:sz w:val="20"/>
          <w:szCs w:val="20"/>
        </w:rPr>
        <w:t>, Department for Business, Energy and Industrial Strategy.</w:t>
      </w:r>
    </w:p>
    <w:p w14:paraId="577667A8" w14:textId="77777777" w:rsidR="0063391F" w:rsidRDefault="0063391F">
      <w:pPr>
        <w:rPr>
          <w:i/>
          <w:sz w:val="20"/>
          <w:szCs w:val="20"/>
        </w:rPr>
      </w:pPr>
    </w:p>
    <w:p w14:paraId="7473723E" w14:textId="77777777" w:rsidR="009D2ED9" w:rsidRPr="00002A8E" w:rsidRDefault="00002A8E">
      <w:pPr>
        <w:rPr>
          <w:i/>
          <w:sz w:val="20"/>
          <w:szCs w:val="20"/>
        </w:rPr>
      </w:pPr>
      <w:r>
        <w:t>Furthe</w:t>
      </w:r>
      <w:r w:rsidR="009242F4">
        <w:t>r information on CO</w:t>
      </w:r>
      <w:r w:rsidR="009242F4" w:rsidRPr="009242F4">
        <w:rPr>
          <w:vertAlign w:val="subscript"/>
        </w:rPr>
        <w:t>2</w:t>
      </w:r>
      <w:r>
        <w:t xml:space="preserve"> </w:t>
      </w:r>
      <w:r w:rsidR="009242F4">
        <w:t xml:space="preserve">emission estimates </w:t>
      </w:r>
      <w:r>
        <w:t>can be found via the following link:</w:t>
      </w:r>
    </w:p>
    <w:p w14:paraId="0BF2B481" w14:textId="77777777" w:rsidR="00A70F15" w:rsidRDefault="00594BB3" w:rsidP="009242F4">
      <w:pPr>
        <w:rPr>
          <w:i/>
          <w:sz w:val="20"/>
          <w:szCs w:val="20"/>
        </w:rPr>
      </w:pPr>
      <w:hyperlink r:id="rId9" w:history="1">
        <w:r w:rsidR="009242F4">
          <w:rPr>
            <w:rStyle w:val="Hyperlink"/>
          </w:rPr>
          <w:t>https://www.gov.uk/government/collections/uk-local-authority-and-regional-carbon-dioxide-emissions-national-statistics</w:t>
        </w:r>
      </w:hyperlink>
    </w:p>
    <w:sectPr w:rsidR="00A70F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47F5" w14:textId="77777777" w:rsidR="009265FF" w:rsidRDefault="009265FF" w:rsidP="009470B4">
      <w:pPr>
        <w:spacing w:after="0" w:line="240" w:lineRule="auto"/>
      </w:pPr>
      <w:r>
        <w:separator/>
      </w:r>
    </w:p>
  </w:endnote>
  <w:endnote w:type="continuationSeparator" w:id="0">
    <w:p w14:paraId="48C67D38" w14:textId="77777777" w:rsidR="009265FF" w:rsidRDefault="009265FF"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684376"/>
      <w:docPartObj>
        <w:docPartGallery w:val="Page Numbers (Bottom of Page)"/>
        <w:docPartUnique/>
      </w:docPartObj>
    </w:sdtPr>
    <w:sdtEndPr>
      <w:rPr>
        <w:noProof/>
      </w:rPr>
    </w:sdtEndPr>
    <w:sdtContent>
      <w:p w14:paraId="0791253C" w14:textId="77777777" w:rsidR="009470B4" w:rsidRDefault="009470B4">
        <w:pPr>
          <w:pStyle w:val="Footer"/>
          <w:jc w:val="right"/>
        </w:pPr>
        <w:r>
          <w:fldChar w:fldCharType="begin"/>
        </w:r>
        <w:r>
          <w:instrText xml:space="preserve"> PAGE   \* MERGEFORMAT </w:instrText>
        </w:r>
        <w:r>
          <w:fldChar w:fldCharType="separate"/>
        </w:r>
        <w:r w:rsidR="000D1EBE">
          <w:rPr>
            <w:noProof/>
          </w:rPr>
          <w:t>3</w:t>
        </w:r>
        <w:r>
          <w:rPr>
            <w:noProof/>
          </w:rPr>
          <w:fldChar w:fldCharType="end"/>
        </w:r>
      </w:p>
    </w:sdtContent>
  </w:sdt>
  <w:p w14:paraId="664E34B5" w14:textId="77777777"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A2E5A" w14:textId="77777777" w:rsidR="009265FF" w:rsidRDefault="009265FF" w:rsidP="009470B4">
      <w:pPr>
        <w:spacing w:after="0" w:line="240" w:lineRule="auto"/>
      </w:pPr>
      <w:r>
        <w:separator/>
      </w:r>
    </w:p>
  </w:footnote>
  <w:footnote w:type="continuationSeparator" w:id="0">
    <w:p w14:paraId="5C8B31D2" w14:textId="77777777" w:rsidR="009265FF" w:rsidRDefault="009265FF" w:rsidP="009470B4">
      <w:pPr>
        <w:spacing w:after="0" w:line="240" w:lineRule="auto"/>
      </w:pPr>
      <w:r>
        <w:continuationSeparator/>
      </w:r>
    </w:p>
  </w:footnote>
  <w:footnote w:id="1">
    <w:p w14:paraId="4428C418" w14:textId="77777777" w:rsidR="004F4CC1" w:rsidRDefault="004F4CC1">
      <w:pPr>
        <w:pStyle w:val="FootnoteText"/>
      </w:pPr>
      <w:r>
        <w:rPr>
          <w:rStyle w:val="FootnoteReference"/>
        </w:rPr>
        <w:footnoteRef/>
      </w:r>
      <w:r>
        <w:t xml:space="preserve"> </w:t>
      </w:r>
      <w:r w:rsidR="00866EAE" w:rsidRPr="00866EAE">
        <w:t>The greenhouse gases covered by these statistics are carbon dioxide, methane and nitrous oxide. In accordance with international reporting and carbon trading protocols, each of these gases is weighted by its global warming potential (GWP), so that total greenhouse gas emissions can be reported on a consistent basis (in carbon dioxide equivalent units</w:t>
      </w:r>
      <w:r w:rsidR="00866EAE">
        <w:t xml:space="preserve"> (CO2e)</w:t>
      </w:r>
      <w:r w:rsidR="00866EAE" w:rsidRPr="00866EAE">
        <w:t>). The GWP for each gas is defined as its warming influence relative to that of carbon dioxide. The GWPs used in these statistics are from Working Group 1 of the IPCC Fifth Assessment Report: Climate Change 2013.</w:t>
      </w:r>
      <w:r>
        <w:t xml:space="preserve"> </w:t>
      </w:r>
      <w:r w:rsidR="00866EAE">
        <w:t>(</w:t>
      </w:r>
      <w:hyperlink r:id="rId1" w:history="1">
        <w:r w:rsidR="00866EAE">
          <w:rPr>
            <w:rStyle w:val="Hyperlink"/>
          </w:rPr>
          <w:t>UK local authority and regional greenhouse gas emissions national statistics, 2005 to 2021 - GOV.UK (www.gov.uk)</w:t>
        </w:r>
      </w:hyperlink>
      <w:r w:rsidR="00866EA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02A8E"/>
    <w:rsid w:val="00015C89"/>
    <w:rsid w:val="00034091"/>
    <w:rsid w:val="00065AA6"/>
    <w:rsid w:val="000C7CE8"/>
    <w:rsid w:val="000D1EBE"/>
    <w:rsid w:val="0010425E"/>
    <w:rsid w:val="001464FA"/>
    <w:rsid w:val="00154E71"/>
    <w:rsid w:val="001627CE"/>
    <w:rsid w:val="0018519D"/>
    <w:rsid w:val="002042B4"/>
    <w:rsid w:val="00265E55"/>
    <w:rsid w:val="002B13D9"/>
    <w:rsid w:val="002F317F"/>
    <w:rsid w:val="00333FE6"/>
    <w:rsid w:val="00381E1E"/>
    <w:rsid w:val="00445B69"/>
    <w:rsid w:val="00470647"/>
    <w:rsid w:val="00494448"/>
    <w:rsid w:val="004B5004"/>
    <w:rsid w:val="004B5682"/>
    <w:rsid w:val="004D22DB"/>
    <w:rsid w:val="004F4CC1"/>
    <w:rsid w:val="00505DD9"/>
    <w:rsid w:val="005367EC"/>
    <w:rsid w:val="00540959"/>
    <w:rsid w:val="00543077"/>
    <w:rsid w:val="00543809"/>
    <w:rsid w:val="00546B94"/>
    <w:rsid w:val="00594BB3"/>
    <w:rsid w:val="005F612B"/>
    <w:rsid w:val="0063391F"/>
    <w:rsid w:val="00663F53"/>
    <w:rsid w:val="006D6FFA"/>
    <w:rsid w:val="006E4145"/>
    <w:rsid w:val="0079173A"/>
    <w:rsid w:val="007C1C25"/>
    <w:rsid w:val="007C7AFB"/>
    <w:rsid w:val="007F2EBB"/>
    <w:rsid w:val="00820F29"/>
    <w:rsid w:val="008353FB"/>
    <w:rsid w:val="00836E9E"/>
    <w:rsid w:val="0084512A"/>
    <w:rsid w:val="00866EAE"/>
    <w:rsid w:val="008C1EDC"/>
    <w:rsid w:val="008C3787"/>
    <w:rsid w:val="008C513E"/>
    <w:rsid w:val="008F0059"/>
    <w:rsid w:val="008F1AD8"/>
    <w:rsid w:val="00900955"/>
    <w:rsid w:val="009242F4"/>
    <w:rsid w:val="009265FF"/>
    <w:rsid w:val="009470B4"/>
    <w:rsid w:val="0098101A"/>
    <w:rsid w:val="00982759"/>
    <w:rsid w:val="009A4629"/>
    <w:rsid w:val="009D2ED9"/>
    <w:rsid w:val="009F37F9"/>
    <w:rsid w:val="00A00B0F"/>
    <w:rsid w:val="00A0792D"/>
    <w:rsid w:val="00A64F03"/>
    <w:rsid w:val="00A70F15"/>
    <w:rsid w:val="00A76810"/>
    <w:rsid w:val="00A833B7"/>
    <w:rsid w:val="00A93EC0"/>
    <w:rsid w:val="00BC62BB"/>
    <w:rsid w:val="00C17259"/>
    <w:rsid w:val="00C6515D"/>
    <w:rsid w:val="00CA03DD"/>
    <w:rsid w:val="00CA73A0"/>
    <w:rsid w:val="00CB5416"/>
    <w:rsid w:val="00CC76A0"/>
    <w:rsid w:val="00D10A1C"/>
    <w:rsid w:val="00D14FF4"/>
    <w:rsid w:val="00D82855"/>
    <w:rsid w:val="00DC0E4D"/>
    <w:rsid w:val="00E00CE7"/>
    <w:rsid w:val="00E4177D"/>
    <w:rsid w:val="00F1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DB10"/>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unhideWhenUsed/>
    <w:rsid w:val="009D2ED9"/>
    <w:rPr>
      <w:color w:val="0000FF"/>
      <w:u w:val="single"/>
    </w:rPr>
  </w:style>
  <w:style w:type="character" w:styleId="FollowedHyperlink">
    <w:name w:val="FollowedHyperlink"/>
    <w:basedOn w:val="DefaultParagraphFont"/>
    <w:uiPriority w:val="99"/>
    <w:semiHidden/>
    <w:unhideWhenUsed/>
    <w:rsid w:val="00A00B0F"/>
    <w:rPr>
      <w:color w:val="954F72" w:themeColor="followedHyperlink"/>
      <w:u w:val="single"/>
    </w:rPr>
  </w:style>
  <w:style w:type="table" w:styleId="GridTable1Light">
    <w:name w:val="Grid Table 1 Light"/>
    <w:basedOn w:val="TableNormal"/>
    <w:uiPriority w:val="46"/>
    <w:rsid w:val="00663F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33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1F"/>
    <w:rPr>
      <w:rFonts w:ascii="Segoe UI" w:hAnsi="Segoe UI" w:cs="Segoe UI"/>
      <w:sz w:val="18"/>
      <w:szCs w:val="18"/>
    </w:rPr>
  </w:style>
  <w:style w:type="paragraph" w:styleId="FootnoteText">
    <w:name w:val="footnote text"/>
    <w:basedOn w:val="Normal"/>
    <w:link w:val="FootnoteTextChar"/>
    <w:uiPriority w:val="99"/>
    <w:semiHidden/>
    <w:unhideWhenUsed/>
    <w:rsid w:val="004F4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CC1"/>
    <w:rPr>
      <w:sz w:val="20"/>
      <w:szCs w:val="20"/>
    </w:rPr>
  </w:style>
  <w:style w:type="character" w:styleId="FootnoteReference">
    <w:name w:val="footnote reference"/>
    <w:basedOn w:val="DefaultParagraphFont"/>
    <w:uiPriority w:val="99"/>
    <w:semiHidden/>
    <w:unhideWhenUsed/>
    <w:rsid w:val="004F4CC1"/>
    <w:rPr>
      <w:vertAlign w:val="superscript"/>
    </w:rPr>
  </w:style>
  <w:style w:type="paragraph" w:styleId="NoSpacing">
    <w:name w:val="No Spacing"/>
    <w:uiPriority w:val="1"/>
    <w:qFormat/>
    <w:rsid w:val="00866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740444110">
      <w:bodyDiv w:val="1"/>
      <w:marLeft w:val="0"/>
      <w:marRight w:val="0"/>
      <w:marTop w:val="0"/>
      <w:marBottom w:val="0"/>
      <w:divBdr>
        <w:top w:val="none" w:sz="0" w:space="0" w:color="auto"/>
        <w:left w:val="none" w:sz="0" w:space="0" w:color="auto"/>
        <w:bottom w:val="none" w:sz="0" w:space="0" w:color="auto"/>
        <w:right w:val="none" w:sz="0" w:space="0" w:color="auto"/>
      </w:divBdr>
    </w:div>
    <w:div w:id="813108904">
      <w:bodyDiv w:val="1"/>
      <w:marLeft w:val="0"/>
      <w:marRight w:val="0"/>
      <w:marTop w:val="0"/>
      <w:marBottom w:val="0"/>
      <w:divBdr>
        <w:top w:val="none" w:sz="0" w:space="0" w:color="auto"/>
        <w:left w:val="none" w:sz="0" w:space="0" w:color="auto"/>
        <w:bottom w:val="none" w:sz="0" w:space="0" w:color="auto"/>
        <w:right w:val="none" w:sz="0" w:space="0" w:color="auto"/>
      </w:divBdr>
      <w:divsChild>
        <w:div w:id="1308321507">
          <w:marLeft w:val="0"/>
          <w:marRight w:val="0"/>
          <w:marTop w:val="0"/>
          <w:marBottom w:val="0"/>
          <w:divBdr>
            <w:top w:val="none" w:sz="0" w:space="0" w:color="auto"/>
            <w:left w:val="none" w:sz="0" w:space="0" w:color="auto"/>
            <w:bottom w:val="none" w:sz="0" w:space="0" w:color="auto"/>
            <w:right w:val="none" w:sz="0" w:space="0" w:color="auto"/>
          </w:divBdr>
        </w:div>
        <w:div w:id="975841327">
          <w:marLeft w:val="0"/>
          <w:marRight w:val="0"/>
          <w:marTop w:val="0"/>
          <w:marBottom w:val="0"/>
          <w:divBdr>
            <w:top w:val="none" w:sz="0" w:space="0" w:color="auto"/>
            <w:left w:val="none" w:sz="0" w:space="0" w:color="auto"/>
            <w:bottom w:val="none" w:sz="0" w:space="0" w:color="auto"/>
            <w:right w:val="none" w:sz="0" w:space="0" w:color="auto"/>
          </w:divBdr>
        </w:div>
      </w:divsChild>
    </w:div>
    <w:div w:id="1262565899">
      <w:bodyDiv w:val="1"/>
      <w:marLeft w:val="0"/>
      <w:marRight w:val="0"/>
      <w:marTop w:val="0"/>
      <w:marBottom w:val="0"/>
      <w:divBdr>
        <w:top w:val="none" w:sz="0" w:space="0" w:color="auto"/>
        <w:left w:val="none" w:sz="0" w:space="0" w:color="auto"/>
        <w:bottom w:val="none" w:sz="0" w:space="0" w:color="auto"/>
        <w:right w:val="none" w:sz="0" w:space="0" w:color="auto"/>
      </w:divBdr>
      <w:divsChild>
        <w:div w:id="1032726579">
          <w:marLeft w:val="0"/>
          <w:marRight w:val="0"/>
          <w:marTop w:val="0"/>
          <w:marBottom w:val="0"/>
          <w:divBdr>
            <w:top w:val="none" w:sz="0" w:space="0" w:color="auto"/>
            <w:left w:val="none" w:sz="0" w:space="0" w:color="auto"/>
            <w:bottom w:val="none" w:sz="0" w:space="0" w:color="auto"/>
            <w:right w:val="none" w:sz="0" w:space="0" w:color="auto"/>
          </w:divBdr>
        </w:div>
        <w:div w:id="1243374791">
          <w:marLeft w:val="0"/>
          <w:marRight w:val="0"/>
          <w:marTop w:val="0"/>
          <w:marBottom w:val="0"/>
          <w:divBdr>
            <w:top w:val="none" w:sz="0" w:space="0" w:color="auto"/>
            <w:left w:val="none" w:sz="0" w:space="0" w:color="auto"/>
            <w:bottom w:val="none" w:sz="0" w:space="0" w:color="auto"/>
            <w:right w:val="none" w:sz="0" w:space="0" w:color="auto"/>
          </w:divBdr>
        </w:div>
      </w:divsChild>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collections/uk-local-authority-and-regional-carbon-dioxide-emissions-national-statist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uk-local-authority-and-regional-greenhouse-gas-emissions-national-statistics-2005-to-20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mty%20&amp;%20Strat%20Planning%20JD\DATA%20ANALYST\2.%20Statistics%20for%20Website\Environment%20and%20Heritage\2022%20Updates\Co2%20emissions%20update%20July%2024.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mty%20&amp;%20Strat%20Planning%20JD\DATA%20ANALYST\2.%20Statistics%20for%20Website\Environment%20and%20Heritage\2022%20Updates\Co2%20emissions%20update%20July%2024.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157003101885"/>
          <c:y val="4.6948356807511735E-2"/>
          <c:w val="0.84006521912033727"/>
          <c:h val="0.85404068409502587"/>
        </c:manualLayout>
      </c:layout>
      <c:lineChart>
        <c:grouping val="standard"/>
        <c:varyColors val="0"/>
        <c:ser>
          <c:idx val="0"/>
          <c:order val="0"/>
          <c:tx>
            <c:strRef>
              <c:f>Sheet1!$C$4</c:f>
              <c:strCache>
                <c:ptCount val="1"/>
                <c:pt idx="0">
                  <c:v>Armagh City, Banbridge and Craigavon</c:v>
                </c:pt>
              </c:strCache>
            </c:strRef>
          </c:tx>
          <c:spPr>
            <a:ln w="28575" cap="rnd">
              <a:solidFill>
                <a:schemeClr val="accent1"/>
              </a:solidFill>
              <a:round/>
            </a:ln>
            <a:effectLst/>
          </c:spPr>
          <c:marker>
            <c:symbol val="diamond"/>
            <c:size val="6"/>
            <c:spPr>
              <a:solidFill>
                <a:schemeClr val="accent1"/>
              </a:solidFill>
              <a:ln w="9525">
                <a:solidFill>
                  <a:schemeClr val="accent1"/>
                </a:solidFill>
              </a:ln>
              <a:effectLst/>
            </c:spPr>
          </c:marker>
          <c:cat>
            <c:numRef>
              <c:f>Sheet1!$B$5:$B$17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Sheet1!$C$5:$C$17</c:f>
              <c:numCache>
                <c:formatCode>#,##0.0</c:formatCode>
                <c:ptCount val="13"/>
                <c:pt idx="0">
                  <c:v>1879.5535822725901</c:v>
                </c:pt>
                <c:pt idx="1">
                  <c:v>1736.7371594125323</c:v>
                </c:pt>
                <c:pt idx="2">
                  <c:v>1748.5538468885702</c:v>
                </c:pt>
                <c:pt idx="3">
                  <c:v>1713.8439036730676</c:v>
                </c:pt>
                <c:pt idx="4">
                  <c:v>1636.4671603236961</c:v>
                </c:pt>
                <c:pt idx="5">
                  <c:v>1592.8064374846645</c:v>
                </c:pt>
                <c:pt idx="6">
                  <c:v>1516.6318307994122</c:v>
                </c:pt>
                <c:pt idx="7">
                  <c:v>1469.8941035464088</c:v>
                </c:pt>
                <c:pt idx="8">
                  <c:v>1473.0861675333961</c:v>
                </c:pt>
                <c:pt idx="9">
                  <c:v>1432.5717886345792</c:v>
                </c:pt>
                <c:pt idx="10">
                  <c:v>1324.1485348345423</c:v>
                </c:pt>
                <c:pt idx="11">
                  <c:v>1387.5388423299225</c:v>
                </c:pt>
                <c:pt idx="12">
                  <c:v>1341.4738692059732</c:v>
                </c:pt>
              </c:numCache>
            </c:numRef>
          </c:val>
          <c:smooth val="0"/>
          <c:extLst>
            <c:ext xmlns:c16="http://schemas.microsoft.com/office/drawing/2014/chart" uri="{C3380CC4-5D6E-409C-BE32-E72D297353CC}">
              <c16:uniqueId val="{00000000-5FBD-4294-891A-630B01E79013}"/>
            </c:ext>
          </c:extLst>
        </c:ser>
        <c:dLbls>
          <c:showLegendKey val="0"/>
          <c:showVal val="0"/>
          <c:showCatName val="0"/>
          <c:showSerName val="0"/>
          <c:showPercent val="0"/>
          <c:showBubbleSize val="0"/>
        </c:dLbls>
        <c:marker val="1"/>
        <c:smooth val="0"/>
        <c:axId val="902638015"/>
        <c:axId val="902637535"/>
      </c:lineChart>
      <c:catAx>
        <c:axId val="90263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637535"/>
        <c:crosses val="autoZero"/>
        <c:auto val="1"/>
        <c:lblAlgn val="ctr"/>
        <c:lblOffset val="100"/>
        <c:noMultiLvlLbl val="0"/>
      </c:catAx>
      <c:valAx>
        <c:axId val="902637535"/>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638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101805621490663"/>
          <c:y val="5.4867433049836926E-2"/>
          <c:w val="0.51638330032030821"/>
          <c:h val="0.79759715079987692"/>
        </c:manualLayout>
      </c:layout>
      <c:barChart>
        <c:barDir val="bar"/>
        <c:grouping val="clustered"/>
        <c:varyColors val="0"/>
        <c:ser>
          <c:idx val="0"/>
          <c:order val="0"/>
          <c:tx>
            <c:strRef>
              <c:f>Sheet1!$D$42</c:f>
              <c:strCache>
                <c:ptCount val="1"/>
                <c:pt idx="0">
                  <c:v>Per Capita Emissions (tCO2e)</c:v>
                </c:pt>
              </c:strCache>
            </c:strRef>
          </c:tx>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1-C988-4ACB-967C-87D240A389A0}"/>
              </c:ext>
            </c:extLst>
          </c:dPt>
          <c:dPt>
            <c:idx val="7"/>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C988-4ACB-967C-87D240A389A0}"/>
              </c:ext>
            </c:extLst>
          </c:dPt>
          <c:cat>
            <c:strRef>
              <c:f>Sheet1!$C$43:$C$54</c:f>
              <c:strCache>
                <c:ptCount val="12"/>
                <c:pt idx="0">
                  <c:v>Belfast</c:v>
                </c:pt>
                <c:pt idx="1">
                  <c:v>Ards and North Down</c:v>
                </c:pt>
                <c:pt idx="2">
                  <c:v>Lisburn and Castlereagh</c:v>
                </c:pt>
                <c:pt idx="3">
                  <c:v>Antrim and Newtownabbey</c:v>
                </c:pt>
                <c:pt idx="4">
                  <c:v>Mid and East Antrim</c:v>
                </c:pt>
                <c:pt idx="5">
                  <c:v>Newry, Mourne and Down</c:v>
                </c:pt>
                <c:pt idx="6">
                  <c:v>Northern Ireland </c:v>
                </c:pt>
                <c:pt idx="7">
                  <c:v>Armagh City, Banbridge and Craigavon</c:v>
                </c:pt>
                <c:pt idx="8">
                  <c:v>Derry City and Strabane</c:v>
                </c:pt>
                <c:pt idx="9">
                  <c:v>Causeway Coast and Glens</c:v>
                </c:pt>
                <c:pt idx="10">
                  <c:v>Mid Ulster</c:v>
                </c:pt>
                <c:pt idx="11">
                  <c:v>Fermanagh and Omagh</c:v>
                </c:pt>
              </c:strCache>
            </c:strRef>
          </c:cat>
          <c:val>
            <c:numRef>
              <c:f>Sheet1!$D$43:$D$54</c:f>
              <c:numCache>
                <c:formatCode>#,##0.0</c:formatCode>
                <c:ptCount val="12"/>
                <c:pt idx="0">
                  <c:v>3.8500014843505497</c:v>
                </c:pt>
                <c:pt idx="1">
                  <c:v>5.0265860157516267</c:v>
                </c:pt>
                <c:pt idx="2">
                  <c:v>5.2862549454559931</c:v>
                </c:pt>
                <c:pt idx="3">
                  <c:v>5.2978476786021345</c:v>
                </c:pt>
                <c:pt idx="4">
                  <c:v>5.8756846299180951</c:v>
                </c:pt>
                <c:pt idx="5">
                  <c:v>5.8815423229315007</c:v>
                </c:pt>
                <c:pt idx="6">
                  <c:v>6.072923918794225</c:v>
                </c:pt>
                <c:pt idx="7">
                  <c:v>6.0901065923611064</c:v>
                </c:pt>
                <c:pt idx="8">
                  <c:v>7.2790498239871884</c:v>
                </c:pt>
                <c:pt idx="9">
                  <c:v>7.5584540993062168</c:v>
                </c:pt>
                <c:pt idx="10">
                  <c:v>8.9948290767849723</c:v>
                </c:pt>
                <c:pt idx="11">
                  <c:v>9.5105946767300793</c:v>
                </c:pt>
              </c:numCache>
            </c:numRef>
          </c:val>
          <c:extLst>
            <c:ext xmlns:c16="http://schemas.microsoft.com/office/drawing/2014/chart" uri="{C3380CC4-5D6E-409C-BE32-E72D297353CC}">
              <c16:uniqueId val="{00000004-C988-4ACB-967C-87D240A389A0}"/>
            </c:ext>
          </c:extLst>
        </c:ser>
        <c:dLbls>
          <c:showLegendKey val="0"/>
          <c:showVal val="0"/>
          <c:showCatName val="0"/>
          <c:showSerName val="0"/>
          <c:showPercent val="0"/>
          <c:showBubbleSize val="0"/>
        </c:dLbls>
        <c:gapWidth val="150"/>
        <c:axId val="1222401951"/>
        <c:axId val="1222399071"/>
      </c:barChart>
      <c:catAx>
        <c:axId val="12224019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2399071"/>
        <c:crosses val="autoZero"/>
        <c:auto val="1"/>
        <c:lblAlgn val="ctr"/>
        <c:lblOffset val="100"/>
        <c:noMultiLvlLbl val="0"/>
      </c:catAx>
      <c:valAx>
        <c:axId val="1222399071"/>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2401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0.00051</cdr:x>
      <cdr:y>0.24342</cdr:y>
    </cdr:from>
    <cdr:to>
      <cdr:x>0.06922</cdr:x>
      <cdr:y>0.67143</cdr:y>
    </cdr:to>
    <cdr:sp macro="" textlink="">
      <cdr:nvSpPr>
        <cdr:cNvPr id="3" name="TextBox 2">
          <a:extLst xmlns:a="http://schemas.openxmlformats.org/drawingml/2006/main">
            <a:ext uri="{FF2B5EF4-FFF2-40B4-BE49-F238E27FC236}">
              <a16:creationId xmlns:a16="http://schemas.microsoft.com/office/drawing/2014/main" id="{D6CD6403-6188-8599-DD26-30A6C9ED2983}"/>
            </a:ext>
          </a:extLst>
        </cdr:cNvPr>
        <cdr:cNvSpPr txBox="1"/>
      </cdr:nvSpPr>
      <cdr:spPr>
        <a:xfrm xmlns:a="http://schemas.openxmlformats.org/drawingml/2006/main" rot="16200000">
          <a:off x="-461455" y="1188320"/>
          <a:ext cx="1273605" cy="3455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a:effectLst/>
              <a:latin typeface="+mn-lt"/>
              <a:ea typeface="+mn-ea"/>
              <a:cs typeface="+mn-cs"/>
            </a:rPr>
            <a:t>Kilotonnes</a:t>
          </a:r>
          <a:r>
            <a:rPr lang="en-GB" sz="1100" baseline="0">
              <a:effectLst/>
              <a:latin typeface="+mn-lt"/>
              <a:ea typeface="+mn-ea"/>
              <a:cs typeface="+mn-cs"/>
            </a:rPr>
            <a:t> (Kt CO</a:t>
          </a:r>
          <a:r>
            <a:rPr lang="en-GB" sz="1100" baseline="-25000">
              <a:effectLst/>
              <a:latin typeface="+mn-lt"/>
              <a:ea typeface="+mn-ea"/>
              <a:cs typeface="+mn-cs"/>
            </a:rPr>
            <a:t>2</a:t>
          </a:r>
          <a:r>
            <a:rPr lang="en-GB" sz="1100" baseline="0">
              <a:effectLst/>
              <a:latin typeface="+mn-lt"/>
              <a:ea typeface="+mn-ea"/>
              <a:cs typeface="+mn-cs"/>
            </a:rPr>
            <a:t>e)</a:t>
          </a:r>
          <a:endParaRPr lang="en-GB">
            <a:effectLst/>
          </a:endParaRPr>
        </a:p>
        <a:p xmlns:a="http://schemas.openxmlformats.org/drawingml/2006/main">
          <a:r>
            <a:rPr lang="en-GB" sz="1100" baseline="0"/>
            <a:t> </a:t>
          </a:r>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0.49757</cdr:x>
      <cdr:y>0.91096</cdr:y>
    </cdr:from>
    <cdr:to>
      <cdr:x>0.89793</cdr:x>
      <cdr:y>1</cdr:y>
    </cdr:to>
    <cdr:sp macro="" textlink="">
      <cdr:nvSpPr>
        <cdr:cNvPr id="2" name="TextBox 1">
          <a:extLst xmlns:a="http://schemas.openxmlformats.org/drawingml/2006/main">
            <a:ext uri="{FF2B5EF4-FFF2-40B4-BE49-F238E27FC236}">
              <a16:creationId xmlns:a16="http://schemas.microsoft.com/office/drawing/2014/main" id="{D776E2D1-1B5F-130A-8750-A7E8BD061557}"/>
            </a:ext>
          </a:extLst>
        </cdr:cNvPr>
        <cdr:cNvSpPr txBox="1"/>
      </cdr:nvSpPr>
      <cdr:spPr>
        <a:xfrm xmlns:a="http://schemas.openxmlformats.org/drawingml/2006/main">
          <a:off x="2279650" y="2760125"/>
          <a:ext cx="1834217" cy="26977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bg2">
                  <a:lumMod val="50000"/>
                </a:schemeClr>
              </a:solidFill>
            </a:rPr>
            <a:t>Per Capita Emissions (tCO</a:t>
          </a:r>
          <a:r>
            <a:rPr lang="en-GB" sz="1100" baseline="-25000">
              <a:solidFill>
                <a:schemeClr val="bg2">
                  <a:lumMod val="50000"/>
                </a:schemeClr>
              </a:solidFill>
            </a:rPr>
            <a:t>2</a:t>
          </a:r>
          <a:r>
            <a:rPr lang="en-GB" sz="1100">
              <a:solidFill>
                <a:schemeClr val="bg2">
                  <a:lumMod val="50000"/>
                </a:schemeClr>
              </a:solidFill>
            </a:rPr>
            <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92EA-3257-46D7-BB23-D2761F4E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4</cp:revision>
  <cp:lastPrinted>2022-11-07T16:04:00Z</cp:lastPrinted>
  <dcterms:created xsi:type="dcterms:W3CDTF">2024-07-04T09:02:00Z</dcterms:created>
  <dcterms:modified xsi:type="dcterms:W3CDTF">2024-07-05T10:49:00Z</dcterms:modified>
</cp:coreProperties>
</file>