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E564" w14:textId="77777777" w:rsidR="00A35378" w:rsidRDefault="00106892">
      <w:pPr>
        <w:rPr>
          <w:b/>
        </w:rPr>
      </w:pPr>
      <w:r w:rsidRPr="00106892">
        <w:rPr>
          <w:b/>
        </w:rPr>
        <w:t xml:space="preserve">District Electoral Areas </w:t>
      </w:r>
    </w:p>
    <w:p w14:paraId="4AA2255D" w14:textId="77777777" w:rsidR="00106892" w:rsidRDefault="00503482">
      <w:r>
        <w:t xml:space="preserve">In 2008, the Northern Ireland Assembly approved the reform of Local Government. The change moved Local Government from 26 Districts to 11 new Districts, as well as making changes to the powers of Local Government. The new 11 Districts are made up </w:t>
      </w:r>
      <w:r w:rsidR="00377489">
        <w:t>of 80 District Electoral Areas, which form the basis for the electoral representation on councils.</w:t>
      </w:r>
    </w:p>
    <w:p w14:paraId="49803A2D" w14:textId="77777777" w:rsidR="00377489" w:rsidRDefault="00377489">
      <w:r>
        <w:t>Armagh City, Banbridge and Craigavon Borough is made up of seven District Electoral Areas</w:t>
      </w:r>
      <w:r w:rsidR="0037158B">
        <w:t xml:space="preserve"> as shown below</w:t>
      </w:r>
      <w:r>
        <w:t>: Armagh, Banbridge, Craigavon, Cusher, Lagan River, Lurgan and Portadown.</w:t>
      </w:r>
    </w:p>
    <w:p w14:paraId="57449E92" w14:textId="77777777" w:rsidR="008353E9" w:rsidRDefault="008353E9"/>
    <w:p w14:paraId="7E843927" w14:textId="77777777" w:rsidR="0037158B" w:rsidRDefault="008353E9" w:rsidP="0037158B">
      <w:pPr>
        <w:rPr>
          <w:i/>
          <w:sz w:val="20"/>
          <w:szCs w:val="20"/>
        </w:rPr>
      </w:pPr>
      <w:r w:rsidRPr="008353E9">
        <w:rPr>
          <w:noProof/>
          <w:lang w:eastAsia="en-GB"/>
        </w:rPr>
        <w:drawing>
          <wp:inline distT="0" distB="0" distL="0" distR="0" wp14:anchorId="2E364011" wp14:editId="724496CD">
            <wp:extent cx="5648325" cy="2953372"/>
            <wp:effectExtent l="19050" t="19050" r="9525" b="19050"/>
            <wp:docPr id="1" name="Picture 1" descr="S:\NISRA Statistician\GIS\Map documents\DEAs\DEAs_ABC blue.jpg" title="District Electoral Areas within Armagh City, Banbridge and Craigavon Borou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SRA Statistician\GIS\Map documents\DEAs\DEAs_ABC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3096" cy="2955867"/>
                    </a:xfrm>
                    <a:prstGeom prst="rect">
                      <a:avLst/>
                    </a:prstGeom>
                    <a:ln w="12700" cap="sq">
                      <a:solidFill>
                        <a:srgbClr val="000000"/>
                      </a:solidFill>
                      <a:prstDash val="solid"/>
                      <a:miter lim="800000"/>
                    </a:ln>
                    <a:effectLst/>
                  </pic:spPr>
                </pic:pic>
              </a:graphicData>
            </a:graphic>
          </wp:inline>
        </w:drawing>
      </w:r>
      <w:r w:rsidR="0037158B">
        <w:rPr>
          <w:i/>
          <w:sz w:val="20"/>
          <w:szCs w:val="20"/>
        </w:rPr>
        <w:t>Figure</w:t>
      </w:r>
      <w:r w:rsidR="007366E0">
        <w:rPr>
          <w:i/>
          <w:sz w:val="20"/>
          <w:szCs w:val="20"/>
        </w:rPr>
        <w:t xml:space="preserve"> 1:</w:t>
      </w:r>
      <w:r w:rsidR="0037158B" w:rsidRPr="002A2185">
        <w:rPr>
          <w:i/>
          <w:sz w:val="20"/>
          <w:szCs w:val="20"/>
        </w:rPr>
        <w:t xml:space="preserve"> </w:t>
      </w:r>
      <w:r w:rsidR="0037158B">
        <w:rPr>
          <w:i/>
          <w:sz w:val="20"/>
          <w:szCs w:val="20"/>
        </w:rPr>
        <w:t>District Electoral Areas within Armagh City, Banbridge and Craigavon Borough</w:t>
      </w:r>
      <w:r w:rsidR="0037158B" w:rsidRPr="002A2185">
        <w:rPr>
          <w:i/>
          <w:sz w:val="20"/>
          <w:szCs w:val="20"/>
        </w:rPr>
        <w:t>.</w:t>
      </w:r>
    </w:p>
    <w:p w14:paraId="31917F82" w14:textId="77777777" w:rsidR="00BA03F2" w:rsidRDefault="00BA03F2" w:rsidP="0037158B"/>
    <w:p w14:paraId="35D57F42" w14:textId="77777777" w:rsidR="00B10B2B" w:rsidRPr="00B10B2B" w:rsidRDefault="00B10B2B" w:rsidP="0037158B">
      <w:pPr>
        <w:rPr>
          <w:u w:val="single"/>
        </w:rPr>
      </w:pPr>
      <w:r w:rsidRPr="00B10B2B">
        <w:rPr>
          <w:u w:val="single"/>
        </w:rPr>
        <w:t>Census 2021</w:t>
      </w:r>
    </w:p>
    <w:p w14:paraId="5A7FE96E" w14:textId="77777777" w:rsidR="00B10B2B" w:rsidRDefault="002C6837" w:rsidP="00B10B2B">
      <w:r>
        <w:t>On Census Day 202</w:t>
      </w:r>
      <w:r w:rsidR="00B10B2B">
        <w:t xml:space="preserve">1 the usual resident population of Armagh City, Banbridge and Craigavon Borough was </w:t>
      </w:r>
      <w:r>
        <w:t>218,656.</w:t>
      </w:r>
      <w:r w:rsidR="00B10B2B">
        <w:t xml:space="preserve"> This accounted for 11.</w:t>
      </w:r>
      <w:r>
        <w:t>5</w:t>
      </w:r>
      <w:r w:rsidR="00B10B2B">
        <w:t>% of the Northern Ireland population, the second largest council in terms of population after Belfast.</w:t>
      </w:r>
    </w:p>
    <w:p w14:paraId="782B14B9" w14:textId="0183D4D9" w:rsidR="00BE1AB0" w:rsidRDefault="00BE1AB0" w:rsidP="0037158B">
      <w:r>
        <w:t xml:space="preserve">The largest district </w:t>
      </w:r>
      <w:proofErr w:type="spellStart"/>
      <w:r>
        <w:t>District</w:t>
      </w:r>
      <w:proofErr w:type="spellEnd"/>
      <w:r>
        <w:t xml:space="preserve"> Electoral Area (DEA) in the borough on Census Day in terms of population was Lurgan </w:t>
      </w:r>
      <w:r w:rsidR="007366E0">
        <w:t xml:space="preserve">DEA </w:t>
      </w:r>
      <w:r>
        <w:t xml:space="preserve">with a usual resident population of </w:t>
      </w:r>
      <w:r w:rsidR="00B933F9">
        <w:t>approximately 38,</w:t>
      </w:r>
      <w:r w:rsidR="007E27C1">
        <w:t>198</w:t>
      </w:r>
      <w:r>
        <w:t xml:space="preserve"> (17.5% of the borough’s population). This was closely followed by Banbridge DEA with a population of </w:t>
      </w:r>
      <w:r w:rsidR="00B933F9">
        <w:t>34,940 (16</w:t>
      </w:r>
      <w:r>
        <w:t xml:space="preserve">% of the borough’s population). The smallest DEA in the borough was Lagan River with a population of </w:t>
      </w:r>
      <w:r w:rsidR="00B933F9">
        <w:t>24,80</w:t>
      </w:r>
      <w:r w:rsidR="007E27C1">
        <w:t>3</w:t>
      </w:r>
      <w:r>
        <w:t xml:space="preserve"> (11.</w:t>
      </w:r>
      <w:r w:rsidR="00B933F9">
        <w:t>3</w:t>
      </w:r>
      <w:r>
        <w:t>% of the borough’s population).</w:t>
      </w:r>
    </w:p>
    <w:p w14:paraId="27C6EF66" w14:textId="44BBB01F" w:rsidR="00252044" w:rsidRDefault="00BE1AB0" w:rsidP="0037158B">
      <w:r>
        <w:t>Ther</w:t>
      </w:r>
      <w:r w:rsidR="00B933F9">
        <w:t>e were 108,2</w:t>
      </w:r>
      <w:r w:rsidR="007E27C1">
        <w:t>67</w:t>
      </w:r>
      <w:r w:rsidR="00B933F9">
        <w:t xml:space="preserve"> males (49.5%) and 110,38</w:t>
      </w:r>
      <w:r w:rsidR="007E27C1">
        <w:t>8</w:t>
      </w:r>
      <w:r w:rsidR="00B933F9">
        <w:t xml:space="preserve"> females (50.5</w:t>
      </w:r>
      <w:r>
        <w:t xml:space="preserve">%) resident </w:t>
      </w:r>
      <w:r w:rsidR="001649A9">
        <w:t>in the borough on Census Day 202</w:t>
      </w:r>
      <w:r>
        <w:t xml:space="preserve">1. The proportions of males and females were relatively similar across the seven DEAs in the borough. </w:t>
      </w:r>
    </w:p>
    <w:p w14:paraId="15DAEF01" w14:textId="77777777" w:rsidR="00252044" w:rsidRDefault="00252044" w:rsidP="0037158B"/>
    <w:p w14:paraId="0B0FAFC4" w14:textId="77777777" w:rsidR="00B933F9" w:rsidRDefault="00B933F9" w:rsidP="0037158B"/>
    <w:p w14:paraId="73D6A0BB" w14:textId="77777777" w:rsidR="00B933F9" w:rsidRDefault="00B933F9" w:rsidP="00780BD9">
      <w:pPr>
        <w:rPr>
          <w:i/>
          <w:sz w:val="20"/>
          <w:szCs w:val="20"/>
        </w:rPr>
      </w:pPr>
    </w:p>
    <w:tbl>
      <w:tblPr>
        <w:tblStyle w:val="GridTable1Light"/>
        <w:tblW w:w="8500" w:type="dxa"/>
        <w:tblLayout w:type="fixed"/>
        <w:tblLook w:val="04A0" w:firstRow="1" w:lastRow="0" w:firstColumn="1" w:lastColumn="0" w:noHBand="0" w:noVBand="1"/>
      </w:tblPr>
      <w:tblGrid>
        <w:gridCol w:w="1740"/>
        <w:gridCol w:w="1352"/>
        <w:gridCol w:w="1352"/>
        <w:gridCol w:w="1352"/>
        <w:gridCol w:w="1352"/>
        <w:gridCol w:w="1352"/>
      </w:tblGrid>
      <w:tr w:rsidR="00B933F9" w:rsidRPr="007E27C1" w14:paraId="72A1E1C0" w14:textId="77777777" w:rsidTr="007E27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0BE11E6C" w14:textId="77777777" w:rsidR="00B933F9" w:rsidRPr="007E27C1" w:rsidRDefault="00B933F9" w:rsidP="00B933F9">
            <w:pPr>
              <w:rPr>
                <w:rFonts w:eastAsia="Times New Roman" w:cstheme="minorHAnsi"/>
                <w:b w:val="0"/>
                <w:color w:val="000000"/>
                <w:lang w:eastAsia="en-GB"/>
              </w:rPr>
            </w:pPr>
            <w:r w:rsidRPr="007E27C1">
              <w:rPr>
                <w:rFonts w:eastAsia="Times New Roman" w:cstheme="minorHAnsi"/>
                <w:color w:val="000000"/>
                <w:lang w:eastAsia="en-GB"/>
              </w:rPr>
              <w:lastRenderedPageBreak/>
              <w:t>DEA </w:t>
            </w:r>
          </w:p>
        </w:tc>
        <w:tc>
          <w:tcPr>
            <w:tcW w:w="1352" w:type="dxa"/>
            <w:hideMark/>
          </w:tcPr>
          <w:p w14:paraId="5658CBB5" w14:textId="77777777" w:rsidR="00B933F9" w:rsidRPr="007E27C1" w:rsidRDefault="00B933F9" w:rsidP="00B933F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en-GB"/>
              </w:rPr>
            </w:pPr>
            <w:r w:rsidRPr="007E27C1">
              <w:rPr>
                <w:rFonts w:eastAsia="Times New Roman" w:cstheme="minorHAnsi"/>
                <w:color w:val="000000"/>
                <w:lang w:eastAsia="en-GB"/>
              </w:rPr>
              <w:t>Female</w:t>
            </w:r>
          </w:p>
        </w:tc>
        <w:tc>
          <w:tcPr>
            <w:tcW w:w="1352" w:type="dxa"/>
            <w:noWrap/>
            <w:hideMark/>
          </w:tcPr>
          <w:p w14:paraId="278BBA9E" w14:textId="77777777" w:rsidR="00B933F9" w:rsidRPr="007E27C1" w:rsidRDefault="00B933F9" w:rsidP="00B933F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lang w:eastAsia="en-GB"/>
              </w:rPr>
            </w:pPr>
            <w:r w:rsidRPr="007E27C1">
              <w:rPr>
                <w:rFonts w:eastAsia="Times New Roman" w:cstheme="minorHAnsi"/>
                <w:color w:val="000000"/>
                <w:lang w:eastAsia="en-GB"/>
              </w:rPr>
              <w:t>%</w:t>
            </w:r>
          </w:p>
        </w:tc>
        <w:tc>
          <w:tcPr>
            <w:tcW w:w="1352" w:type="dxa"/>
            <w:hideMark/>
          </w:tcPr>
          <w:p w14:paraId="36830D66" w14:textId="77777777" w:rsidR="00B933F9" w:rsidRPr="007E27C1" w:rsidRDefault="00B933F9" w:rsidP="00B933F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en-GB"/>
              </w:rPr>
            </w:pPr>
            <w:r w:rsidRPr="007E27C1">
              <w:rPr>
                <w:rFonts w:eastAsia="Times New Roman" w:cstheme="minorHAnsi"/>
                <w:color w:val="000000"/>
                <w:lang w:eastAsia="en-GB"/>
              </w:rPr>
              <w:t>Male</w:t>
            </w:r>
          </w:p>
        </w:tc>
        <w:tc>
          <w:tcPr>
            <w:tcW w:w="1352" w:type="dxa"/>
            <w:noWrap/>
            <w:hideMark/>
          </w:tcPr>
          <w:p w14:paraId="5CA5DF44" w14:textId="77777777" w:rsidR="00B933F9" w:rsidRPr="007E27C1" w:rsidRDefault="00B933F9" w:rsidP="00B933F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lang w:eastAsia="en-GB"/>
              </w:rPr>
            </w:pPr>
            <w:r w:rsidRPr="007E27C1">
              <w:rPr>
                <w:rFonts w:eastAsia="Times New Roman" w:cstheme="minorHAnsi"/>
                <w:color w:val="000000"/>
                <w:lang w:eastAsia="en-GB"/>
              </w:rPr>
              <w:t>%</w:t>
            </w:r>
          </w:p>
        </w:tc>
        <w:tc>
          <w:tcPr>
            <w:tcW w:w="1352" w:type="dxa"/>
            <w:hideMark/>
          </w:tcPr>
          <w:p w14:paraId="62730C0B" w14:textId="77777777" w:rsidR="00B933F9" w:rsidRPr="007E27C1" w:rsidRDefault="00B933F9" w:rsidP="00B933F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en-GB"/>
              </w:rPr>
            </w:pPr>
            <w:r w:rsidRPr="007E27C1">
              <w:rPr>
                <w:rFonts w:eastAsia="Times New Roman" w:cstheme="minorHAnsi"/>
                <w:color w:val="000000"/>
                <w:lang w:eastAsia="en-GB"/>
              </w:rPr>
              <w:t xml:space="preserve">Total </w:t>
            </w:r>
          </w:p>
        </w:tc>
      </w:tr>
      <w:tr w:rsidR="007E27C1" w:rsidRPr="007E27C1" w14:paraId="574ADFDE" w14:textId="77777777" w:rsidTr="007E27C1">
        <w:trPr>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475E8832" w14:textId="77777777" w:rsidR="007E27C1" w:rsidRPr="007E27C1" w:rsidRDefault="007E27C1" w:rsidP="007E27C1">
            <w:pPr>
              <w:rPr>
                <w:rFonts w:eastAsia="Times New Roman" w:cstheme="minorHAnsi"/>
                <w:b w:val="0"/>
                <w:color w:val="000000"/>
                <w:lang w:eastAsia="en-GB"/>
              </w:rPr>
            </w:pPr>
            <w:r w:rsidRPr="007E27C1">
              <w:rPr>
                <w:rFonts w:eastAsia="Times New Roman" w:cstheme="minorHAnsi"/>
                <w:color w:val="000000"/>
                <w:lang w:eastAsia="en-GB"/>
              </w:rPr>
              <w:t>Armagh</w:t>
            </w:r>
          </w:p>
        </w:tc>
        <w:tc>
          <w:tcPr>
            <w:tcW w:w="1352" w:type="dxa"/>
            <w:noWrap/>
            <w:hideMark/>
          </w:tcPr>
          <w:p w14:paraId="109BD356" w14:textId="0ECD886A"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16,459</w:t>
            </w:r>
          </w:p>
        </w:tc>
        <w:tc>
          <w:tcPr>
            <w:tcW w:w="1352" w:type="dxa"/>
            <w:noWrap/>
            <w:hideMark/>
          </w:tcPr>
          <w:p w14:paraId="450756AB" w14:textId="060A8EC7"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50.8%</w:t>
            </w:r>
          </w:p>
        </w:tc>
        <w:tc>
          <w:tcPr>
            <w:tcW w:w="1352" w:type="dxa"/>
            <w:noWrap/>
            <w:hideMark/>
          </w:tcPr>
          <w:p w14:paraId="4594C273" w14:textId="42FEB74F"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15,947</w:t>
            </w:r>
          </w:p>
        </w:tc>
        <w:tc>
          <w:tcPr>
            <w:tcW w:w="1352" w:type="dxa"/>
            <w:noWrap/>
            <w:hideMark/>
          </w:tcPr>
          <w:p w14:paraId="76F497EE" w14:textId="4E4953AF"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49.2%</w:t>
            </w:r>
          </w:p>
        </w:tc>
        <w:tc>
          <w:tcPr>
            <w:tcW w:w="1352" w:type="dxa"/>
            <w:noWrap/>
            <w:hideMark/>
          </w:tcPr>
          <w:p w14:paraId="207583B8" w14:textId="4A89D6BC"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32,406</w:t>
            </w:r>
          </w:p>
        </w:tc>
      </w:tr>
      <w:tr w:rsidR="007E27C1" w:rsidRPr="007E27C1" w14:paraId="671671E3" w14:textId="77777777" w:rsidTr="007E27C1">
        <w:trPr>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6E7B2010" w14:textId="77777777" w:rsidR="007E27C1" w:rsidRPr="007E27C1" w:rsidRDefault="007E27C1" w:rsidP="007E27C1">
            <w:pPr>
              <w:rPr>
                <w:rFonts w:eastAsia="Times New Roman" w:cstheme="minorHAnsi"/>
                <w:b w:val="0"/>
                <w:color w:val="000000"/>
                <w:lang w:eastAsia="en-GB"/>
              </w:rPr>
            </w:pPr>
            <w:r w:rsidRPr="007E27C1">
              <w:rPr>
                <w:rFonts w:eastAsia="Times New Roman" w:cstheme="minorHAnsi"/>
                <w:color w:val="000000"/>
                <w:lang w:eastAsia="en-GB"/>
              </w:rPr>
              <w:t>Banbridge</w:t>
            </w:r>
          </w:p>
        </w:tc>
        <w:tc>
          <w:tcPr>
            <w:tcW w:w="1352" w:type="dxa"/>
            <w:noWrap/>
            <w:hideMark/>
          </w:tcPr>
          <w:p w14:paraId="0489EC8B" w14:textId="0198D576"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17,758</w:t>
            </w:r>
          </w:p>
        </w:tc>
        <w:tc>
          <w:tcPr>
            <w:tcW w:w="1352" w:type="dxa"/>
            <w:noWrap/>
            <w:hideMark/>
          </w:tcPr>
          <w:p w14:paraId="3A44452C" w14:textId="79E70D84"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50.8%</w:t>
            </w:r>
          </w:p>
        </w:tc>
        <w:tc>
          <w:tcPr>
            <w:tcW w:w="1352" w:type="dxa"/>
            <w:noWrap/>
            <w:hideMark/>
          </w:tcPr>
          <w:p w14:paraId="681E770F" w14:textId="51F589F8"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17,182</w:t>
            </w:r>
          </w:p>
        </w:tc>
        <w:tc>
          <w:tcPr>
            <w:tcW w:w="1352" w:type="dxa"/>
            <w:noWrap/>
            <w:hideMark/>
          </w:tcPr>
          <w:p w14:paraId="73CA5EA0" w14:textId="4178D673"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49.2%</w:t>
            </w:r>
          </w:p>
        </w:tc>
        <w:tc>
          <w:tcPr>
            <w:tcW w:w="1352" w:type="dxa"/>
            <w:noWrap/>
            <w:hideMark/>
          </w:tcPr>
          <w:p w14:paraId="359D1AB5" w14:textId="35FF6FB3"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34,940</w:t>
            </w:r>
          </w:p>
        </w:tc>
      </w:tr>
      <w:tr w:rsidR="007E27C1" w:rsidRPr="007E27C1" w14:paraId="7F256627" w14:textId="77777777" w:rsidTr="007E27C1">
        <w:trPr>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631BED07" w14:textId="77777777" w:rsidR="007E27C1" w:rsidRPr="007E27C1" w:rsidRDefault="007E27C1" w:rsidP="007E27C1">
            <w:pPr>
              <w:rPr>
                <w:rFonts w:eastAsia="Times New Roman" w:cstheme="minorHAnsi"/>
                <w:b w:val="0"/>
                <w:color w:val="000000"/>
                <w:lang w:eastAsia="en-GB"/>
              </w:rPr>
            </w:pPr>
            <w:r w:rsidRPr="007E27C1">
              <w:rPr>
                <w:rFonts w:eastAsia="Times New Roman" w:cstheme="minorHAnsi"/>
                <w:color w:val="000000"/>
                <w:lang w:eastAsia="en-GB"/>
              </w:rPr>
              <w:t>Craigavon</w:t>
            </w:r>
          </w:p>
        </w:tc>
        <w:tc>
          <w:tcPr>
            <w:tcW w:w="1352" w:type="dxa"/>
            <w:noWrap/>
            <w:hideMark/>
          </w:tcPr>
          <w:p w14:paraId="4160FE09" w14:textId="243400C4"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14,820</w:t>
            </w:r>
          </w:p>
        </w:tc>
        <w:tc>
          <w:tcPr>
            <w:tcW w:w="1352" w:type="dxa"/>
            <w:noWrap/>
            <w:hideMark/>
          </w:tcPr>
          <w:p w14:paraId="40FE669A" w14:textId="0D421D19"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50.8%</w:t>
            </w:r>
          </w:p>
        </w:tc>
        <w:tc>
          <w:tcPr>
            <w:tcW w:w="1352" w:type="dxa"/>
            <w:noWrap/>
            <w:hideMark/>
          </w:tcPr>
          <w:p w14:paraId="7AB2F8C9" w14:textId="3A3D06EF"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14,368</w:t>
            </w:r>
          </w:p>
        </w:tc>
        <w:tc>
          <w:tcPr>
            <w:tcW w:w="1352" w:type="dxa"/>
            <w:noWrap/>
            <w:hideMark/>
          </w:tcPr>
          <w:p w14:paraId="3EFF24DD" w14:textId="7775F745"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49.2%</w:t>
            </w:r>
          </w:p>
        </w:tc>
        <w:tc>
          <w:tcPr>
            <w:tcW w:w="1352" w:type="dxa"/>
            <w:noWrap/>
            <w:hideMark/>
          </w:tcPr>
          <w:p w14:paraId="5D361736" w14:textId="14D4BA0F"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29,188</w:t>
            </w:r>
          </w:p>
        </w:tc>
      </w:tr>
      <w:tr w:rsidR="007E27C1" w:rsidRPr="007E27C1" w14:paraId="1C7E8D0A" w14:textId="77777777" w:rsidTr="007E27C1">
        <w:trPr>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58CCE9D1" w14:textId="77777777" w:rsidR="007E27C1" w:rsidRPr="007E27C1" w:rsidRDefault="007E27C1" w:rsidP="007E27C1">
            <w:pPr>
              <w:rPr>
                <w:rFonts w:eastAsia="Times New Roman" w:cstheme="minorHAnsi"/>
                <w:b w:val="0"/>
                <w:color w:val="000000"/>
                <w:lang w:eastAsia="en-GB"/>
              </w:rPr>
            </w:pPr>
            <w:r w:rsidRPr="007E27C1">
              <w:rPr>
                <w:rFonts w:eastAsia="Times New Roman" w:cstheme="minorHAnsi"/>
                <w:color w:val="000000"/>
                <w:lang w:eastAsia="en-GB"/>
              </w:rPr>
              <w:t>Cusher</w:t>
            </w:r>
          </w:p>
        </w:tc>
        <w:tc>
          <w:tcPr>
            <w:tcW w:w="1352" w:type="dxa"/>
            <w:noWrap/>
            <w:hideMark/>
          </w:tcPr>
          <w:p w14:paraId="4832D64F" w14:textId="56F35D7C"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13,195</w:t>
            </w:r>
          </w:p>
        </w:tc>
        <w:tc>
          <w:tcPr>
            <w:tcW w:w="1352" w:type="dxa"/>
            <w:noWrap/>
            <w:hideMark/>
          </w:tcPr>
          <w:p w14:paraId="6154774E" w14:textId="726BBF7D"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50.4%</w:t>
            </w:r>
          </w:p>
        </w:tc>
        <w:tc>
          <w:tcPr>
            <w:tcW w:w="1352" w:type="dxa"/>
            <w:noWrap/>
            <w:hideMark/>
          </w:tcPr>
          <w:p w14:paraId="0071C6AD" w14:textId="0E87E4AE"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13,000</w:t>
            </w:r>
          </w:p>
        </w:tc>
        <w:tc>
          <w:tcPr>
            <w:tcW w:w="1352" w:type="dxa"/>
            <w:noWrap/>
            <w:hideMark/>
          </w:tcPr>
          <w:p w14:paraId="27DF9E6F" w14:textId="12B83754"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49.6%</w:t>
            </w:r>
          </w:p>
        </w:tc>
        <w:tc>
          <w:tcPr>
            <w:tcW w:w="1352" w:type="dxa"/>
            <w:noWrap/>
            <w:hideMark/>
          </w:tcPr>
          <w:p w14:paraId="48CDDC05" w14:textId="6F37844C"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26,195</w:t>
            </w:r>
          </w:p>
        </w:tc>
      </w:tr>
      <w:tr w:rsidR="007E27C1" w:rsidRPr="007E27C1" w14:paraId="5B8DA509" w14:textId="77777777" w:rsidTr="007E27C1">
        <w:trPr>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3DF572ED" w14:textId="77777777" w:rsidR="007E27C1" w:rsidRPr="007E27C1" w:rsidRDefault="007E27C1" w:rsidP="007E27C1">
            <w:pPr>
              <w:rPr>
                <w:rFonts w:eastAsia="Times New Roman" w:cstheme="minorHAnsi"/>
                <w:b w:val="0"/>
                <w:color w:val="000000"/>
                <w:lang w:eastAsia="en-GB"/>
              </w:rPr>
            </w:pPr>
            <w:r w:rsidRPr="007E27C1">
              <w:rPr>
                <w:rFonts w:eastAsia="Times New Roman" w:cstheme="minorHAnsi"/>
                <w:color w:val="000000"/>
                <w:lang w:eastAsia="en-GB"/>
              </w:rPr>
              <w:t>Lagan River</w:t>
            </w:r>
          </w:p>
        </w:tc>
        <w:tc>
          <w:tcPr>
            <w:tcW w:w="1352" w:type="dxa"/>
            <w:noWrap/>
            <w:hideMark/>
          </w:tcPr>
          <w:p w14:paraId="0C46D414" w14:textId="5C433E34"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12,472</w:t>
            </w:r>
          </w:p>
        </w:tc>
        <w:tc>
          <w:tcPr>
            <w:tcW w:w="1352" w:type="dxa"/>
            <w:noWrap/>
            <w:hideMark/>
          </w:tcPr>
          <w:p w14:paraId="1442BEE9" w14:textId="5AA32D51"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50.3%</w:t>
            </w:r>
          </w:p>
        </w:tc>
        <w:tc>
          <w:tcPr>
            <w:tcW w:w="1352" w:type="dxa"/>
            <w:noWrap/>
            <w:hideMark/>
          </w:tcPr>
          <w:p w14:paraId="5FA2BA99" w14:textId="6290EC83"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12,331</w:t>
            </w:r>
          </w:p>
        </w:tc>
        <w:tc>
          <w:tcPr>
            <w:tcW w:w="1352" w:type="dxa"/>
            <w:noWrap/>
            <w:hideMark/>
          </w:tcPr>
          <w:p w14:paraId="00DD6424" w14:textId="436FAC3D"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49.7%</w:t>
            </w:r>
          </w:p>
        </w:tc>
        <w:tc>
          <w:tcPr>
            <w:tcW w:w="1352" w:type="dxa"/>
            <w:noWrap/>
            <w:hideMark/>
          </w:tcPr>
          <w:p w14:paraId="4857636A" w14:textId="6D656F4F"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24,803</w:t>
            </w:r>
          </w:p>
        </w:tc>
      </w:tr>
      <w:tr w:rsidR="007E27C1" w:rsidRPr="007E27C1" w14:paraId="131D2E07" w14:textId="77777777" w:rsidTr="007E27C1">
        <w:trPr>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6401332B" w14:textId="77777777" w:rsidR="007E27C1" w:rsidRPr="007E27C1" w:rsidRDefault="007E27C1" w:rsidP="007E27C1">
            <w:pPr>
              <w:rPr>
                <w:rFonts w:eastAsia="Times New Roman" w:cstheme="minorHAnsi"/>
                <w:b w:val="0"/>
                <w:color w:val="000000"/>
                <w:lang w:eastAsia="en-GB"/>
              </w:rPr>
            </w:pPr>
            <w:r w:rsidRPr="007E27C1">
              <w:rPr>
                <w:rFonts w:eastAsia="Times New Roman" w:cstheme="minorHAnsi"/>
                <w:color w:val="000000"/>
                <w:lang w:eastAsia="en-GB"/>
              </w:rPr>
              <w:t>Lurgan</w:t>
            </w:r>
          </w:p>
        </w:tc>
        <w:tc>
          <w:tcPr>
            <w:tcW w:w="1352" w:type="dxa"/>
            <w:noWrap/>
            <w:hideMark/>
          </w:tcPr>
          <w:p w14:paraId="1D14DDDA" w14:textId="39966B6D"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19,210</w:t>
            </w:r>
          </w:p>
        </w:tc>
        <w:tc>
          <w:tcPr>
            <w:tcW w:w="1352" w:type="dxa"/>
            <w:noWrap/>
            <w:hideMark/>
          </w:tcPr>
          <w:p w14:paraId="448FB6E2" w14:textId="633ACB50"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50.3%</w:t>
            </w:r>
          </w:p>
        </w:tc>
        <w:tc>
          <w:tcPr>
            <w:tcW w:w="1352" w:type="dxa"/>
            <w:noWrap/>
            <w:hideMark/>
          </w:tcPr>
          <w:p w14:paraId="5867C8E7" w14:textId="6D993BB1"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18,988</w:t>
            </w:r>
          </w:p>
        </w:tc>
        <w:tc>
          <w:tcPr>
            <w:tcW w:w="1352" w:type="dxa"/>
            <w:noWrap/>
            <w:hideMark/>
          </w:tcPr>
          <w:p w14:paraId="209326BA" w14:textId="098BC432"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49.7%</w:t>
            </w:r>
          </w:p>
        </w:tc>
        <w:tc>
          <w:tcPr>
            <w:tcW w:w="1352" w:type="dxa"/>
            <w:noWrap/>
            <w:hideMark/>
          </w:tcPr>
          <w:p w14:paraId="48417B1F" w14:textId="5DCA1860"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38,198</w:t>
            </w:r>
          </w:p>
        </w:tc>
      </w:tr>
      <w:tr w:rsidR="007E27C1" w:rsidRPr="007E27C1" w14:paraId="587F4E9D" w14:textId="77777777" w:rsidTr="007E27C1">
        <w:trPr>
          <w:trHeight w:val="300"/>
        </w:trPr>
        <w:tc>
          <w:tcPr>
            <w:cnfStyle w:val="001000000000" w:firstRow="0" w:lastRow="0" w:firstColumn="1" w:lastColumn="0" w:oddVBand="0" w:evenVBand="0" w:oddHBand="0" w:evenHBand="0" w:firstRowFirstColumn="0" w:firstRowLastColumn="0" w:lastRowFirstColumn="0" w:lastRowLastColumn="0"/>
            <w:tcW w:w="1740" w:type="dxa"/>
            <w:noWrap/>
            <w:hideMark/>
          </w:tcPr>
          <w:p w14:paraId="617B8D3F" w14:textId="77777777" w:rsidR="007E27C1" w:rsidRPr="007E27C1" w:rsidRDefault="007E27C1" w:rsidP="007E27C1">
            <w:pPr>
              <w:rPr>
                <w:rFonts w:eastAsia="Times New Roman" w:cstheme="minorHAnsi"/>
                <w:b w:val="0"/>
                <w:color w:val="000000"/>
                <w:lang w:eastAsia="en-GB"/>
              </w:rPr>
            </w:pPr>
            <w:r w:rsidRPr="007E27C1">
              <w:rPr>
                <w:rFonts w:eastAsia="Times New Roman" w:cstheme="minorHAnsi"/>
                <w:color w:val="000000"/>
                <w:lang w:eastAsia="en-GB"/>
              </w:rPr>
              <w:t>Portadown</w:t>
            </w:r>
          </w:p>
        </w:tc>
        <w:tc>
          <w:tcPr>
            <w:tcW w:w="1352" w:type="dxa"/>
            <w:noWrap/>
            <w:hideMark/>
          </w:tcPr>
          <w:p w14:paraId="5BE68765" w14:textId="3F59B6A5"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16,474</w:t>
            </w:r>
          </w:p>
        </w:tc>
        <w:tc>
          <w:tcPr>
            <w:tcW w:w="1352" w:type="dxa"/>
            <w:noWrap/>
            <w:hideMark/>
          </w:tcPr>
          <w:p w14:paraId="35E521E8" w14:textId="4B26DD38"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50.0%</w:t>
            </w:r>
          </w:p>
        </w:tc>
        <w:tc>
          <w:tcPr>
            <w:tcW w:w="1352" w:type="dxa"/>
            <w:noWrap/>
            <w:hideMark/>
          </w:tcPr>
          <w:p w14:paraId="3252908E" w14:textId="315808F8"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16,451</w:t>
            </w:r>
          </w:p>
        </w:tc>
        <w:tc>
          <w:tcPr>
            <w:tcW w:w="1352" w:type="dxa"/>
            <w:noWrap/>
            <w:hideMark/>
          </w:tcPr>
          <w:p w14:paraId="2480782C" w14:textId="198127C7"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color w:val="000000"/>
              </w:rPr>
              <w:t>50.0%</w:t>
            </w:r>
          </w:p>
        </w:tc>
        <w:tc>
          <w:tcPr>
            <w:tcW w:w="1352" w:type="dxa"/>
            <w:noWrap/>
            <w:hideMark/>
          </w:tcPr>
          <w:p w14:paraId="6F8EE8A1" w14:textId="4710D340" w:rsidR="007E27C1" w:rsidRPr="007E27C1" w:rsidRDefault="007E27C1" w:rsidP="007E27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7E27C1">
              <w:rPr>
                <w:rFonts w:cstheme="minorHAnsi"/>
              </w:rPr>
              <w:t>32,925</w:t>
            </w:r>
          </w:p>
        </w:tc>
      </w:tr>
    </w:tbl>
    <w:p w14:paraId="26F7CD0E" w14:textId="4652E2BC" w:rsidR="00780BD9" w:rsidRPr="002A2185" w:rsidRDefault="007366E0" w:rsidP="00780BD9">
      <w:pPr>
        <w:rPr>
          <w:i/>
          <w:sz w:val="20"/>
          <w:szCs w:val="20"/>
        </w:rPr>
      </w:pPr>
      <w:r>
        <w:rPr>
          <w:i/>
          <w:sz w:val="20"/>
          <w:szCs w:val="20"/>
        </w:rPr>
        <w:t>Table 1: Gender p</w:t>
      </w:r>
      <w:r w:rsidR="00780BD9">
        <w:rPr>
          <w:i/>
          <w:sz w:val="20"/>
          <w:szCs w:val="20"/>
        </w:rPr>
        <w:t>rofile on Census Day</w:t>
      </w:r>
      <w:r>
        <w:rPr>
          <w:i/>
          <w:sz w:val="20"/>
          <w:szCs w:val="20"/>
        </w:rPr>
        <w:t xml:space="preserve"> 20</w:t>
      </w:r>
      <w:r w:rsidR="00B933F9">
        <w:rPr>
          <w:i/>
          <w:sz w:val="20"/>
          <w:szCs w:val="20"/>
        </w:rPr>
        <w:t>2</w:t>
      </w:r>
      <w:r>
        <w:rPr>
          <w:i/>
          <w:sz w:val="20"/>
          <w:szCs w:val="20"/>
        </w:rPr>
        <w:t xml:space="preserve">1 in </w:t>
      </w:r>
      <w:r w:rsidR="003F3F26">
        <w:rPr>
          <w:i/>
          <w:sz w:val="20"/>
          <w:szCs w:val="20"/>
        </w:rPr>
        <w:t>District Electoral Areas</w:t>
      </w:r>
      <w:r>
        <w:rPr>
          <w:i/>
          <w:sz w:val="20"/>
          <w:szCs w:val="20"/>
        </w:rPr>
        <w:t xml:space="preserve"> of Armagh City, Banbridge and Craigavon Borough</w:t>
      </w:r>
      <w:r w:rsidR="00780BD9" w:rsidRPr="002A2185">
        <w:rPr>
          <w:i/>
          <w:sz w:val="20"/>
          <w:szCs w:val="20"/>
        </w:rPr>
        <w:t>. Source:</w:t>
      </w:r>
      <w:r w:rsidR="003F3F26">
        <w:rPr>
          <w:i/>
          <w:sz w:val="20"/>
          <w:szCs w:val="20"/>
        </w:rPr>
        <w:t xml:space="preserve"> Usual Resident Population –</w:t>
      </w:r>
      <w:r w:rsidR="00964AEE">
        <w:rPr>
          <w:i/>
          <w:sz w:val="20"/>
          <w:szCs w:val="20"/>
        </w:rPr>
        <w:t>S</w:t>
      </w:r>
      <w:r w:rsidR="00B933F9">
        <w:rPr>
          <w:i/>
          <w:sz w:val="20"/>
          <w:szCs w:val="20"/>
        </w:rPr>
        <w:t>ex – Table MS-A0</w:t>
      </w:r>
      <w:r w:rsidR="00964AEE">
        <w:rPr>
          <w:i/>
          <w:sz w:val="20"/>
          <w:szCs w:val="20"/>
        </w:rPr>
        <w:t>7</w:t>
      </w:r>
      <w:r w:rsidR="00B933F9">
        <w:rPr>
          <w:i/>
          <w:sz w:val="20"/>
          <w:szCs w:val="20"/>
        </w:rPr>
        <w:t>. Census 202</w:t>
      </w:r>
      <w:r w:rsidR="003F3F26">
        <w:rPr>
          <w:i/>
          <w:sz w:val="20"/>
          <w:szCs w:val="20"/>
        </w:rPr>
        <w:t>1,</w:t>
      </w:r>
      <w:r w:rsidR="00780BD9">
        <w:rPr>
          <w:i/>
          <w:sz w:val="20"/>
          <w:szCs w:val="20"/>
        </w:rPr>
        <w:t xml:space="preserve"> NISRA</w:t>
      </w:r>
      <w:r w:rsidR="00780BD9" w:rsidRPr="002A2185">
        <w:rPr>
          <w:i/>
          <w:sz w:val="20"/>
          <w:szCs w:val="20"/>
        </w:rPr>
        <w:t>.</w:t>
      </w:r>
    </w:p>
    <w:p w14:paraId="26E5AEF6" w14:textId="08D93CFA" w:rsidR="007E27C1" w:rsidRDefault="007E27C1" w:rsidP="00032913">
      <w:pPr>
        <w:rPr>
          <w:i/>
          <w:sz w:val="20"/>
          <w:szCs w:val="20"/>
        </w:rPr>
      </w:pPr>
    </w:p>
    <w:p w14:paraId="22E0F263" w14:textId="33B11AEB" w:rsidR="00032913" w:rsidRPr="002A2185" w:rsidRDefault="007E27C1" w:rsidP="00032913">
      <w:pPr>
        <w:rPr>
          <w:i/>
          <w:sz w:val="20"/>
          <w:szCs w:val="20"/>
        </w:rPr>
      </w:pPr>
      <w:r>
        <w:rPr>
          <w:noProof/>
        </w:rPr>
        <w:drawing>
          <wp:inline distT="0" distB="0" distL="0" distR="0" wp14:anchorId="65DA1D08" wp14:editId="5F3D4A62">
            <wp:extent cx="5486400" cy="2743200"/>
            <wp:effectExtent l="0" t="0" r="0" b="0"/>
            <wp:docPr id="1205849235" name="Chart 1">
              <a:extLst xmlns:a="http://schemas.openxmlformats.org/drawingml/2006/main">
                <a:ext uri="{FF2B5EF4-FFF2-40B4-BE49-F238E27FC236}">
                  <a16:creationId xmlns:a16="http://schemas.microsoft.com/office/drawing/2014/main" id="{6C05995D-5352-95C6-6930-B0AEB0562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3F26">
        <w:rPr>
          <w:i/>
          <w:sz w:val="20"/>
          <w:szCs w:val="20"/>
        </w:rPr>
        <w:t>Figure 2</w:t>
      </w:r>
      <w:r w:rsidR="007366E0">
        <w:rPr>
          <w:i/>
          <w:sz w:val="20"/>
          <w:szCs w:val="20"/>
        </w:rPr>
        <w:t xml:space="preserve">: </w:t>
      </w:r>
      <w:r w:rsidR="003F3F26">
        <w:rPr>
          <w:i/>
          <w:sz w:val="20"/>
          <w:szCs w:val="20"/>
        </w:rPr>
        <w:t xml:space="preserve">Census Day </w:t>
      </w:r>
      <w:r w:rsidR="00B933F9">
        <w:rPr>
          <w:i/>
          <w:sz w:val="20"/>
          <w:szCs w:val="20"/>
        </w:rPr>
        <w:t>202</w:t>
      </w:r>
      <w:r w:rsidR="007366E0">
        <w:rPr>
          <w:i/>
          <w:sz w:val="20"/>
          <w:szCs w:val="20"/>
        </w:rPr>
        <w:t>1 p</w:t>
      </w:r>
      <w:r w:rsidR="003F3F26">
        <w:rPr>
          <w:i/>
          <w:sz w:val="20"/>
          <w:szCs w:val="20"/>
        </w:rPr>
        <w:t>opulat</w:t>
      </w:r>
      <w:r w:rsidR="001A290C">
        <w:rPr>
          <w:i/>
          <w:sz w:val="20"/>
          <w:szCs w:val="20"/>
        </w:rPr>
        <w:t xml:space="preserve">ion </w:t>
      </w:r>
      <w:r w:rsidR="003F3F26">
        <w:rPr>
          <w:i/>
          <w:sz w:val="20"/>
          <w:szCs w:val="20"/>
        </w:rPr>
        <w:t>for District Electoral Areas</w:t>
      </w:r>
      <w:r w:rsidR="007366E0">
        <w:rPr>
          <w:i/>
          <w:sz w:val="20"/>
          <w:szCs w:val="20"/>
        </w:rPr>
        <w:t xml:space="preserve"> of Armagh City, Banbridge and Craigavon Borough</w:t>
      </w:r>
      <w:r w:rsidR="003F3F26" w:rsidRPr="002A2185">
        <w:rPr>
          <w:i/>
          <w:sz w:val="20"/>
          <w:szCs w:val="20"/>
        </w:rPr>
        <w:t>. Source:</w:t>
      </w:r>
      <w:r w:rsidR="00032913">
        <w:rPr>
          <w:i/>
          <w:sz w:val="20"/>
          <w:szCs w:val="20"/>
        </w:rPr>
        <w:t xml:space="preserve"> Usual Resident Population –</w:t>
      </w:r>
      <w:r w:rsidR="00964AEE">
        <w:rPr>
          <w:i/>
          <w:sz w:val="20"/>
          <w:szCs w:val="20"/>
        </w:rPr>
        <w:t>S</w:t>
      </w:r>
      <w:r w:rsidR="00032913">
        <w:rPr>
          <w:i/>
          <w:sz w:val="20"/>
          <w:szCs w:val="20"/>
        </w:rPr>
        <w:t>ex – Table MS-A0</w:t>
      </w:r>
      <w:r w:rsidR="00964AEE">
        <w:rPr>
          <w:i/>
          <w:sz w:val="20"/>
          <w:szCs w:val="20"/>
        </w:rPr>
        <w:t>7</w:t>
      </w:r>
      <w:r w:rsidR="00032913">
        <w:rPr>
          <w:i/>
          <w:sz w:val="20"/>
          <w:szCs w:val="20"/>
        </w:rPr>
        <w:t>. Census 2021, NISRA</w:t>
      </w:r>
      <w:r w:rsidR="00032913" w:rsidRPr="002A2185">
        <w:rPr>
          <w:i/>
          <w:sz w:val="20"/>
          <w:szCs w:val="20"/>
        </w:rPr>
        <w:t>.</w:t>
      </w:r>
    </w:p>
    <w:p w14:paraId="2ABF89FF" w14:textId="77777777" w:rsidR="00A34CDA" w:rsidRDefault="00032913" w:rsidP="0037158B">
      <w:r>
        <w:t>On Census Day 202</w:t>
      </w:r>
      <w:r w:rsidR="003D547A">
        <w:t xml:space="preserve">1, the overall age profile of the borough showed that 22.1% were aged under 16, </w:t>
      </w:r>
      <w:r>
        <w:t>29.7</w:t>
      </w:r>
      <w:r w:rsidR="003D547A">
        <w:t xml:space="preserve">% were aged 16 to 39, </w:t>
      </w:r>
      <w:r>
        <w:t>32.2</w:t>
      </w:r>
      <w:r w:rsidR="003D547A">
        <w:t xml:space="preserve">% were aged 40 to 64 and </w:t>
      </w:r>
      <w:r>
        <w:t>16</w:t>
      </w:r>
      <w:r w:rsidR="003D547A">
        <w:t>% were aged 65 and over. Across the seven DEAs i</w:t>
      </w:r>
      <w:r w:rsidR="00A34CDA">
        <w:t>n the borough the age profiles we</w:t>
      </w:r>
      <w:r w:rsidR="003D547A">
        <w:t xml:space="preserve">re </w:t>
      </w:r>
      <w:r w:rsidR="00A34CDA">
        <w:t>broadly</w:t>
      </w:r>
      <w:r w:rsidR="003D547A">
        <w:t xml:space="preserve"> similar to the borough overall. </w:t>
      </w:r>
    </w:p>
    <w:p w14:paraId="111DC0CC" w14:textId="77777777" w:rsidR="004C5921" w:rsidRDefault="00A34CDA" w:rsidP="0037158B">
      <w:r w:rsidRPr="00631264">
        <w:t>Banbridge</w:t>
      </w:r>
      <w:r w:rsidR="007366E0" w:rsidRPr="00631264">
        <w:t xml:space="preserve"> DEA</w:t>
      </w:r>
      <w:r w:rsidRPr="00631264">
        <w:t xml:space="preserve"> and Lagan River </w:t>
      </w:r>
      <w:r w:rsidR="007366E0" w:rsidRPr="00631264">
        <w:t xml:space="preserve">DEA </w:t>
      </w:r>
      <w:r w:rsidRPr="00631264">
        <w:t>had</w:t>
      </w:r>
      <w:r w:rsidR="003D547A" w:rsidRPr="00631264">
        <w:t xml:space="preserve"> higher proportions of those aged 40 to 64 than other age groups in their DEA.  </w:t>
      </w:r>
      <w:r w:rsidRPr="00631264">
        <w:t xml:space="preserve">Craigavon </w:t>
      </w:r>
      <w:r w:rsidR="007366E0" w:rsidRPr="00631264">
        <w:t xml:space="preserve">DEA </w:t>
      </w:r>
      <w:r w:rsidR="00631264" w:rsidRPr="00631264">
        <w:t xml:space="preserve">and Lurgan DEA </w:t>
      </w:r>
      <w:r w:rsidRPr="00631264">
        <w:t>had</w:t>
      </w:r>
      <w:r w:rsidR="003D547A" w:rsidRPr="00631264">
        <w:t xml:space="preserve"> the highest proportion of those aged 16 to 39 (</w:t>
      </w:r>
      <w:r w:rsidR="00631264" w:rsidRPr="00631264">
        <w:t>31.1</w:t>
      </w:r>
      <w:r w:rsidR="003D547A" w:rsidRPr="00631264">
        <w:t xml:space="preserve">%) while </w:t>
      </w:r>
      <w:r w:rsidR="00631264" w:rsidRPr="00631264">
        <w:t>Cusher</w:t>
      </w:r>
      <w:r w:rsidRPr="00631264">
        <w:t xml:space="preserve"> had the highest proportion of those aged 65 and over (</w:t>
      </w:r>
      <w:r w:rsidR="00631264" w:rsidRPr="00631264">
        <w:t>17.3</w:t>
      </w:r>
      <w:r w:rsidRPr="00631264">
        <w:t>%)</w:t>
      </w:r>
    </w:p>
    <w:tbl>
      <w:tblPr>
        <w:tblStyle w:val="GridTable1Light"/>
        <w:tblW w:w="8926" w:type="dxa"/>
        <w:tblLayout w:type="fixed"/>
        <w:tblLook w:val="04A0" w:firstRow="1" w:lastRow="0" w:firstColumn="1" w:lastColumn="0" w:noHBand="0" w:noVBand="1"/>
      </w:tblPr>
      <w:tblGrid>
        <w:gridCol w:w="2241"/>
        <w:gridCol w:w="1337"/>
        <w:gridCol w:w="1337"/>
        <w:gridCol w:w="1337"/>
        <w:gridCol w:w="1337"/>
        <w:gridCol w:w="1337"/>
      </w:tblGrid>
      <w:tr w:rsidR="00964AEE" w:rsidRPr="00964AEE" w14:paraId="7518869C" w14:textId="77777777" w:rsidTr="00964AE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241" w:type="dxa"/>
            <w:hideMark/>
          </w:tcPr>
          <w:p w14:paraId="7653AC26" w14:textId="3DBA01A0" w:rsidR="00964AEE" w:rsidRPr="00964AEE" w:rsidRDefault="00964AEE" w:rsidP="00964AEE">
            <w:pPr>
              <w:spacing w:after="0" w:line="240" w:lineRule="auto"/>
              <w:rPr>
                <w:rFonts w:ascii="Calibri" w:eastAsia="Times New Roman" w:hAnsi="Calibri" w:cs="Calibri"/>
                <w:b/>
                <w:bCs/>
                <w:lang w:eastAsia="en-GB"/>
              </w:rPr>
            </w:pPr>
            <w:r w:rsidRPr="00964AEE">
              <w:rPr>
                <w:rFonts w:ascii="Calibri" w:eastAsia="Times New Roman" w:hAnsi="Calibri" w:cs="Calibri"/>
                <w:b/>
                <w:bCs/>
                <w:lang w:eastAsia="en-GB"/>
              </w:rPr>
              <w:t xml:space="preserve">District Electoral Area </w:t>
            </w:r>
          </w:p>
        </w:tc>
        <w:tc>
          <w:tcPr>
            <w:tcW w:w="1337" w:type="dxa"/>
            <w:hideMark/>
          </w:tcPr>
          <w:p w14:paraId="03003774" w14:textId="77777777" w:rsidR="00964AEE" w:rsidRPr="00964AEE" w:rsidRDefault="00964AEE" w:rsidP="00964A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964AEE">
              <w:rPr>
                <w:rFonts w:ascii="Calibri" w:eastAsia="Times New Roman" w:hAnsi="Calibri" w:cs="Calibri"/>
                <w:b/>
                <w:bCs/>
                <w:lang w:eastAsia="en-GB"/>
              </w:rPr>
              <w:t>0-15 years</w:t>
            </w:r>
          </w:p>
        </w:tc>
        <w:tc>
          <w:tcPr>
            <w:tcW w:w="1337" w:type="dxa"/>
            <w:hideMark/>
          </w:tcPr>
          <w:p w14:paraId="3A5C042E" w14:textId="77777777"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16-39 years</w:t>
            </w:r>
          </w:p>
        </w:tc>
        <w:tc>
          <w:tcPr>
            <w:tcW w:w="1337" w:type="dxa"/>
            <w:hideMark/>
          </w:tcPr>
          <w:p w14:paraId="7719248A" w14:textId="77777777"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40-64 years</w:t>
            </w:r>
          </w:p>
        </w:tc>
        <w:tc>
          <w:tcPr>
            <w:tcW w:w="1337" w:type="dxa"/>
            <w:hideMark/>
          </w:tcPr>
          <w:p w14:paraId="1A9BAC16" w14:textId="77777777"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65+ years</w:t>
            </w:r>
          </w:p>
        </w:tc>
        <w:tc>
          <w:tcPr>
            <w:tcW w:w="1337" w:type="dxa"/>
            <w:hideMark/>
          </w:tcPr>
          <w:p w14:paraId="61257579" w14:textId="66909591"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Total</w:t>
            </w:r>
          </w:p>
        </w:tc>
      </w:tr>
      <w:tr w:rsidR="00964AEE" w:rsidRPr="00964AEE" w14:paraId="46E11E0C"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48F0FED7"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Armagh</w:t>
            </w:r>
          </w:p>
        </w:tc>
        <w:tc>
          <w:tcPr>
            <w:tcW w:w="1337" w:type="dxa"/>
            <w:noWrap/>
            <w:hideMark/>
          </w:tcPr>
          <w:p w14:paraId="606D54CC"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7,364</w:t>
            </w:r>
          </w:p>
        </w:tc>
        <w:tc>
          <w:tcPr>
            <w:tcW w:w="1337" w:type="dxa"/>
            <w:noWrap/>
            <w:hideMark/>
          </w:tcPr>
          <w:p w14:paraId="5D5AF604"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9,612</w:t>
            </w:r>
          </w:p>
        </w:tc>
        <w:tc>
          <w:tcPr>
            <w:tcW w:w="1337" w:type="dxa"/>
            <w:noWrap/>
            <w:hideMark/>
          </w:tcPr>
          <w:p w14:paraId="059CE47A"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10,062</w:t>
            </w:r>
          </w:p>
        </w:tc>
        <w:tc>
          <w:tcPr>
            <w:tcW w:w="1337" w:type="dxa"/>
            <w:noWrap/>
            <w:hideMark/>
          </w:tcPr>
          <w:p w14:paraId="6EF5DACF"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5,367</w:t>
            </w:r>
          </w:p>
        </w:tc>
        <w:tc>
          <w:tcPr>
            <w:tcW w:w="1337" w:type="dxa"/>
            <w:noWrap/>
            <w:hideMark/>
          </w:tcPr>
          <w:p w14:paraId="68D823C5"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32,405</w:t>
            </w:r>
          </w:p>
        </w:tc>
      </w:tr>
      <w:tr w:rsidR="00964AEE" w:rsidRPr="00964AEE" w14:paraId="64900217"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454A9843"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Banbridge</w:t>
            </w:r>
          </w:p>
        </w:tc>
        <w:tc>
          <w:tcPr>
            <w:tcW w:w="1337" w:type="dxa"/>
            <w:noWrap/>
            <w:hideMark/>
          </w:tcPr>
          <w:p w14:paraId="59C01D60"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7,393</w:t>
            </w:r>
          </w:p>
        </w:tc>
        <w:tc>
          <w:tcPr>
            <w:tcW w:w="1337" w:type="dxa"/>
            <w:noWrap/>
            <w:hideMark/>
          </w:tcPr>
          <w:p w14:paraId="3A33E050"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9,795</w:t>
            </w:r>
          </w:p>
        </w:tc>
        <w:tc>
          <w:tcPr>
            <w:tcW w:w="1337" w:type="dxa"/>
            <w:noWrap/>
            <w:hideMark/>
          </w:tcPr>
          <w:p w14:paraId="7331413D"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11,745</w:t>
            </w:r>
          </w:p>
        </w:tc>
        <w:tc>
          <w:tcPr>
            <w:tcW w:w="1337" w:type="dxa"/>
            <w:noWrap/>
            <w:hideMark/>
          </w:tcPr>
          <w:p w14:paraId="43A0BBB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6,007</w:t>
            </w:r>
          </w:p>
        </w:tc>
        <w:tc>
          <w:tcPr>
            <w:tcW w:w="1337" w:type="dxa"/>
            <w:noWrap/>
            <w:hideMark/>
          </w:tcPr>
          <w:p w14:paraId="084F4829"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34,940</w:t>
            </w:r>
          </w:p>
        </w:tc>
      </w:tr>
      <w:tr w:rsidR="00964AEE" w:rsidRPr="00964AEE" w14:paraId="2EC60F6E"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03AD2B37"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Craigavon</w:t>
            </w:r>
          </w:p>
        </w:tc>
        <w:tc>
          <w:tcPr>
            <w:tcW w:w="1337" w:type="dxa"/>
            <w:noWrap/>
            <w:hideMark/>
          </w:tcPr>
          <w:p w14:paraId="255F7DF3"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6,902</w:t>
            </w:r>
          </w:p>
        </w:tc>
        <w:tc>
          <w:tcPr>
            <w:tcW w:w="1337" w:type="dxa"/>
            <w:noWrap/>
            <w:hideMark/>
          </w:tcPr>
          <w:p w14:paraId="5B6FAA1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9,068</w:t>
            </w:r>
          </w:p>
        </w:tc>
        <w:tc>
          <w:tcPr>
            <w:tcW w:w="1337" w:type="dxa"/>
            <w:noWrap/>
            <w:hideMark/>
          </w:tcPr>
          <w:p w14:paraId="65DE2EB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9,170</w:t>
            </w:r>
          </w:p>
        </w:tc>
        <w:tc>
          <w:tcPr>
            <w:tcW w:w="1337" w:type="dxa"/>
            <w:noWrap/>
            <w:hideMark/>
          </w:tcPr>
          <w:p w14:paraId="17B413C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4,048</w:t>
            </w:r>
          </w:p>
        </w:tc>
        <w:tc>
          <w:tcPr>
            <w:tcW w:w="1337" w:type="dxa"/>
            <w:noWrap/>
            <w:hideMark/>
          </w:tcPr>
          <w:p w14:paraId="72688513"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29,188</w:t>
            </w:r>
          </w:p>
        </w:tc>
      </w:tr>
      <w:tr w:rsidR="00964AEE" w:rsidRPr="00964AEE" w14:paraId="61863D17"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7F4ACD98"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Cusher</w:t>
            </w:r>
          </w:p>
        </w:tc>
        <w:tc>
          <w:tcPr>
            <w:tcW w:w="1337" w:type="dxa"/>
            <w:noWrap/>
            <w:hideMark/>
          </w:tcPr>
          <w:p w14:paraId="73BE29DD"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5,848</w:t>
            </w:r>
          </w:p>
        </w:tc>
        <w:tc>
          <w:tcPr>
            <w:tcW w:w="1337" w:type="dxa"/>
            <w:noWrap/>
            <w:hideMark/>
          </w:tcPr>
          <w:p w14:paraId="615907FB"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7,371</w:t>
            </w:r>
          </w:p>
        </w:tc>
        <w:tc>
          <w:tcPr>
            <w:tcW w:w="1337" w:type="dxa"/>
            <w:noWrap/>
            <w:hideMark/>
          </w:tcPr>
          <w:p w14:paraId="2F941C66"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8,451</w:t>
            </w:r>
          </w:p>
        </w:tc>
        <w:tc>
          <w:tcPr>
            <w:tcW w:w="1337" w:type="dxa"/>
            <w:noWrap/>
            <w:hideMark/>
          </w:tcPr>
          <w:p w14:paraId="60124454"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4,525</w:t>
            </w:r>
          </w:p>
        </w:tc>
        <w:tc>
          <w:tcPr>
            <w:tcW w:w="1337" w:type="dxa"/>
            <w:noWrap/>
            <w:hideMark/>
          </w:tcPr>
          <w:p w14:paraId="37D42B19"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26,195</w:t>
            </w:r>
          </w:p>
        </w:tc>
      </w:tr>
      <w:tr w:rsidR="00964AEE" w:rsidRPr="00964AEE" w14:paraId="4FAFE232"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75E2817B"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Lagan River</w:t>
            </w:r>
          </w:p>
        </w:tc>
        <w:tc>
          <w:tcPr>
            <w:tcW w:w="1337" w:type="dxa"/>
            <w:noWrap/>
            <w:hideMark/>
          </w:tcPr>
          <w:p w14:paraId="0D8E3BA1"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5,307</w:t>
            </w:r>
          </w:p>
        </w:tc>
        <w:tc>
          <w:tcPr>
            <w:tcW w:w="1337" w:type="dxa"/>
            <w:noWrap/>
            <w:hideMark/>
          </w:tcPr>
          <w:p w14:paraId="2492515A"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7,148</w:t>
            </w:r>
          </w:p>
        </w:tc>
        <w:tc>
          <w:tcPr>
            <w:tcW w:w="1337" w:type="dxa"/>
            <w:noWrap/>
            <w:hideMark/>
          </w:tcPr>
          <w:p w14:paraId="1C47B693"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8,419</w:t>
            </w:r>
          </w:p>
        </w:tc>
        <w:tc>
          <w:tcPr>
            <w:tcW w:w="1337" w:type="dxa"/>
            <w:noWrap/>
            <w:hideMark/>
          </w:tcPr>
          <w:p w14:paraId="0633E6D2"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3,930</w:t>
            </w:r>
          </w:p>
        </w:tc>
        <w:tc>
          <w:tcPr>
            <w:tcW w:w="1337" w:type="dxa"/>
            <w:noWrap/>
            <w:hideMark/>
          </w:tcPr>
          <w:p w14:paraId="102AA95C"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24,804</w:t>
            </w:r>
          </w:p>
        </w:tc>
      </w:tr>
      <w:tr w:rsidR="00964AEE" w:rsidRPr="00964AEE" w14:paraId="5DC35F66"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298585B6"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Lurgan</w:t>
            </w:r>
          </w:p>
        </w:tc>
        <w:tc>
          <w:tcPr>
            <w:tcW w:w="1337" w:type="dxa"/>
            <w:noWrap/>
            <w:hideMark/>
          </w:tcPr>
          <w:p w14:paraId="02676007"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8,275</w:t>
            </w:r>
          </w:p>
        </w:tc>
        <w:tc>
          <w:tcPr>
            <w:tcW w:w="1337" w:type="dxa"/>
            <w:noWrap/>
            <w:hideMark/>
          </w:tcPr>
          <w:p w14:paraId="52DB95E7"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11,881</w:t>
            </w:r>
          </w:p>
        </w:tc>
        <w:tc>
          <w:tcPr>
            <w:tcW w:w="1337" w:type="dxa"/>
            <w:noWrap/>
            <w:hideMark/>
          </w:tcPr>
          <w:p w14:paraId="4D12A2F3"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12,244</w:t>
            </w:r>
          </w:p>
        </w:tc>
        <w:tc>
          <w:tcPr>
            <w:tcW w:w="1337" w:type="dxa"/>
            <w:noWrap/>
            <w:hideMark/>
          </w:tcPr>
          <w:p w14:paraId="5F022190"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5,797</w:t>
            </w:r>
          </w:p>
        </w:tc>
        <w:tc>
          <w:tcPr>
            <w:tcW w:w="1337" w:type="dxa"/>
            <w:noWrap/>
            <w:hideMark/>
          </w:tcPr>
          <w:p w14:paraId="6FCE709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38,197</w:t>
            </w:r>
          </w:p>
        </w:tc>
      </w:tr>
      <w:tr w:rsidR="00964AEE" w:rsidRPr="00964AEE" w14:paraId="50665759"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2B2FAB97"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Portadown</w:t>
            </w:r>
          </w:p>
        </w:tc>
        <w:tc>
          <w:tcPr>
            <w:tcW w:w="1337" w:type="dxa"/>
            <w:noWrap/>
            <w:hideMark/>
          </w:tcPr>
          <w:p w14:paraId="5ED68A08"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7,153</w:t>
            </w:r>
          </w:p>
        </w:tc>
        <w:tc>
          <w:tcPr>
            <w:tcW w:w="1337" w:type="dxa"/>
            <w:noWrap/>
            <w:hideMark/>
          </w:tcPr>
          <w:p w14:paraId="677A4E5D"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10,002</w:t>
            </w:r>
          </w:p>
        </w:tc>
        <w:tc>
          <w:tcPr>
            <w:tcW w:w="1337" w:type="dxa"/>
            <w:noWrap/>
            <w:hideMark/>
          </w:tcPr>
          <w:p w14:paraId="5A1D307B"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10,456</w:t>
            </w:r>
          </w:p>
        </w:tc>
        <w:tc>
          <w:tcPr>
            <w:tcW w:w="1337" w:type="dxa"/>
            <w:noWrap/>
            <w:hideMark/>
          </w:tcPr>
          <w:p w14:paraId="2CD9D1B3"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5,316</w:t>
            </w:r>
          </w:p>
        </w:tc>
        <w:tc>
          <w:tcPr>
            <w:tcW w:w="1337" w:type="dxa"/>
            <w:noWrap/>
            <w:hideMark/>
          </w:tcPr>
          <w:p w14:paraId="3B4E92E6"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32,927</w:t>
            </w:r>
          </w:p>
        </w:tc>
      </w:tr>
    </w:tbl>
    <w:p w14:paraId="199380D9" w14:textId="58092A0F" w:rsidR="00964AEE" w:rsidRDefault="00964AEE" w:rsidP="0037158B">
      <w:r>
        <w:rPr>
          <w:i/>
          <w:sz w:val="20"/>
          <w:szCs w:val="20"/>
        </w:rPr>
        <w:t>Table 2: Age profile on Census Day 2021 for District Electoral Areas of Armagh City, Banbridge and Craigavon Borough</w:t>
      </w:r>
      <w:r w:rsidRPr="002A2185">
        <w:rPr>
          <w:i/>
          <w:sz w:val="20"/>
          <w:szCs w:val="20"/>
        </w:rPr>
        <w:t>. Source:</w:t>
      </w:r>
      <w:r>
        <w:rPr>
          <w:i/>
          <w:sz w:val="20"/>
          <w:szCs w:val="20"/>
        </w:rPr>
        <w:t xml:space="preserve"> Usual Resident Population – </w:t>
      </w:r>
      <w:r w:rsidR="003156D7">
        <w:rPr>
          <w:i/>
          <w:sz w:val="20"/>
          <w:szCs w:val="20"/>
        </w:rPr>
        <w:t>Age-4 categories – Census 2021, NISRA</w:t>
      </w:r>
      <w:r w:rsidR="003156D7" w:rsidRPr="002A2185">
        <w:rPr>
          <w:i/>
          <w:sz w:val="20"/>
          <w:szCs w:val="20"/>
        </w:rPr>
        <w:t>.</w:t>
      </w:r>
    </w:p>
    <w:tbl>
      <w:tblPr>
        <w:tblStyle w:val="GridTable1Light"/>
        <w:tblW w:w="8926" w:type="dxa"/>
        <w:tblLayout w:type="fixed"/>
        <w:tblLook w:val="04A0" w:firstRow="1" w:lastRow="0" w:firstColumn="1" w:lastColumn="0" w:noHBand="0" w:noVBand="1"/>
      </w:tblPr>
      <w:tblGrid>
        <w:gridCol w:w="2241"/>
        <w:gridCol w:w="1337"/>
        <w:gridCol w:w="1337"/>
        <w:gridCol w:w="1337"/>
        <w:gridCol w:w="1337"/>
        <w:gridCol w:w="1337"/>
      </w:tblGrid>
      <w:tr w:rsidR="00964AEE" w:rsidRPr="00964AEE" w14:paraId="5C826E97" w14:textId="77777777" w:rsidTr="00964AE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41" w:type="dxa"/>
            <w:hideMark/>
          </w:tcPr>
          <w:p w14:paraId="081867EA" w14:textId="77777777" w:rsidR="00964AEE" w:rsidRPr="00964AEE" w:rsidRDefault="00964AEE" w:rsidP="00964AEE">
            <w:pPr>
              <w:spacing w:after="0" w:line="240" w:lineRule="auto"/>
              <w:rPr>
                <w:rFonts w:ascii="Calibri" w:eastAsia="Times New Roman" w:hAnsi="Calibri" w:cs="Calibri"/>
                <w:b/>
                <w:bCs/>
                <w:lang w:eastAsia="en-GB"/>
              </w:rPr>
            </w:pPr>
            <w:r w:rsidRPr="00964AEE">
              <w:rPr>
                <w:rFonts w:ascii="Calibri" w:eastAsia="Times New Roman" w:hAnsi="Calibri" w:cs="Calibri"/>
                <w:b/>
                <w:bCs/>
                <w:lang w:eastAsia="en-GB"/>
              </w:rPr>
              <w:lastRenderedPageBreak/>
              <w:t xml:space="preserve">District Electoral Area </w:t>
            </w:r>
          </w:p>
        </w:tc>
        <w:tc>
          <w:tcPr>
            <w:tcW w:w="1337" w:type="dxa"/>
            <w:hideMark/>
          </w:tcPr>
          <w:p w14:paraId="2B573FAB" w14:textId="77777777" w:rsidR="00964AEE" w:rsidRPr="00964AEE" w:rsidRDefault="00964AEE" w:rsidP="00964A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964AEE">
              <w:rPr>
                <w:rFonts w:ascii="Calibri" w:eastAsia="Times New Roman" w:hAnsi="Calibri" w:cs="Calibri"/>
                <w:b/>
                <w:bCs/>
                <w:lang w:eastAsia="en-GB"/>
              </w:rPr>
              <w:t>0-15 years</w:t>
            </w:r>
          </w:p>
        </w:tc>
        <w:tc>
          <w:tcPr>
            <w:tcW w:w="1337" w:type="dxa"/>
            <w:hideMark/>
          </w:tcPr>
          <w:p w14:paraId="4D325DC9" w14:textId="77777777"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16-39 years</w:t>
            </w:r>
          </w:p>
        </w:tc>
        <w:tc>
          <w:tcPr>
            <w:tcW w:w="1337" w:type="dxa"/>
            <w:hideMark/>
          </w:tcPr>
          <w:p w14:paraId="2044B99E" w14:textId="77777777"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40-64 years</w:t>
            </w:r>
          </w:p>
        </w:tc>
        <w:tc>
          <w:tcPr>
            <w:tcW w:w="1337" w:type="dxa"/>
            <w:hideMark/>
          </w:tcPr>
          <w:p w14:paraId="0791B4D3" w14:textId="77777777"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65+ years</w:t>
            </w:r>
          </w:p>
        </w:tc>
        <w:tc>
          <w:tcPr>
            <w:tcW w:w="1337" w:type="dxa"/>
            <w:hideMark/>
          </w:tcPr>
          <w:p w14:paraId="7BD2AEA2" w14:textId="1D1D18AA" w:rsidR="00964AEE" w:rsidRPr="00964AEE" w:rsidRDefault="00964AEE" w:rsidP="00964A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Total</w:t>
            </w:r>
          </w:p>
        </w:tc>
      </w:tr>
      <w:tr w:rsidR="00964AEE" w:rsidRPr="00964AEE" w14:paraId="5993E3B4"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12D98CDF"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Armagh</w:t>
            </w:r>
          </w:p>
        </w:tc>
        <w:tc>
          <w:tcPr>
            <w:tcW w:w="1337" w:type="dxa"/>
            <w:noWrap/>
            <w:hideMark/>
          </w:tcPr>
          <w:p w14:paraId="3EFDFDB6"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22.7%</w:t>
            </w:r>
          </w:p>
        </w:tc>
        <w:tc>
          <w:tcPr>
            <w:tcW w:w="1337" w:type="dxa"/>
            <w:noWrap/>
            <w:hideMark/>
          </w:tcPr>
          <w:p w14:paraId="30FAF986"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29.7%</w:t>
            </w:r>
          </w:p>
        </w:tc>
        <w:tc>
          <w:tcPr>
            <w:tcW w:w="1337" w:type="dxa"/>
            <w:noWrap/>
            <w:hideMark/>
          </w:tcPr>
          <w:p w14:paraId="27434B52"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31.1%</w:t>
            </w:r>
          </w:p>
        </w:tc>
        <w:tc>
          <w:tcPr>
            <w:tcW w:w="1337" w:type="dxa"/>
            <w:noWrap/>
            <w:hideMark/>
          </w:tcPr>
          <w:p w14:paraId="5BAD40C2"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16.6%</w:t>
            </w:r>
          </w:p>
        </w:tc>
        <w:tc>
          <w:tcPr>
            <w:tcW w:w="1337" w:type="dxa"/>
            <w:noWrap/>
            <w:hideMark/>
          </w:tcPr>
          <w:p w14:paraId="209A469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100.0%</w:t>
            </w:r>
          </w:p>
        </w:tc>
      </w:tr>
      <w:tr w:rsidR="00964AEE" w:rsidRPr="00964AEE" w14:paraId="22ED0E7B"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19935519"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Banbridge</w:t>
            </w:r>
          </w:p>
        </w:tc>
        <w:tc>
          <w:tcPr>
            <w:tcW w:w="1337" w:type="dxa"/>
            <w:noWrap/>
            <w:hideMark/>
          </w:tcPr>
          <w:p w14:paraId="4434585A"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21.2%</w:t>
            </w:r>
          </w:p>
        </w:tc>
        <w:tc>
          <w:tcPr>
            <w:tcW w:w="1337" w:type="dxa"/>
            <w:noWrap/>
            <w:hideMark/>
          </w:tcPr>
          <w:p w14:paraId="272E5E59"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28.0%</w:t>
            </w:r>
          </w:p>
        </w:tc>
        <w:tc>
          <w:tcPr>
            <w:tcW w:w="1337" w:type="dxa"/>
            <w:noWrap/>
            <w:hideMark/>
          </w:tcPr>
          <w:p w14:paraId="38E63428"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33.6%</w:t>
            </w:r>
          </w:p>
        </w:tc>
        <w:tc>
          <w:tcPr>
            <w:tcW w:w="1337" w:type="dxa"/>
            <w:noWrap/>
            <w:hideMark/>
          </w:tcPr>
          <w:p w14:paraId="726BA25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17.2%</w:t>
            </w:r>
          </w:p>
        </w:tc>
        <w:tc>
          <w:tcPr>
            <w:tcW w:w="1337" w:type="dxa"/>
            <w:noWrap/>
            <w:hideMark/>
          </w:tcPr>
          <w:p w14:paraId="2640E710"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100.0%</w:t>
            </w:r>
          </w:p>
        </w:tc>
      </w:tr>
      <w:tr w:rsidR="00964AEE" w:rsidRPr="00964AEE" w14:paraId="333BCC7B"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7B514AF7"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Craigavon</w:t>
            </w:r>
          </w:p>
        </w:tc>
        <w:tc>
          <w:tcPr>
            <w:tcW w:w="1337" w:type="dxa"/>
            <w:noWrap/>
            <w:hideMark/>
          </w:tcPr>
          <w:p w14:paraId="78B5CE1A"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23.6%</w:t>
            </w:r>
          </w:p>
        </w:tc>
        <w:tc>
          <w:tcPr>
            <w:tcW w:w="1337" w:type="dxa"/>
            <w:noWrap/>
            <w:hideMark/>
          </w:tcPr>
          <w:p w14:paraId="71B0BCB2"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31.1%</w:t>
            </w:r>
          </w:p>
        </w:tc>
        <w:tc>
          <w:tcPr>
            <w:tcW w:w="1337" w:type="dxa"/>
            <w:noWrap/>
            <w:hideMark/>
          </w:tcPr>
          <w:p w14:paraId="2443DF3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31.4%</w:t>
            </w:r>
          </w:p>
        </w:tc>
        <w:tc>
          <w:tcPr>
            <w:tcW w:w="1337" w:type="dxa"/>
            <w:noWrap/>
            <w:hideMark/>
          </w:tcPr>
          <w:p w14:paraId="5AD81AA0"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13.9%</w:t>
            </w:r>
          </w:p>
        </w:tc>
        <w:tc>
          <w:tcPr>
            <w:tcW w:w="1337" w:type="dxa"/>
            <w:noWrap/>
            <w:hideMark/>
          </w:tcPr>
          <w:p w14:paraId="2F824272"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100.0%</w:t>
            </w:r>
          </w:p>
        </w:tc>
      </w:tr>
      <w:tr w:rsidR="00964AEE" w:rsidRPr="00964AEE" w14:paraId="6B1B4606"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182065F3"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Cusher</w:t>
            </w:r>
          </w:p>
        </w:tc>
        <w:tc>
          <w:tcPr>
            <w:tcW w:w="1337" w:type="dxa"/>
            <w:noWrap/>
            <w:hideMark/>
          </w:tcPr>
          <w:p w14:paraId="2DF3D7E5"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22.3%</w:t>
            </w:r>
          </w:p>
        </w:tc>
        <w:tc>
          <w:tcPr>
            <w:tcW w:w="1337" w:type="dxa"/>
            <w:noWrap/>
            <w:hideMark/>
          </w:tcPr>
          <w:p w14:paraId="7EAE4401"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28.1%</w:t>
            </w:r>
          </w:p>
        </w:tc>
        <w:tc>
          <w:tcPr>
            <w:tcW w:w="1337" w:type="dxa"/>
            <w:noWrap/>
            <w:hideMark/>
          </w:tcPr>
          <w:p w14:paraId="7E73D611"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32.3%</w:t>
            </w:r>
          </w:p>
        </w:tc>
        <w:tc>
          <w:tcPr>
            <w:tcW w:w="1337" w:type="dxa"/>
            <w:noWrap/>
            <w:hideMark/>
          </w:tcPr>
          <w:p w14:paraId="3CE8462F"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17.3%</w:t>
            </w:r>
          </w:p>
        </w:tc>
        <w:tc>
          <w:tcPr>
            <w:tcW w:w="1337" w:type="dxa"/>
            <w:noWrap/>
            <w:hideMark/>
          </w:tcPr>
          <w:p w14:paraId="35D9443A"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100.0%</w:t>
            </w:r>
          </w:p>
        </w:tc>
      </w:tr>
      <w:tr w:rsidR="00964AEE" w:rsidRPr="00964AEE" w14:paraId="744DAC1E"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105A5609"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Lagan River</w:t>
            </w:r>
          </w:p>
        </w:tc>
        <w:tc>
          <w:tcPr>
            <w:tcW w:w="1337" w:type="dxa"/>
            <w:noWrap/>
            <w:hideMark/>
          </w:tcPr>
          <w:p w14:paraId="74A34280"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21.4%</w:t>
            </w:r>
          </w:p>
        </w:tc>
        <w:tc>
          <w:tcPr>
            <w:tcW w:w="1337" w:type="dxa"/>
            <w:noWrap/>
            <w:hideMark/>
          </w:tcPr>
          <w:p w14:paraId="363B2149"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28.8%</w:t>
            </w:r>
          </w:p>
        </w:tc>
        <w:tc>
          <w:tcPr>
            <w:tcW w:w="1337" w:type="dxa"/>
            <w:noWrap/>
            <w:hideMark/>
          </w:tcPr>
          <w:p w14:paraId="1578BFD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33.9%</w:t>
            </w:r>
          </w:p>
        </w:tc>
        <w:tc>
          <w:tcPr>
            <w:tcW w:w="1337" w:type="dxa"/>
            <w:noWrap/>
            <w:hideMark/>
          </w:tcPr>
          <w:p w14:paraId="54657306"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15.8%</w:t>
            </w:r>
          </w:p>
        </w:tc>
        <w:tc>
          <w:tcPr>
            <w:tcW w:w="1337" w:type="dxa"/>
            <w:noWrap/>
            <w:hideMark/>
          </w:tcPr>
          <w:p w14:paraId="52FAA30B"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100.0%</w:t>
            </w:r>
          </w:p>
        </w:tc>
      </w:tr>
      <w:tr w:rsidR="00964AEE" w:rsidRPr="00964AEE" w14:paraId="6B60E1DC"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62D0F3E8"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Lurgan</w:t>
            </w:r>
          </w:p>
        </w:tc>
        <w:tc>
          <w:tcPr>
            <w:tcW w:w="1337" w:type="dxa"/>
            <w:noWrap/>
            <w:hideMark/>
          </w:tcPr>
          <w:p w14:paraId="0529F29C"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21.7%</w:t>
            </w:r>
          </w:p>
        </w:tc>
        <w:tc>
          <w:tcPr>
            <w:tcW w:w="1337" w:type="dxa"/>
            <w:noWrap/>
            <w:hideMark/>
          </w:tcPr>
          <w:p w14:paraId="354D10A8"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31.1%</w:t>
            </w:r>
          </w:p>
        </w:tc>
        <w:tc>
          <w:tcPr>
            <w:tcW w:w="1337" w:type="dxa"/>
            <w:noWrap/>
            <w:hideMark/>
          </w:tcPr>
          <w:p w14:paraId="6884C988"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32.1%</w:t>
            </w:r>
          </w:p>
        </w:tc>
        <w:tc>
          <w:tcPr>
            <w:tcW w:w="1337" w:type="dxa"/>
            <w:noWrap/>
            <w:hideMark/>
          </w:tcPr>
          <w:p w14:paraId="493451B4"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15.2%</w:t>
            </w:r>
          </w:p>
        </w:tc>
        <w:tc>
          <w:tcPr>
            <w:tcW w:w="1337" w:type="dxa"/>
            <w:noWrap/>
            <w:hideMark/>
          </w:tcPr>
          <w:p w14:paraId="772F446C"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100.0%</w:t>
            </w:r>
          </w:p>
        </w:tc>
      </w:tr>
      <w:tr w:rsidR="00964AEE" w:rsidRPr="00964AEE" w14:paraId="2A5583F5" w14:textId="77777777" w:rsidTr="00964AEE">
        <w:trPr>
          <w:trHeight w:val="300"/>
        </w:trPr>
        <w:tc>
          <w:tcPr>
            <w:cnfStyle w:val="001000000000" w:firstRow="0" w:lastRow="0" w:firstColumn="1" w:lastColumn="0" w:oddVBand="0" w:evenVBand="0" w:oddHBand="0" w:evenHBand="0" w:firstRowFirstColumn="0" w:firstRowLastColumn="0" w:lastRowFirstColumn="0" w:lastRowLastColumn="0"/>
            <w:tcW w:w="2241" w:type="dxa"/>
            <w:noWrap/>
            <w:hideMark/>
          </w:tcPr>
          <w:p w14:paraId="7EC5B439" w14:textId="77777777" w:rsidR="00964AEE" w:rsidRPr="00964AEE" w:rsidRDefault="00964AEE" w:rsidP="00964AEE">
            <w:pPr>
              <w:rPr>
                <w:rFonts w:ascii="Calibri" w:eastAsia="Times New Roman" w:hAnsi="Calibri" w:cs="Calibri"/>
                <w:lang w:eastAsia="en-GB"/>
              </w:rPr>
            </w:pPr>
            <w:r w:rsidRPr="00964AEE">
              <w:rPr>
                <w:rFonts w:ascii="Calibri" w:eastAsia="Times New Roman" w:hAnsi="Calibri" w:cs="Calibri"/>
                <w:lang w:eastAsia="en-GB"/>
              </w:rPr>
              <w:t>Portadown</w:t>
            </w:r>
          </w:p>
        </w:tc>
        <w:tc>
          <w:tcPr>
            <w:tcW w:w="1337" w:type="dxa"/>
            <w:noWrap/>
            <w:hideMark/>
          </w:tcPr>
          <w:p w14:paraId="019FDFEE" w14:textId="77777777" w:rsidR="00964AEE" w:rsidRPr="00964AEE" w:rsidRDefault="00964AEE" w:rsidP="00964A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21.7%</w:t>
            </w:r>
          </w:p>
        </w:tc>
        <w:tc>
          <w:tcPr>
            <w:tcW w:w="1337" w:type="dxa"/>
            <w:noWrap/>
            <w:hideMark/>
          </w:tcPr>
          <w:p w14:paraId="6D5E4C41"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30.4%</w:t>
            </w:r>
          </w:p>
        </w:tc>
        <w:tc>
          <w:tcPr>
            <w:tcW w:w="1337" w:type="dxa"/>
            <w:noWrap/>
            <w:hideMark/>
          </w:tcPr>
          <w:p w14:paraId="55A04C8E"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31.8%</w:t>
            </w:r>
          </w:p>
        </w:tc>
        <w:tc>
          <w:tcPr>
            <w:tcW w:w="1337" w:type="dxa"/>
            <w:noWrap/>
            <w:hideMark/>
          </w:tcPr>
          <w:p w14:paraId="01A5BB08"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64AEE">
              <w:rPr>
                <w:rFonts w:ascii="Calibri" w:eastAsia="Times New Roman" w:hAnsi="Calibri" w:cs="Calibri"/>
                <w:lang w:eastAsia="en-GB"/>
              </w:rPr>
              <w:t>16.1%</w:t>
            </w:r>
          </w:p>
        </w:tc>
        <w:tc>
          <w:tcPr>
            <w:tcW w:w="1337" w:type="dxa"/>
            <w:noWrap/>
            <w:hideMark/>
          </w:tcPr>
          <w:p w14:paraId="4E04D468" w14:textId="77777777" w:rsidR="00964AEE" w:rsidRPr="00964AEE" w:rsidRDefault="00964AEE" w:rsidP="00964A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64AEE">
              <w:rPr>
                <w:rFonts w:ascii="Calibri" w:eastAsia="Times New Roman" w:hAnsi="Calibri" w:cs="Calibri"/>
                <w:color w:val="000000"/>
                <w:lang w:eastAsia="en-GB"/>
              </w:rPr>
              <w:t>100.0%</w:t>
            </w:r>
          </w:p>
        </w:tc>
      </w:tr>
    </w:tbl>
    <w:p w14:paraId="38C0B241" w14:textId="4F27DB01" w:rsidR="00780BD9" w:rsidRDefault="007366E0" w:rsidP="003156D7">
      <w:pPr>
        <w:ind w:right="-1180"/>
        <w:rPr>
          <w:i/>
          <w:sz w:val="20"/>
          <w:szCs w:val="20"/>
        </w:rPr>
      </w:pPr>
      <w:r>
        <w:rPr>
          <w:i/>
          <w:sz w:val="20"/>
          <w:szCs w:val="20"/>
        </w:rPr>
        <w:t>T</w:t>
      </w:r>
      <w:r w:rsidR="00C55302">
        <w:rPr>
          <w:i/>
          <w:sz w:val="20"/>
          <w:szCs w:val="20"/>
        </w:rPr>
        <w:t xml:space="preserve">able 3: Age profile </w:t>
      </w:r>
      <w:r>
        <w:rPr>
          <w:i/>
          <w:sz w:val="20"/>
          <w:szCs w:val="20"/>
        </w:rPr>
        <w:t>on Census Day 20</w:t>
      </w:r>
      <w:r w:rsidR="003156D7">
        <w:rPr>
          <w:i/>
          <w:sz w:val="20"/>
          <w:szCs w:val="20"/>
        </w:rPr>
        <w:t>2</w:t>
      </w:r>
      <w:r>
        <w:rPr>
          <w:i/>
          <w:sz w:val="20"/>
          <w:szCs w:val="20"/>
        </w:rPr>
        <w:t>1 for District Electoral Areas of Armagh City, Banbridge and Craigavon Borough</w:t>
      </w:r>
      <w:r w:rsidR="00B16FEC" w:rsidRPr="002A2185">
        <w:rPr>
          <w:i/>
          <w:sz w:val="20"/>
          <w:szCs w:val="20"/>
        </w:rPr>
        <w:t>. Source</w:t>
      </w:r>
      <w:r w:rsidR="00631264" w:rsidRPr="002A2185">
        <w:rPr>
          <w:i/>
          <w:sz w:val="20"/>
          <w:szCs w:val="20"/>
        </w:rPr>
        <w:t>:</w:t>
      </w:r>
      <w:r w:rsidR="00631264">
        <w:rPr>
          <w:i/>
          <w:sz w:val="20"/>
          <w:szCs w:val="20"/>
        </w:rPr>
        <w:t xml:space="preserve"> Usual Resident Population – </w:t>
      </w:r>
      <w:r w:rsidR="003156D7">
        <w:rPr>
          <w:i/>
          <w:sz w:val="20"/>
          <w:szCs w:val="20"/>
        </w:rPr>
        <w:t>Age-4 categories – Census 2021, NISRA</w:t>
      </w:r>
      <w:r w:rsidR="003156D7" w:rsidRPr="002A2185">
        <w:rPr>
          <w:i/>
          <w:sz w:val="20"/>
          <w:szCs w:val="20"/>
        </w:rPr>
        <w:t>.</w:t>
      </w:r>
    </w:p>
    <w:p w14:paraId="658C826B" w14:textId="77777777" w:rsidR="003156D7" w:rsidRDefault="003156D7" w:rsidP="003156D7">
      <w:pPr>
        <w:ind w:right="-1180"/>
      </w:pPr>
    </w:p>
    <w:p w14:paraId="09C9CD68" w14:textId="7E166E93" w:rsidR="003156D7" w:rsidRDefault="003156D7" w:rsidP="003156D7">
      <w:pPr>
        <w:ind w:left="-1134" w:right="-1180"/>
        <w:jc w:val="center"/>
      </w:pPr>
      <w:r>
        <w:rPr>
          <w:noProof/>
        </w:rPr>
        <w:drawing>
          <wp:inline distT="0" distB="0" distL="0" distR="0" wp14:anchorId="01B019AC" wp14:editId="2E7FE786">
            <wp:extent cx="5690870" cy="2976245"/>
            <wp:effectExtent l="0" t="0" r="5080" b="14605"/>
            <wp:docPr id="1716947781" name="Chart 1">
              <a:extLst xmlns:a="http://schemas.openxmlformats.org/drawingml/2006/main">
                <a:ext uri="{FF2B5EF4-FFF2-40B4-BE49-F238E27FC236}">
                  <a16:creationId xmlns:a16="http://schemas.microsoft.com/office/drawing/2014/main" id="{70F25CAB-55E1-5CA7-76D4-C42A25B98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833490" w14:textId="7046BB92" w:rsidR="007366E0" w:rsidRDefault="00915F1F" w:rsidP="00A34CDA">
      <w:pPr>
        <w:rPr>
          <w:i/>
          <w:sz w:val="20"/>
          <w:szCs w:val="20"/>
        </w:rPr>
      </w:pPr>
      <w:r>
        <w:rPr>
          <w:i/>
          <w:sz w:val="20"/>
          <w:szCs w:val="20"/>
        </w:rPr>
        <w:t>Figure 3</w:t>
      </w:r>
      <w:r w:rsidR="007366E0">
        <w:rPr>
          <w:i/>
          <w:sz w:val="20"/>
          <w:szCs w:val="20"/>
        </w:rPr>
        <w:t>: Age p</w:t>
      </w:r>
      <w:r>
        <w:rPr>
          <w:i/>
          <w:sz w:val="20"/>
          <w:szCs w:val="20"/>
        </w:rPr>
        <w:t xml:space="preserve">rofile </w:t>
      </w:r>
      <w:r w:rsidR="007366E0">
        <w:rPr>
          <w:i/>
          <w:sz w:val="20"/>
          <w:szCs w:val="20"/>
        </w:rPr>
        <w:t xml:space="preserve">proportions </w:t>
      </w:r>
      <w:r>
        <w:rPr>
          <w:i/>
          <w:sz w:val="20"/>
          <w:szCs w:val="20"/>
        </w:rPr>
        <w:t>on Census Day</w:t>
      </w:r>
      <w:r w:rsidR="00631264">
        <w:rPr>
          <w:i/>
          <w:sz w:val="20"/>
          <w:szCs w:val="20"/>
        </w:rPr>
        <w:t xml:space="preserve"> 202</w:t>
      </w:r>
      <w:r w:rsidR="007366E0">
        <w:rPr>
          <w:i/>
          <w:sz w:val="20"/>
          <w:szCs w:val="20"/>
        </w:rPr>
        <w:t>1 for District Electoral Areas of Armagh City, Banbridge and Craigavon Borough</w:t>
      </w:r>
      <w:r w:rsidRPr="002A2185">
        <w:rPr>
          <w:i/>
          <w:sz w:val="20"/>
          <w:szCs w:val="20"/>
        </w:rPr>
        <w:t>. Source:</w:t>
      </w:r>
      <w:r>
        <w:rPr>
          <w:i/>
          <w:sz w:val="20"/>
          <w:szCs w:val="20"/>
        </w:rPr>
        <w:t xml:space="preserve"> </w:t>
      </w:r>
      <w:r w:rsidR="00631264">
        <w:rPr>
          <w:i/>
          <w:sz w:val="20"/>
          <w:szCs w:val="20"/>
        </w:rPr>
        <w:t xml:space="preserve">Usual Resident Population – </w:t>
      </w:r>
      <w:r w:rsidR="003156D7">
        <w:rPr>
          <w:i/>
          <w:sz w:val="20"/>
          <w:szCs w:val="20"/>
        </w:rPr>
        <w:t>Age-4 categories</w:t>
      </w:r>
      <w:r w:rsidR="00631264">
        <w:rPr>
          <w:i/>
          <w:sz w:val="20"/>
          <w:szCs w:val="20"/>
        </w:rPr>
        <w:t xml:space="preserve"> –</w:t>
      </w:r>
      <w:r w:rsidR="003156D7">
        <w:rPr>
          <w:i/>
          <w:sz w:val="20"/>
          <w:szCs w:val="20"/>
        </w:rPr>
        <w:t xml:space="preserve"> </w:t>
      </w:r>
      <w:r w:rsidR="00631264">
        <w:rPr>
          <w:i/>
          <w:sz w:val="20"/>
          <w:szCs w:val="20"/>
        </w:rPr>
        <w:t>Census 2021, NISRA</w:t>
      </w:r>
      <w:r w:rsidR="00631264" w:rsidRPr="002A2185">
        <w:rPr>
          <w:i/>
          <w:sz w:val="20"/>
          <w:szCs w:val="20"/>
        </w:rPr>
        <w:t>.</w:t>
      </w:r>
    </w:p>
    <w:p w14:paraId="6B84670E" w14:textId="77777777" w:rsidR="00D76532" w:rsidRDefault="00D76532" w:rsidP="00A5008B">
      <w:r>
        <w:t xml:space="preserve">Further information on District Electoral Areas </w:t>
      </w:r>
      <w:r w:rsidR="00712EC9">
        <w:t xml:space="preserve">from Census 2021 </w:t>
      </w:r>
      <w:r>
        <w:t>can be found via the following links:</w:t>
      </w:r>
    </w:p>
    <w:p w14:paraId="51726FC2" w14:textId="77777777" w:rsidR="00D76532" w:rsidRPr="004A7624" w:rsidRDefault="003156D7" w:rsidP="004A7624">
      <w:hyperlink r:id="rId9" w:history="1">
        <w:r w:rsidR="00712EC9">
          <w:rPr>
            <w:rStyle w:val="Hyperlink"/>
          </w:rPr>
          <w:t>Census 2021 main statistics demography tables – age and sex | Northern Ireland Statistics and Research Agency (nisra.gov.uk)</w:t>
        </w:r>
      </w:hyperlink>
    </w:p>
    <w:sectPr w:rsidR="00D76532" w:rsidRPr="004A762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53D0" w14:textId="77777777" w:rsidR="00032913" w:rsidRDefault="00032913" w:rsidP="007366E0">
      <w:pPr>
        <w:spacing w:after="0" w:line="240" w:lineRule="auto"/>
      </w:pPr>
      <w:r>
        <w:separator/>
      </w:r>
    </w:p>
  </w:endnote>
  <w:endnote w:type="continuationSeparator" w:id="0">
    <w:p w14:paraId="47D2CF24" w14:textId="77777777" w:rsidR="00032913" w:rsidRDefault="00032913" w:rsidP="0073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89027"/>
      <w:docPartObj>
        <w:docPartGallery w:val="Page Numbers (Bottom of Page)"/>
        <w:docPartUnique/>
      </w:docPartObj>
    </w:sdtPr>
    <w:sdtEndPr>
      <w:rPr>
        <w:noProof/>
      </w:rPr>
    </w:sdtEndPr>
    <w:sdtContent>
      <w:p w14:paraId="1BD55325" w14:textId="77777777" w:rsidR="00032913" w:rsidRDefault="00032913">
        <w:pPr>
          <w:pStyle w:val="Footer"/>
          <w:jc w:val="right"/>
        </w:pPr>
        <w:r>
          <w:fldChar w:fldCharType="begin"/>
        </w:r>
        <w:r>
          <w:instrText xml:space="preserve"> PAGE   \* MERGEFORMAT </w:instrText>
        </w:r>
        <w:r>
          <w:fldChar w:fldCharType="separate"/>
        </w:r>
        <w:r w:rsidR="001649A9">
          <w:rPr>
            <w:noProof/>
          </w:rPr>
          <w:t>3</w:t>
        </w:r>
        <w:r>
          <w:rPr>
            <w:noProof/>
          </w:rPr>
          <w:fldChar w:fldCharType="end"/>
        </w:r>
      </w:p>
    </w:sdtContent>
  </w:sdt>
  <w:p w14:paraId="61E36C0F" w14:textId="77777777" w:rsidR="00032913" w:rsidRDefault="0003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F6A6" w14:textId="77777777" w:rsidR="00032913" w:rsidRDefault="00032913" w:rsidP="007366E0">
      <w:pPr>
        <w:spacing w:after="0" w:line="240" w:lineRule="auto"/>
      </w:pPr>
      <w:r>
        <w:separator/>
      </w:r>
    </w:p>
  </w:footnote>
  <w:footnote w:type="continuationSeparator" w:id="0">
    <w:p w14:paraId="1419144A" w14:textId="77777777" w:rsidR="00032913" w:rsidRDefault="00032913" w:rsidP="00736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92"/>
    <w:rsid w:val="000017F4"/>
    <w:rsid w:val="00032913"/>
    <w:rsid w:val="000978F8"/>
    <w:rsid w:val="00106892"/>
    <w:rsid w:val="001649A9"/>
    <w:rsid w:val="001A290C"/>
    <w:rsid w:val="00201EEE"/>
    <w:rsid w:val="00252044"/>
    <w:rsid w:val="00262A55"/>
    <w:rsid w:val="002C6837"/>
    <w:rsid w:val="00307D85"/>
    <w:rsid w:val="003156D7"/>
    <w:rsid w:val="0037158B"/>
    <w:rsid w:val="00377489"/>
    <w:rsid w:val="003C753A"/>
    <w:rsid w:val="003D547A"/>
    <w:rsid w:val="003F3F26"/>
    <w:rsid w:val="0044387B"/>
    <w:rsid w:val="004A7624"/>
    <w:rsid w:val="004C5921"/>
    <w:rsid w:val="004F741B"/>
    <w:rsid w:val="00503482"/>
    <w:rsid w:val="005E0D7E"/>
    <w:rsid w:val="005F7F2D"/>
    <w:rsid w:val="0060206C"/>
    <w:rsid w:val="00631264"/>
    <w:rsid w:val="006748D1"/>
    <w:rsid w:val="006C5A2E"/>
    <w:rsid w:val="00712EC9"/>
    <w:rsid w:val="007366E0"/>
    <w:rsid w:val="00780BD9"/>
    <w:rsid w:val="007E27C1"/>
    <w:rsid w:val="007E722F"/>
    <w:rsid w:val="00816EA0"/>
    <w:rsid w:val="008353E9"/>
    <w:rsid w:val="008472BF"/>
    <w:rsid w:val="00866768"/>
    <w:rsid w:val="008D53C7"/>
    <w:rsid w:val="00915F1F"/>
    <w:rsid w:val="00964AEE"/>
    <w:rsid w:val="009C2C3A"/>
    <w:rsid w:val="009F3C08"/>
    <w:rsid w:val="00A34CDA"/>
    <w:rsid w:val="00A35378"/>
    <w:rsid w:val="00A37F93"/>
    <w:rsid w:val="00A4675B"/>
    <w:rsid w:val="00A5008B"/>
    <w:rsid w:val="00B01CD9"/>
    <w:rsid w:val="00B10B2B"/>
    <w:rsid w:val="00B16FEC"/>
    <w:rsid w:val="00B933F9"/>
    <w:rsid w:val="00BA03F2"/>
    <w:rsid w:val="00BE1AB0"/>
    <w:rsid w:val="00C3728C"/>
    <w:rsid w:val="00C512D6"/>
    <w:rsid w:val="00C55302"/>
    <w:rsid w:val="00CB2711"/>
    <w:rsid w:val="00CF56DF"/>
    <w:rsid w:val="00D76532"/>
    <w:rsid w:val="00D859A2"/>
    <w:rsid w:val="00E44E81"/>
    <w:rsid w:val="00E52703"/>
    <w:rsid w:val="00F54D78"/>
    <w:rsid w:val="00FA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ECAE"/>
  <w15:chartTrackingRefBased/>
  <w15:docId w15:val="{16E5998B-5388-4948-B118-6438F837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532"/>
    <w:rPr>
      <w:color w:val="0000FF"/>
      <w:u w:val="single"/>
    </w:rPr>
  </w:style>
  <w:style w:type="paragraph" w:styleId="BalloonText">
    <w:name w:val="Balloon Text"/>
    <w:basedOn w:val="Normal"/>
    <w:link w:val="BalloonTextChar"/>
    <w:uiPriority w:val="99"/>
    <w:semiHidden/>
    <w:unhideWhenUsed/>
    <w:rsid w:val="00E4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81"/>
    <w:rPr>
      <w:rFonts w:ascii="Segoe UI" w:hAnsi="Segoe UI" w:cs="Segoe UI"/>
      <w:sz w:val="18"/>
      <w:szCs w:val="18"/>
    </w:rPr>
  </w:style>
  <w:style w:type="paragraph" w:styleId="Header">
    <w:name w:val="header"/>
    <w:basedOn w:val="Normal"/>
    <w:link w:val="HeaderChar"/>
    <w:uiPriority w:val="99"/>
    <w:unhideWhenUsed/>
    <w:rsid w:val="0073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6E0"/>
  </w:style>
  <w:style w:type="paragraph" w:styleId="Footer">
    <w:name w:val="footer"/>
    <w:basedOn w:val="Normal"/>
    <w:link w:val="FooterChar"/>
    <w:uiPriority w:val="99"/>
    <w:unhideWhenUsed/>
    <w:rsid w:val="0073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6E0"/>
  </w:style>
  <w:style w:type="character" w:styleId="FollowedHyperlink">
    <w:name w:val="FollowedHyperlink"/>
    <w:basedOn w:val="DefaultParagraphFont"/>
    <w:uiPriority w:val="99"/>
    <w:semiHidden/>
    <w:unhideWhenUsed/>
    <w:rsid w:val="009C2C3A"/>
    <w:rPr>
      <w:color w:val="954F72" w:themeColor="followedHyperlink"/>
      <w:u w:val="single"/>
    </w:rPr>
  </w:style>
  <w:style w:type="paragraph" w:styleId="NoSpacing">
    <w:name w:val="No Spacing"/>
    <w:uiPriority w:val="1"/>
    <w:qFormat/>
    <w:rsid w:val="00631264"/>
    <w:pPr>
      <w:spacing w:after="0" w:line="240" w:lineRule="auto"/>
    </w:pPr>
  </w:style>
  <w:style w:type="table" w:styleId="GridTable1Light">
    <w:name w:val="Grid Table 1 Light"/>
    <w:basedOn w:val="TableNormal"/>
    <w:uiPriority w:val="46"/>
    <w:rsid w:val="007E27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5971">
      <w:bodyDiv w:val="1"/>
      <w:marLeft w:val="0"/>
      <w:marRight w:val="0"/>
      <w:marTop w:val="0"/>
      <w:marBottom w:val="0"/>
      <w:divBdr>
        <w:top w:val="none" w:sz="0" w:space="0" w:color="auto"/>
        <w:left w:val="none" w:sz="0" w:space="0" w:color="auto"/>
        <w:bottom w:val="none" w:sz="0" w:space="0" w:color="auto"/>
        <w:right w:val="none" w:sz="0" w:space="0" w:color="auto"/>
      </w:divBdr>
    </w:div>
    <w:div w:id="189493141">
      <w:bodyDiv w:val="1"/>
      <w:marLeft w:val="0"/>
      <w:marRight w:val="0"/>
      <w:marTop w:val="0"/>
      <w:marBottom w:val="0"/>
      <w:divBdr>
        <w:top w:val="none" w:sz="0" w:space="0" w:color="auto"/>
        <w:left w:val="none" w:sz="0" w:space="0" w:color="auto"/>
        <w:bottom w:val="none" w:sz="0" w:space="0" w:color="auto"/>
        <w:right w:val="none" w:sz="0" w:space="0" w:color="auto"/>
      </w:divBdr>
    </w:div>
    <w:div w:id="2097163437">
      <w:bodyDiv w:val="1"/>
      <w:marLeft w:val="0"/>
      <w:marRight w:val="0"/>
      <w:marTop w:val="0"/>
      <w:marBottom w:val="0"/>
      <w:divBdr>
        <w:top w:val="none" w:sz="0" w:space="0" w:color="auto"/>
        <w:left w:val="none" w:sz="0" w:space="0" w:color="auto"/>
        <w:bottom w:val="none" w:sz="0" w:space="0" w:color="auto"/>
        <w:right w:val="none" w:sz="0" w:space="0" w:color="auto"/>
      </w:divBdr>
    </w:div>
    <w:div w:id="21233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isra.gov.uk/publications/census-2021-main-statistics-demography-tables-age-and-s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Population\2022%20Updates\DEA%20Census%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Population\2022%20Updates\DEA%20Census%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Update250124!$B$15</c:f>
              <c:strCache>
                <c:ptCount val="1"/>
                <c:pt idx="0">
                  <c:v>Total </c:v>
                </c:pt>
              </c:strCache>
            </c:strRef>
          </c:tx>
          <c:spPr>
            <a:solidFill>
              <a:schemeClr val="accent1"/>
            </a:solidFill>
            <a:ln>
              <a:noFill/>
            </a:ln>
            <a:effectLst/>
          </c:spPr>
          <c:invertIfNegative val="0"/>
          <c:cat>
            <c:strRef>
              <c:f>Update250124!$A$16:$A$22</c:f>
              <c:strCache>
                <c:ptCount val="7"/>
                <c:pt idx="0">
                  <c:v>Armagh</c:v>
                </c:pt>
                <c:pt idx="1">
                  <c:v>Banbridge</c:v>
                </c:pt>
                <c:pt idx="2">
                  <c:v>Craigavon</c:v>
                </c:pt>
                <c:pt idx="3">
                  <c:v>Cusher</c:v>
                </c:pt>
                <c:pt idx="4">
                  <c:v>Lagan River</c:v>
                </c:pt>
                <c:pt idx="5">
                  <c:v>Lurgan</c:v>
                </c:pt>
                <c:pt idx="6">
                  <c:v>Portadown</c:v>
                </c:pt>
              </c:strCache>
            </c:strRef>
          </c:cat>
          <c:val>
            <c:numRef>
              <c:f>Update250124!$B$16:$B$22</c:f>
              <c:numCache>
                <c:formatCode>#,##0</c:formatCode>
                <c:ptCount val="7"/>
                <c:pt idx="0">
                  <c:v>32406</c:v>
                </c:pt>
                <c:pt idx="1">
                  <c:v>34940</c:v>
                </c:pt>
                <c:pt idx="2">
                  <c:v>29188</c:v>
                </c:pt>
                <c:pt idx="3">
                  <c:v>26195</c:v>
                </c:pt>
                <c:pt idx="4">
                  <c:v>24803</c:v>
                </c:pt>
                <c:pt idx="5">
                  <c:v>38198</c:v>
                </c:pt>
                <c:pt idx="6">
                  <c:v>32925</c:v>
                </c:pt>
              </c:numCache>
            </c:numRef>
          </c:val>
          <c:extLst>
            <c:ext xmlns:c16="http://schemas.microsoft.com/office/drawing/2014/chart" uri="{C3380CC4-5D6E-409C-BE32-E72D297353CC}">
              <c16:uniqueId val="{00000000-2EBE-4ECE-9B3D-5E0F7D10E827}"/>
            </c:ext>
          </c:extLst>
        </c:ser>
        <c:dLbls>
          <c:showLegendKey val="0"/>
          <c:showVal val="0"/>
          <c:showCatName val="0"/>
          <c:showSerName val="0"/>
          <c:showPercent val="0"/>
          <c:showBubbleSize val="0"/>
        </c:dLbls>
        <c:gapWidth val="100"/>
        <c:overlap val="-27"/>
        <c:axId val="677380608"/>
        <c:axId val="739897312"/>
      </c:barChart>
      <c:catAx>
        <c:axId val="67738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897312"/>
        <c:crosses val="autoZero"/>
        <c:auto val="1"/>
        <c:lblAlgn val="ctr"/>
        <c:lblOffset val="100"/>
        <c:noMultiLvlLbl val="0"/>
      </c:catAx>
      <c:valAx>
        <c:axId val="73989731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380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Update250124!$C$48</c:f>
              <c:strCache>
                <c:ptCount val="1"/>
                <c:pt idx="0">
                  <c:v>0-15 years</c:v>
                </c:pt>
              </c:strCache>
            </c:strRef>
          </c:tx>
          <c:spPr>
            <a:solidFill>
              <a:schemeClr val="accent1"/>
            </a:solidFill>
            <a:ln>
              <a:noFill/>
            </a:ln>
            <a:effectLst/>
          </c:spPr>
          <c:invertIfNegative val="0"/>
          <c:cat>
            <c:strRef>
              <c:f>Update250124!$B$49:$B$55</c:f>
              <c:strCache>
                <c:ptCount val="7"/>
                <c:pt idx="0">
                  <c:v>Armagh</c:v>
                </c:pt>
                <c:pt idx="1">
                  <c:v>Banbridge</c:v>
                </c:pt>
                <c:pt idx="2">
                  <c:v>Craigavon</c:v>
                </c:pt>
                <c:pt idx="3">
                  <c:v>Cusher</c:v>
                </c:pt>
                <c:pt idx="4">
                  <c:v>Lagan River</c:v>
                </c:pt>
                <c:pt idx="5">
                  <c:v>Lurgan</c:v>
                </c:pt>
                <c:pt idx="6">
                  <c:v>Portadown</c:v>
                </c:pt>
              </c:strCache>
            </c:strRef>
          </c:cat>
          <c:val>
            <c:numRef>
              <c:f>Update250124!$C$49:$C$55</c:f>
              <c:numCache>
                <c:formatCode>0.0%</c:formatCode>
                <c:ptCount val="7"/>
                <c:pt idx="0">
                  <c:v>0.22724888134547139</c:v>
                </c:pt>
                <c:pt idx="1">
                  <c:v>0.21159129937034918</c:v>
                </c:pt>
                <c:pt idx="2">
                  <c:v>0.2364670412498287</c:v>
                </c:pt>
                <c:pt idx="3">
                  <c:v>0.22324871158618056</c:v>
                </c:pt>
                <c:pt idx="4">
                  <c:v>0.21395742622157715</c:v>
                </c:pt>
                <c:pt idx="5">
                  <c:v>0.21664005026572766</c:v>
                </c:pt>
                <c:pt idx="6">
                  <c:v>0.2172381328393112</c:v>
                </c:pt>
              </c:numCache>
            </c:numRef>
          </c:val>
          <c:extLst>
            <c:ext xmlns:c16="http://schemas.microsoft.com/office/drawing/2014/chart" uri="{C3380CC4-5D6E-409C-BE32-E72D297353CC}">
              <c16:uniqueId val="{00000000-B973-42AF-B47B-D1662437C352}"/>
            </c:ext>
          </c:extLst>
        </c:ser>
        <c:ser>
          <c:idx val="1"/>
          <c:order val="1"/>
          <c:tx>
            <c:strRef>
              <c:f>Update250124!$D$48</c:f>
              <c:strCache>
                <c:ptCount val="1"/>
                <c:pt idx="0">
                  <c:v>16-39 years</c:v>
                </c:pt>
              </c:strCache>
            </c:strRef>
          </c:tx>
          <c:spPr>
            <a:solidFill>
              <a:schemeClr val="accent2"/>
            </a:solidFill>
            <a:ln>
              <a:noFill/>
            </a:ln>
            <a:effectLst/>
          </c:spPr>
          <c:invertIfNegative val="0"/>
          <c:cat>
            <c:strRef>
              <c:f>Update250124!$B$49:$B$55</c:f>
              <c:strCache>
                <c:ptCount val="7"/>
                <c:pt idx="0">
                  <c:v>Armagh</c:v>
                </c:pt>
                <c:pt idx="1">
                  <c:v>Banbridge</c:v>
                </c:pt>
                <c:pt idx="2">
                  <c:v>Craigavon</c:v>
                </c:pt>
                <c:pt idx="3">
                  <c:v>Cusher</c:v>
                </c:pt>
                <c:pt idx="4">
                  <c:v>Lagan River</c:v>
                </c:pt>
                <c:pt idx="5">
                  <c:v>Lurgan</c:v>
                </c:pt>
                <c:pt idx="6">
                  <c:v>Portadown</c:v>
                </c:pt>
              </c:strCache>
            </c:strRef>
          </c:cat>
          <c:val>
            <c:numRef>
              <c:f>Update250124!$D$49:$D$55</c:f>
              <c:numCache>
                <c:formatCode>0.0%</c:formatCode>
                <c:ptCount val="7"/>
                <c:pt idx="0">
                  <c:v>0.29662089183767937</c:v>
                </c:pt>
                <c:pt idx="1">
                  <c:v>0.28033772180881511</c:v>
                </c:pt>
                <c:pt idx="2">
                  <c:v>0.31067562011785665</c:v>
                </c:pt>
                <c:pt idx="3">
                  <c:v>0.28138957816377169</c:v>
                </c:pt>
                <c:pt idx="4">
                  <c:v>0.28817932591517498</c:v>
                </c:pt>
                <c:pt idx="5">
                  <c:v>0.31104537005523997</c:v>
                </c:pt>
                <c:pt idx="6">
                  <c:v>0.30376286937771435</c:v>
                </c:pt>
              </c:numCache>
            </c:numRef>
          </c:val>
          <c:extLst>
            <c:ext xmlns:c16="http://schemas.microsoft.com/office/drawing/2014/chart" uri="{C3380CC4-5D6E-409C-BE32-E72D297353CC}">
              <c16:uniqueId val="{00000001-B973-42AF-B47B-D1662437C352}"/>
            </c:ext>
          </c:extLst>
        </c:ser>
        <c:ser>
          <c:idx val="2"/>
          <c:order val="2"/>
          <c:tx>
            <c:strRef>
              <c:f>Update250124!$E$48</c:f>
              <c:strCache>
                <c:ptCount val="1"/>
                <c:pt idx="0">
                  <c:v>40-64 years</c:v>
                </c:pt>
              </c:strCache>
            </c:strRef>
          </c:tx>
          <c:spPr>
            <a:solidFill>
              <a:schemeClr val="accent3"/>
            </a:solidFill>
            <a:ln>
              <a:noFill/>
            </a:ln>
            <a:effectLst/>
          </c:spPr>
          <c:invertIfNegative val="0"/>
          <c:cat>
            <c:strRef>
              <c:f>Update250124!$B$49:$B$55</c:f>
              <c:strCache>
                <c:ptCount val="7"/>
                <c:pt idx="0">
                  <c:v>Armagh</c:v>
                </c:pt>
                <c:pt idx="1">
                  <c:v>Banbridge</c:v>
                </c:pt>
                <c:pt idx="2">
                  <c:v>Craigavon</c:v>
                </c:pt>
                <c:pt idx="3">
                  <c:v>Cusher</c:v>
                </c:pt>
                <c:pt idx="4">
                  <c:v>Lagan River</c:v>
                </c:pt>
                <c:pt idx="5">
                  <c:v>Lurgan</c:v>
                </c:pt>
                <c:pt idx="6">
                  <c:v>Portadown</c:v>
                </c:pt>
              </c:strCache>
            </c:strRef>
          </c:cat>
          <c:val>
            <c:numRef>
              <c:f>Update250124!$E$49:$E$55</c:f>
              <c:numCache>
                <c:formatCode>0.0%</c:formatCode>
                <c:ptCount val="7"/>
                <c:pt idx="0">
                  <c:v>0.31050763771022988</c:v>
                </c:pt>
                <c:pt idx="1">
                  <c:v>0.33614768174012594</c:v>
                </c:pt>
                <c:pt idx="2">
                  <c:v>0.3141702069343566</c:v>
                </c:pt>
                <c:pt idx="3">
                  <c:v>0.32261882038556977</c:v>
                </c:pt>
                <c:pt idx="4">
                  <c:v>0.33942106111917431</c:v>
                </c:pt>
                <c:pt idx="5">
                  <c:v>0.32054873419378488</c:v>
                </c:pt>
                <c:pt idx="6">
                  <c:v>0.31755094603213169</c:v>
                </c:pt>
              </c:numCache>
            </c:numRef>
          </c:val>
          <c:extLst>
            <c:ext xmlns:c16="http://schemas.microsoft.com/office/drawing/2014/chart" uri="{C3380CC4-5D6E-409C-BE32-E72D297353CC}">
              <c16:uniqueId val="{00000002-B973-42AF-B47B-D1662437C352}"/>
            </c:ext>
          </c:extLst>
        </c:ser>
        <c:ser>
          <c:idx val="3"/>
          <c:order val="3"/>
          <c:tx>
            <c:strRef>
              <c:f>Update250124!$F$48</c:f>
              <c:strCache>
                <c:ptCount val="1"/>
                <c:pt idx="0">
                  <c:v>65+ years</c:v>
                </c:pt>
              </c:strCache>
            </c:strRef>
          </c:tx>
          <c:spPr>
            <a:solidFill>
              <a:schemeClr val="accent4"/>
            </a:solidFill>
            <a:ln>
              <a:noFill/>
            </a:ln>
            <a:effectLst/>
          </c:spPr>
          <c:invertIfNegative val="0"/>
          <c:cat>
            <c:strRef>
              <c:f>Update250124!$B$49:$B$55</c:f>
              <c:strCache>
                <c:ptCount val="7"/>
                <c:pt idx="0">
                  <c:v>Armagh</c:v>
                </c:pt>
                <c:pt idx="1">
                  <c:v>Banbridge</c:v>
                </c:pt>
                <c:pt idx="2">
                  <c:v>Craigavon</c:v>
                </c:pt>
                <c:pt idx="3">
                  <c:v>Cusher</c:v>
                </c:pt>
                <c:pt idx="4">
                  <c:v>Lagan River</c:v>
                </c:pt>
                <c:pt idx="5">
                  <c:v>Lurgan</c:v>
                </c:pt>
                <c:pt idx="6">
                  <c:v>Portadown</c:v>
                </c:pt>
              </c:strCache>
            </c:strRef>
          </c:cat>
          <c:val>
            <c:numRef>
              <c:f>Update250124!$F$49:$F$55</c:f>
              <c:numCache>
                <c:formatCode>0.0%</c:formatCode>
                <c:ptCount val="7"/>
                <c:pt idx="0">
                  <c:v>0.16562258910661934</c:v>
                </c:pt>
                <c:pt idx="1">
                  <c:v>0.17192329708070977</c:v>
                </c:pt>
                <c:pt idx="2">
                  <c:v>0.13868713169795807</c:v>
                </c:pt>
                <c:pt idx="3">
                  <c:v>0.17274288986447794</c:v>
                </c:pt>
                <c:pt idx="4">
                  <c:v>0.15844218674407354</c:v>
                </c:pt>
                <c:pt idx="5">
                  <c:v>0.15176584548524752</c:v>
                </c:pt>
                <c:pt idx="6">
                  <c:v>0.16144805175084279</c:v>
                </c:pt>
              </c:numCache>
            </c:numRef>
          </c:val>
          <c:extLst>
            <c:ext xmlns:c16="http://schemas.microsoft.com/office/drawing/2014/chart" uri="{C3380CC4-5D6E-409C-BE32-E72D297353CC}">
              <c16:uniqueId val="{00000003-B973-42AF-B47B-D1662437C352}"/>
            </c:ext>
          </c:extLst>
        </c:ser>
        <c:dLbls>
          <c:showLegendKey val="0"/>
          <c:showVal val="0"/>
          <c:showCatName val="0"/>
          <c:showSerName val="0"/>
          <c:showPercent val="0"/>
          <c:showBubbleSize val="0"/>
        </c:dLbls>
        <c:gapWidth val="219"/>
        <c:overlap val="-27"/>
        <c:axId val="316686064"/>
        <c:axId val="739889376"/>
      </c:barChart>
      <c:catAx>
        <c:axId val="31668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889376"/>
        <c:crosses val="autoZero"/>
        <c:auto val="1"/>
        <c:lblAlgn val="ctr"/>
        <c:lblOffset val="100"/>
        <c:noMultiLvlLbl val="0"/>
      </c:catAx>
      <c:valAx>
        <c:axId val="739889376"/>
        <c:scaling>
          <c:orientation val="minMax"/>
          <c:max val="0.34000000000000008"/>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68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3</cp:revision>
  <cp:lastPrinted>2020-02-14T10:24:00Z</cp:lastPrinted>
  <dcterms:created xsi:type="dcterms:W3CDTF">2024-01-25T10:23:00Z</dcterms:created>
  <dcterms:modified xsi:type="dcterms:W3CDTF">2024-01-25T10:50:00Z</dcterms:modified>
</cp:coreProperties>
</file>