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5861" w14:textId="77777777" w:rsidR="00163756" w:rsidRDefault="00FD1406" w:rsidP="00163756">
      <w:pPr>
        <w:rPr>
          <w:b/>
        </w:rPr>
      </w:pPr>
      <w:r>
        <w:rPr>
          <w:b/>
        </w:rPr>
        <w:t>Town Centre Vacancy Rates</w:t>
      </w:r>
    </w:p>
    <w:p w14:paraId="3A217215" w14:textId="77777777" w:rsidR="00163756" w:rsidRDefault="00FD1406" w:rsidP="00163756">
      <w:r>
        <w:t>Vacancy rates for non-domestic properties are available for the five main city / town centres in the borough (Armagh, Banbridge, Craigavon, Lurgan and Portadown) and Dromore from the Town Centre Database (using data from Land and Property Services) produced by the Department for Communities.</w:t>
      </w:r>
      <w:r w:rsidR="004239CA">
        <w:t xml:space="preserve"> A property refers to a hereditament which is subject to rates and not individual buildings.</w:t>
      </w:r>
    </w:p>
    <w:p w14:paraId="3022583C" w14:textId="4D25C940" w:rsidR="008F7B50" w:rsidRDefault="00936C9E" w:rsidP="00163756">
      <w:r w:rsidRPr="00EB4ADC">
        <w:t xml:space="preserve">As </w:t>
      </w:r>
      <w:proofErr w:type="gramStart"/>
      <w:r w:rsidRPr="00EB4ADC">
        <w:t>at</w:t>
      </w:r>
      <w:proofErr w:type="gramEnd"/>
      <w:r w:rsidRPr="00EB4ADC">
        <w:t xml:space="preserve"> </w:t>
      </w:r>
      <w:r w:rsidR="004E798D">
        <w:t>31</w:t>
      </w:r>
      <w:r w:rsidR="004E798D" w:rsidRPr="004E798D">
        <w:rPr>
          <w:vertAlign w:val="superscript"/>
        </w:rPr>
        <w:t>st</w:t>
      </w:r>
      <w:r w:rsidR="004E798D">
        <w:t xml:space="preserve"> October</w:t>
      </w:r>
      <w:r w:rsidR="008F7B50">
        <w:t xml:space="preserve"> 2023</w:t>
      </w:r>
      <w:r w:rsidR="00FD1406" w:rsidRPr="00EB4ADC">
        <w:t xml:space="preserve">, vacancy rates in the </w:t>
      </w:r>
      <w:r w:rsidRPr="00EB4ADC">
        <w:t xml:space="preserve">borough varied from </w:t>
      </w:r>
      <w:r w:rsidR="004E798D">
        <w:t>9.7</w:t>
      </w:r>
      <w:r w:rsidRPr="00EB4ADC">
        <w:t xml:space="preserve">% in Craigavon to </w:t>
      </w:r>
      <w:r w:rsidR="004E798D">
        <w:t>23.3</w:t>
      </w:r>
      <w:r w:rsidR="00FD1406" w:rsidRPr="00EB4ADC">
        <w:t xml:space="preserve">% in Dromore. </w:t>
      </w:r>
      <w:r w:rsidR="00D71F6B" w:rsidRPr="00EB4ADC">
        <w:t xml:space="preserve"> </w:t>
      </w:r>
      <w:r w:rsidR="00FD1406" w:rsidRPr="00EB4ADC">
        <w:t>This compares to a Northern Irela</w:t>
      </w:r>
      <w:r w:rsidRPr="00EB4ADC">
        <w:t xml:space="preserve">nd average vacancy level of </w:t>
      </w:r>
      <w:r w:rsidR="00EB4ADC" w:rsidRPr="00EB4ADC">
        <w:t>22.</w:t>
      </w:r>
      <w:r w:rsidR="004E798D">
        <w:t>2</w:t>
      </w:r>
      <w:r w:rsidR="00FD1406" w:rsidRPr="00EB4ADC">
        <w:t>%.</w:t>
      </w:r>
    </w:p>
    <w:tbl>
      <w:tblPr>
        <w:tblStyle w:val="GridTable1Light"/>
        <w:tblW w:w="8505" w:type="dxa"/>
        <w:tblLayout w:type="fixed"/>
        <w:tblLook w:val="04A0" w:firstRow="1" w:lastRow="0" w:firstColumn="1" w:lastColumn="0" w:noHBand="0" w:noVBand="1"/>
      </w:tblPr>
      <w:tblGrid>
        <w:gridCol w:w="1985"/>
        <w:gridCol w:w="2173"/>
        <w:gridCol w:w="2173"/>
        <w:gridCol w:w="2174"/>
      </w:tblGrid>
      <w:tr w:rsidR="008F7B50" w:rsidRPr="008F7B50" w14:paraId="4096FC4F" w14:textId="77777777" w:rsidTr="008F7B5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09FD003" w14:textId="77777777" w:rsidR="008F7B50" w:rsidRPr="008F7B50" w:rsidRDefault="008F7B50" w:rsidP="008F7B50">
            <w:pPr>
              <w:rPr>
                <w:rFonts w:ascii="Calibri" w:eastAsia="Times New Roman" w:hAnsi="Calibri" w:cs="Calibri"/>
                <w:color w:val="000000"/>
                <w:lang w:eastAsia="en-GB"/>
              </w:rPr>
            </w:pPr>
            <w:r w:rsidRPr="008F7B50">
              <w:rPr>
                <w:rFonts w:ascii="Calibri" w:eastAsia="Times New Roman" w:hAnsi="Calibri" w:cs="Calibri"/>
                <w:color w:val="000000"/>
                <w:lang w:eastAsia="en-GB"/>
              </w:rPr>
              <w:t> </w:t>
            </w:r>
          </w:p>
        </w:tc>
        <w:tc>
          <w:tcPr>
            <w:tcW w:w="6520" w:type="dxa"/>
            <w:gridSpan w:val="3"/>
            <w:noWrap/>
            <w:hideMark/>
          </w:tcPr>
          <w:p w14:paraId="7DFBD13D" w14:textId="37E9A17B" w:rsidR="008F7B50" w:rsidRPr="008F7B50" w:rsidRDefault="00DF6D63" w:rsidP="008F7B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31</w:t>
            </w:r>
            <w:r w:rsidRPr="00DF6D63">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October</w:t>
            </w:r>
            <w:r w:rsidR="008F7B50" w:rsidRPr="008F7B50">
              <w:rPr>
                <w:rFonts w:ascii="Calibri" w:eastAsia="Times New Roman" w:hAnsi="Calibri" w:cs="Calibri"/>
                <w:color w:val="000000"/>
                <w:lang w:eastAsia="en-GB"/>
              </w:rPr>
              <w:t xml:space="preserve"> 2023</w:t>
            </w:r>
          </w:p>
        </w:tc>
      </w:tr>
      <w:tr w:rsidR="008F7B50" w:rsidRPr="008F7B50" w14:paraId="75BC65E9" w14:textId="77777777" w:rsidTr="008F7B50">
        <w:trPr>
          <w:trHeight w:val="63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B5A32F2" w14:textId="77777777" w:rsidR="008F7B50" w:rsidRPr="008F7B50" w:rsidRDefault="008F7B50" w:rsidP="008F7B50">
            <w:pPr>
              <w:rPr>
                <w:rFonts w:ascii="Calibri" w:eastAsia="Times New Roman" w:hAnsi="Calibri" w:cs="Calibri"/>
                <w:color w:val="000000"/>
                <w:lang w:eastAsia="en-GB"/>
              </w:rPr>
            </w:pPr>
            <w:r w:rsidRPr="008F7B50">
              <w:rPr>
                <w:rFonts w:ascii="Calibri" w:eastAsia="Times New Roman" w:hAnsi="Calibri" w:cs="Calibri"/>
                <w:color w:val="000000"/>
                <w:lang w:eastAsia="en-GB"/>
              </w:rPr>
              <w:t> </w:t>
            </w:r>
          </w:p>
        </w:tc>
        <w:tc>
          <w:tcPr>
            <w:tcW w:w="2173" w:type="dxa"/>
            <w:hideMark/>
          </w:tcPr>
          <w:p w14:paraId="4E615C5C" w14:textId="77777777" w:rsidR="008F7B50" w:rsidRPr="008F7B50" w:rsidRDefault="008F7B50" w:rsidP="008F7B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F7B50">
              <w:rPr>
                <w:rFonts w:ascii="Calibri" w:eastAsia="Times New Roman" w:hAnsi="Calibri" w:cs="Calibri"/>
                <w:b/>
                <w:bCs/>
                <w:color w:val="000000"/>
                <w:lang w:eastAsia="en-GB"/>
              </w:rPr>
              <w:t>No. of Properties</w:t>
            </w:r>
          </w:p>
        </w:tc>
        <w:tc>
          <w:tcPr>
            <w:tcW w:w="2173" w:type="dxa"/>
            <w:hideMark/>
          </w:tcPr>
          <w:p w14:paraId="08210560" w14:textId="77777777" w:rsidR="008F7B50" w:rsidRPr="008F7B50" w:rsidRDefault="008F7B50" w:rsidP="008F7B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F7B50">
              <w:rPr>
                <w:rFonts w:ascii="Calibri" w:eastAsia="Times New Roman" w:hAnsi="Calibri" w:cs="Calibri"/>
                <w:b/>
                <w:bCs/>
                <w:color w:val="000000"/>
                <w:lang w:eastAsia="en-GB"/>
              </w:rPr>
              <w:t>No. of Vacant Properties</w:t>
            </w:r>
          </w:p>
        </w:tc>
        <w:tc>
          <w:tcPr>
            <w:tcW w:w="2174" w:type="dxa"/>
            <w:hideMark/>
          </w:tcPr>
          <w:p w14:paraId="75D7E014" w14:textId="77777777" w:rsidR="008F7B50" w:rsidRPr="008F7B50" w:rsidRDefault="008F7B50" w:rsidP="008F7B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F7B50">
              <w:rPr>
                <w:rFonts w:ascii="Calibri" w:eastAsia="Times New Roman" w:hAnsi="Calibri" w:cs="Calibri"/>
                <w:b/>
                <w:bCs/>
                <w:color w:val="000000"/>
                <w:lang w:eastAsia="en-GB"/>
              </w:rPr>
              <w:t>% of Vacant Properties</w:t>
            </w:r>
          </w:p>
        </w:tc>
      </w:tr>
      <w:tr w:rsidR="00DF6D63" w:rsidRPr="008F7B50" w14:paraId="6AB4189F" w14:textId="77777777" w:rsidTr="00A4736F">
        <w:trPr>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79E8538" w14:textId="77777777" w:rsidR="00DF6D63" w:rsidRPr="008F7B50" w:rsidRDefault="00DF6D63" w:rsidP="00DF6D63">
            <w:pPr>
              <w:rPr>
                <w:rFonts w:ascii="Arial" w:eastAsia="Times New Roman" w:hAnsi="Arial" w:cs="Arial"/>
                <w:color w:val="000000"/>
                <w:sz w:val="18"/>
                <w:szCs w:val="18"/>
                <w:lang w:eastAsia="en-GB"/>
              </w:rPr>
            </w:pPr>
            <w:r w:rsidRPr="008F7B50">
              <w:rPr>
                <w:rFonts w:ascii="Arial" w:eastAsia="Times New Roman" w:hAnsi="Arial" w:cs="Arial"/>
                <w:color w:val="000000"/>
                <w:sz w:val="18"/>
                <w:szCs w:val="18"/>
                <w:lang w:eastAsia="en-GB"/>
              </w:rPr>
              <w:t>Armagh</w:t>
            </w:r>
          </w:p>
        </w:tc>
        <w:tc>
          <w:tcPr>
            <w:tcW w:w="2173" w:type="dxa"/>
            <w:noWrap/>
            <w:vAlign w:val="bottom"/>
            <w:hideMark/>
          </w:tcPr>
          <w:p w14:paraId="77698CA2" w14:textId="35522BBD"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739</w:t>
            </w:r>
          </w:p>
        </w:tc>
        <w:tc>
          <w:tcPr>
            <w:tcW w:w="2173" w:type="dxa"/>
            <w:noWrap/>
            <w:vAlign w:val="bottom"/>
            <w:hideMark/>
          </w:tcPr>
          <w:p w14:paraId="27451425" w14:textId="3238DB2A"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120</w:t>
            </w:r>
          </w:p>
        </w:tc>
        <w:tc>
          <w:tcPr>
            <w:tcW w:w="2174" w:type="dxa"/>
            <w:noWrap/>
            <w:vAlign w:val="bottom"/>
            <w:hideMark/>
          </w:tcPr>
          <w:p w14:paraId="20229B7F" w14:textId="13DEEB64"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en-GB"/>
              </w:rPr>
            </w:pPr>
            <w:r>
              <w:rPr>
                <w:rFonts w:ascii="Calibri" w:hAnsi="Calibri" w:cs="Calibri"/>
                <w:i/>
                <w:iCs/>
              </w:rPr>
              <w:t>16.2%</w:t>
            </w:r>
          </w:p>
        </w:tc>
      </w:tr>
      <w:tr w:rsidR="00DF6D63" w:rsidRPr="008F7B50" w14:paraId="543DF3DB" w14:textId="77777777" w:rsidTr="00A4736F">
        <w:trPr>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A218287" w14:textId="77777777" w:rsidR="00DF6D63" w:rsidRPr="008F7B50" w:rsidRDefault="00DF6D63" w:rsidP="00DF6D63">
            <w:pPr>
              <w:rPr>
                <w:rFonts w:ascii="Arial" w:eastAsia="Times New Roman" w:hAnsi="Arial" w:cs="Arial"/>
                <w:color w:val="000000"/>
                <w:sz w:val="18"/>
                <w:szCs w:val="18"/>
                <w:lang w:eastAsia="en-GB"/>
              </w:rPr>
            </w:pPr>
            <w:r w:rsidRPr="008F7B50">
              <w:rPr>
                <w:rFonts w:ascii="Arial" w:eastAsia="Times New Roman" w:hAnsi="Arial" w:cs="Arial"/>
                <w:color w:val="000000"/>
                <w:sz w:val="18"/>
                <w:szCs w:val="18"/>
                <w:lang w:eastAsia="en-GB"/>
              </w:rPr>
              <w:t>Banbridge</w:t>
            </w:r>
          </w:p>
        </w:tc>
        <w:tc>
          <w:tcPr>
            <w:tcW w:w="2173" w:type="dxa"/>
            <w:noWrap/>
            <w:vAlign w:val="bottom"/>
            <w:hideMark/>
          </w:tcPr>
          <w:p w14:paraId="129924B3" w14:textId="1180749C"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435</w:t>
            </w:r>
          </w:p>
        </w:tc>
        <w:tc>
          <w:tcPr>
            <w:tcW w:w="2173" w:type="dxa"/>
            <w:noWrap/>
            <w:vAlign w:val="bottom"/>
            <w:hideMark/>
          </w:tcPr>
          <w:p w14:paraId="1821AE96" w14:textId="6FE74F85"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70</w:t>
            </w:r>
          </w:p>
        </w:tc>
        <w:tc>
          <w:tcPr>
            <w:tcW w:w="2174" w:type="dxa"/>
            <w:noWrap/>
            <w:vAlign w:val="bottom"/>
            <w:hideMark/>
          </w:tcPr>
          <w:p w14:paraId="5F3375E0" w14:textId="6A477510"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en-GB"/>
              </w:rPr>
            </w:pPr>
            <w:r>
              <w:rPr>
                <w:rFonts w:ascii="Calibri" w:hAnsi="Calibri" w:cs="Calibri"/>
                <w:i/>
                <w:iCs/>
              </w:rPr>
              <w:t>16.1%</w:t>
            </w:r>
          </w:p>
        </w:tc>
      </w:tr>
      <w:tr w:rsidR="00DF6D63" w:rsidRPr="008F7B50" w14:paraId="314E7032" w14:textId="77777777" w:rsidTr="00A4736F">
        <w:trPr>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7C0FE75" w14:textId="77777777" w:rsidR="00DF6D63" w:rsidRPr="008F7B50" w:rsidRDefault="00DF6D63" w:rsidP="00DF6D63">
            <w:pPr>
              <w:rPr>
                <w:rFonts w:ascii="Arial" w:eastAsia="Times New Roman" w:hAnsi="Arial" w:cs="Arial"/>
                <w:color w:val="000000"/>
                <w:sz w:val="18"/>
                <w:szCs w:val="18"/>
                <w:lang w:eastAsia="en-GB"/>
              </w:rPr>
            </w:pPr>
            <w:r w:rsidRPr="008F7B50">
              <w:rPr>
                <w:rFonts w:ascii="Arial" w:eastAsia="Times New Roman" w:hAnsi="Arial" w:cs="Arial"/>
                <w:color w:val="000000"/>
                <w:sz w:val="18"/>
                <w:szCs w:val="18"/>
                <w:lang w:eastAsia="en-GB"/>
              </w:rPr>
              <w:t>Craigavon</w:t>
            </w:r>
          </w:p>
        </w:tc>
        <w:tc>
          <w:tcPr>
            <w:tcW w:w="2173" w:type="dxa"/>
            <w:noWrap/>
            <w:vAlign w:val="bottom"/>
            <w:hideMark/>
          </w:tcPr>
          <w:p w14:paraId="71EECFE7" w14:textId="32D02978"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103</w:t>
            </w:r>
          </w:p>
        </w:tc>
        <w:tc>
          <w:tcPr>
            <w:tcW w:w="2173" w:type="dxa"/>
            <w:noWrap/>
            <w:vAlign w:val="bottom"/>
            <w:hideMark/>
          </w:tcPr>
          <w:p w14:paraId="71AAC55B" w14:textId="318A7E2E"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10</w:t>
            </w:r>
          </w:p>
        </w:tc>
        <w:tc>
          <w:tcPr>
            <w:tcW w:w="2174" w:type="dxa"/>
            <w:noWrap/>
            <w:vAlign w:val="bottom"/>
            <w:hideMark/>
          </w:tcPr>
          <w:p w14:paraId="3F621863" w14:textId="06B7E1BA"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en-GB"/>
              </w:rPr>
            </w:pPr>
            <w:r>
              <w:rPr>
                <w:rFonts w:ascii="Calibri" w:hAnsi="Calibri" w:cs="Calibri"/>
                <w:i/>
                <w:iCs/>
              </w:rPr>
              <w:t>9.7%</w:t>
            </w:r>
          </w:p>
        </w:tc>
      </w:tr>
      <w:tr w:rsidR="00DF6D63" w:rsidRPr="008F7B50" w14:paraId="1FEE9C3D" w14:textId="77777777" w:rsidTr="00A4736F">
        <w:trPr>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9330D06" w14:textId="77777777" w:rsidR="00DF6D63" w:rsidRPr="008F7B50" w:rsidRDefault="00DF6D63" w:rsidP="00DF6D63">
            <w:pPr>
              <w:rPr>
                <w:rFonts w:ascii="Arial" w:eastAsia="Times New Roman" w:hAnsi="Arial" w:cs="Arial"/>
                <w:color w:val="000000"/>
                <w:sz w:val="18"/>
                <w:szCs w:val="18"/>
                <w:lang w:eastAsia="en-GB"/>
              </w:rPr>
            </w:pPr>
            <w:r w:rsidRPr="008F7B50">
              <w:rPr>
                <w:rFonts w:ascii="Arial" w:eastAsia="Times New Roman" w:hAnsi="Arial" w:cs="Arial"/>
                <w:color w:val="000000"/>
                <w:sz w:val="18"/>
                <w:szCs w:val="18"/>
                <w:lang w:eastAsia="en-GB"/>
              </w:rPr>
              <w:t>Dromore</w:t>
            </w:r>
          </w:p>
        </w:tc>
        <w:tc>
          <w:tcPr>
            <w:tcW w:w="2173" w:type="dxa"/>
            <w:noWrap/>
            <w:vAlign w:val="bottom"/>
            <w:hideMark/>
          </w:tcPr>
          <w:p w14:paraId="2687775F" w14:textId="63548276"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120</w:t>
            </w:r>
          </w:p>
        </w:tc>
        <w:tc>
          <w:tcPr>
            <w:tcW w:w="2173" w:type="dxa"/>
            <w:noWrap/>
            <w:vAlign w:val="bottom"/>
            <w:hideMark/>
          </w:tcPr>
          <w:p w14:paraId="35FB4956" w14:textId="6249ABCC"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28</w:t>
            </w:r>
          </w:p>
        </w:tc>
        <w:tc>
          <w:tcPr>
            <w:tcW w:w="2174" w:type="dxa"/>
            <w:noWrap/>
            <w:vAlign w:val="bottom"/>
            <w:hideMark/>
          </w:tcPr>
          <w:p w14:paraId="04392936" w14:textId="10B894E6"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en-GB"/>
              </w:rPr>
            </w:pPr>
            <w:r>
              <w:rPr>
                <w:rFonts w:ascii="Calibri" w:hAnsi="Calibri" w:cs="Calibri"/>
                <w:i/>
                <w:iCs/>
              </w:rPr>
              <w:t>23.3%</w:t>
            </w:r>
          </w:p>
        </w:tc>
      </w:tr>
      <w:tr w:rsidR="00DF6D63" w:rsidRPr="008F7B50" w14:paraId="0D1B5905" w14:textId="77777777" w:rsidTr="00A4736F">
        <w:trPr>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FEC9CAA" w14:textId="77777777" w:rsidR="00DF6D63" w:rsidRPr="008F7B50" w:rsidRDefault="00DF6D63" w:rsidP="00DF6D63">
            <w:pPr>
              <w:rPr>
                <w:rFonts w:ascii="Arial" w:eastAsia="Times New Roman" w:hAnsi="Arial" w:cs="Arial"/>
                <w:color w:val="000000"/>
                <w:sz w:val="18"/>
                <w:szCs w:val="18"/>
                <w:lang w:eastAsia="en-GB"/>
              </w:rPr>
            </w:pPr>
            <w:r w:rsidRPr="008F7B50">
              <w:rPr>
                <w:rFonts w:ascii="Arial" w:eastAsia="Times New Roman" w:hAnsi="Arial" w:cs="Arial"/>
                <w:color w:val="000000"/>
                <w:sz w:val="18"/>
                <w:szCs w:val="18"/>
                <w:lang w:eastAsia="en-GB"/>
              </w:rPr>
              <w:t>Lurgan</w:t>
            </w:r>
          </w:p>
        </w:tc>
        <w:tc>
          <w:tcPr>
            <w:tcW w:w="2173" w:type="dxa"/>
            <w:noWrap/>
            <w:vAlign w:val="bottom"/>
            <w:hideMark/>
          </w:tcPr>
          <w:p w14:paraId="5342EAB1" w14:textId="5074B88A"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505</w:t>
            </w:r>
          </w:p>
        </w:tc>
        <w:tc>
          <w:tcPr>
            <w:tcW w:w="2173" w:type="dxa"/>
            <w:noWrap/>
            <w:vAlign w:val="bottom"/>
            <w:hideMark/>
          </w:tcPr>
          <w:p w14:paraId="49326656" w14:textId="1117576C"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101</w:t>
            </w:r>
          </w:p>
        </w:tc>
        <w:tc>
          <w:tcPr>
            <w:tcW w:w="2174" w:type="dxa"/>
            <w:noWrap/>
            <w:vAlign w:val="bottom"/>
            <w:hideMark/>
          </w:tcPr>
          <w:p w14:paraId="2D8CC982" w14:textId="5135D8F5"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en-GB"/>
              </w:rPr>
            </w:pPr>
            <w:r>
              <w:rPr>
                <w:rFonts w:ascii="Calibri" w:hAnsi="Calibri" w:cs="Calibri"/>
                <w:i/>
                <w:iCs/>
              </w:rPr>
              <w:t>20.0%</w:t>
            </w:r>
          </w:p>
        </w:tc>
      </w:tr>
      <w:tr w:rsidR="00DF6D63" w:rsidRPr="008F7B50" w14:paraId="170F93F2" w14:textId="77777777" w:rsidTr="00A4736F">
        <w:trPr>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D32D1A8" w14:textId="77777777" w:rsidR="00DF6D63" w:rsidRPr="008F7B50" w:rsidRDefault="00DF6D63" w:rsidP="00DF6D63">
            <w:pPr>
              <w:rPr>
                <w:rFonts w:ascii="Arial" w:eastAsia="Times New Roman" w:hAnsi="Arial" w:cs="Arial"/>
                <w:color w:val="000000"/>
                <w:sz w:val="18"/>
                <w:szCs w:val="18"/>
                <w:lang w:eastAsia="en-GB"/>
              </w:rPr>
            </w:pPr>
            <w:r w:rsidRPr="008F7B50">
              <w:rPr>
                <w:rFonts w:ascii="Arial" w:eastAsia="Times New Roman" w:hAnsi="Arial" w:cs="Arial"/>
                <w:color w:val="000000"/>
                <w:sz w:val="18"/>
                <w:szCs w:val="18"/>
                <w:lang w:eastAsia="en-GB"/>
              </w:rPr>
              <w:t>Portadown</w:t>
            </w:r>
          </w:p>
        </w:tc>
        <w:tc>
          <w:tcPr>
            <w:tcW w:w="2173" w:type="dxa"/>
            <w:noWrap/>
            <w:vAlign w:val="bottom"/>
            <w:hideMark/>
          </w:tcPr>
          <w:p w14:paraId="51A206C0" w14:textId="02BD5E9C"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685</w:t>
            </w:r>
          </w:p>
        </w:tc>
        <w:tc>
          <w:tcPr>
            <w:tcW w:w="2173" w:type="dxa"/>
            <w:noWrap/>
            <w:vAlign w:val="bottom"/>
            <w:hideMark/>
          </w:tcPr>
          <w:p w14:paraId="4FE9E32B" w14:textId="6B4B7DAE"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143</w:t>
            </w:r>
          </w:p>
        </w:tc>
        <w:tc>
          <w:tcPr>
            <w:tcW w:w="2174" w:type="dxa"/>
            <w:noWrap/>
            <w:vAlign w:val="bottom"/>
            <w:hideMark/>
          </w:tcPr>
          <w:p w14:paraId="5ABCC648" w14:textId="00A92BF4"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en-GB"/>
              </w:rPr>
            </w:pPr>
            <w:r>
              <w:rPr>
                <w:rFonts w:ascii="Calibri" w:hAnsi="Calibri" w:cs="Calibri"/>
                <w:i/>
                <w:iCs/>
              </w:rPr>
              <w:t>20.9%</w:t>
            </w:r>
          </w:p>
        </w:tc>
      </w:tr>
      <w:tr w:rsidR="00DF6D63" w:rsidRPr="008F7B50" w14:paraId="7AB22DA5" w14:textId="77777777" w:rsidTr="00A4736F">
        <w:trPr>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BAB71F2" w14:textId="77777777" w:rsidR="00DF6D63" w:rsidRPr="008F7B50" w:rsidRDefault="00DF6D63" w:rsidP="00DF6D63">
            <w:pPr>
              <w:rPr>
                <w:rFonts w:ascii="Calibri" w:eastAsia="Times New Roman" w:hAnsi="Calibri" w:cs="Calibri"/>
                <w:color w:val="000000"/>
                <w:lang w:eastAsia="en-GB"/>
              </w:rPr>
            </w:pPr>
            <w:r w:rsidRPr="008F7B50">
              <w:rPr>
                <w:rFonts w:ascii="Calibri" w:eastAsia="Times New Roman" w:hAnsi="Calibri" w:cs="Calibri"/>
                <w:color w:val="000000"/>
                <w:lang w:eastAsia="en-GB"/>
              </w:rPr>
              <w:t xml:space="preserve">Northern Ireland </w:t>
            </w:r>
          </w:p>
        </w:tc>
        <w:tc>
          <w:tcPr>
            <w:tcW w:w="2173" w:type="dxa"/>
            <w:noWrap/>
            <w:vAlign w:val="bottom"/>
            <w:hideMark/>
          </w:tcPr>
          <w:p w14:paraId="0B3F3240" w14:textId="4944F738"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Pr>
                <w:rFonts w:ascii="Calibri" w:hAnsi="Calibri" w:cs="Calibri"/>
                <w:b/>
                <w:bCs/>
              </w:rPr>
              <w:t>21,385</w:t>
            </w:r>
          </w:p>
        </w:tc>
        <w:tc>
          <w:tcPr>
            <w:tcW w:w="2173" w:type="dxa"/>
            <w:noWrap/>
            <w:vAlign w:val="bottom"/>
            <w:hideMark/>
          </w:tcPr>
          <w:p w14:paraId="127772DB" w14:textId="5529BE9B"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Pr>
                <w:rFonts w:ascii="Calibri" w:hAnsi="Calibri" w:cs="Calibri"/>
                <w:b/>
                <w:bCs/>
              </w:rPr>
              <w:t>4,737</w:t>
            </w:r>
          </w:p>
        </w:tc>
        <w:tc>
          <w:tcPr>
            <w:tcW w:w="2174" w:type="dxa"/>
            <w:noWrap/>
            <w:vAlign w:val="bottom"/>
            <w:hideMark/>
          </w:tcPr>
          <w:p w14:paraId="0B7DF87B" w14:textId="43BBEF45" w:rsidR="00DF6D63" w:rsidRPr="008F7B50" w:rsidRDefault="00DF6D63" w:rsidP="00DF6D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lang w:eastAsia="en-GB"/>
              </w:rPr>
            </w:pPr>
            <w:r>
              <w:rPr>
                <w:rFonts w:ascii="Calibri" w:hAnsi="Calibri" w:cs="Calibri"/>
                <w:b/>
                <w:bCs/>
                <w:i/>
                <w:iCs/>
              </w:rPr>
              <w:t>22.2%</w:t>
            </w:r>
          </w:p>
        </w:tc>
      </w:tr>
    </w:tbl>
    <w:p w14:paraId="208DFE2B" w14:textId="20FA4311" w:rsidR="00163756" w:rsidRDefault="00C07F07" w:rsidP="00163756">
      <w:pPr>
        <w:rPr>
          <w:i/>
          <w:sz w:val="20"/>
          <w:szCs w:val="20"/>
        </w:rPr>
      </w:pPr>
      <w:r>
        <w:rPr>
          <w:i/>
          <w:sz w:val="20"/>
          <w:szCs w:val="20"/>
        </w:rPr>
        <w:t xml:space="preserve">Table 1: </w:t>
      </w:r>
      <w:r w:rsidR="00956354">
        <w:rPr>
          <w:i/>
          <w:sz w:val="20"/>
          <w:szCs w:val="20"/>
        </w:rPr>
        <w:t>City/town centre non-domestic</w:t>
      </w:r>
      <w:r w:rsidR="00AF041A">
        <w:rPr>
          <w:i/>
          <w:sz w:val="20"/>
          <w:szCs w:val="20"/>
        </w:rPr>
        <w:t xml:space="preserve"> property vacancy rates as </w:t>
      </w:r>
      <w:proofErr w:type="gramStart"/>
      <w:r w:rsidR="00AF041A">
        <w:rPr>
          <w:i/>
          <w:sz w:val="20"/>
          <w:szCs w:val="20"/>
        </w:rPr>
        <w:t>at</w:t>
      </w:r>
      <w:proofErr w:type="gramEnd"/>
      <w:r w:rsidR="00AF041A">
        <w:rPr>
          <w:i/>
          <w:sz w:val="20"/>
          <w:szCs w:val="20"/>
        </w:rPr>
        <w:t xml:space="preserve"> </w:t>
      </w:r>
      <w:r w:rsidR="00DF6D63">
        <w:rPr>
          <w:i/>
          <w:sz w:val="20"/>
          <w:szCs w:val="20"/>
        </w:rPr>
        <w:t>31</w:t>
      </w:r>
      <w:r w:rsidR="00DF6D63" w:rsidRPr="00DF6D63">
        <w:rPr>
          <w:i/>
          <w:sz w:val="20"/>
          <w:szCs w:val="20"/>
          <w:vertAlign w:val="superscript"/>
        </w:rPr>
        <w:t>st</w:t>
      </w:r>
      <w:r w:rsidR="00DF6D63">
        <w:rPr>
          <w:i/>
          <w:sz w:val="20"/>
          <w:szCs w:val="20"/>
        </w:rPr>
        <w:t xml:space="preserve"> October</w:t>
      </w:r>
      <w:r w:rsidR="00D71F6B">
        <w:rPr>
          <w:i/>
          <w:sz w:val="20"/>
          <w:szCs w:val="20"/>
        </w:rPr>
        <w:t xml:space="preserve"> 202</w:t>
      </w:r>
      <w:r w:rsidR="008F7B50">
        <w:rPr>
          <w:i/>
          <w:sz w:val="20"/>
          <w:szCs w:val="20"/>
        </w:rPr>
        <w:t>3</w:t>
      </w:r>
      <w:r w:rsidR="00163756" w:rsidRPr="002A2185">
        <w:rPr>
          <w:i/>
          <w:sz w:val="20"/>
          <w:szCs w:val="20"/>
        </w:rPr>
        <w:t>. Source:</w:t>
      </w:r>
      <w:r w:rsidR="00163756">
        <w:rPr>
          <w:i/>
          <w:sz w:val="20"/>
          <w:szCs w:val="20"/>
        </w:rPr>
        <w:t xml:space="preserve"> </w:t>
      </w:r>
      <w:r w:rsidR="00956354">
        <w:rPr>
          <w:i/>
          <w:sz w:val="20"/>
          <w:szCs w:val="20"/>
        </w:rPr>
        <w:t>Land and Property Services via Town Centre Database, Department for Communities</w:t>
      </w:r>
      <w:r w:rsidR="00163756" w:rsidRPr="002A2185">
        <w:rPr>
          <w:i/>
          <w:sz w:val="20"/>
          <w:szCs w:val="20"/>
        </w:rPr>
        <w:t>.</w:t>
      </w:r>
      <w:r w:rsidR="00163756">
        <w:rPr>
          <w:i/>
          <w:sz w:val="20"/>
          <w:szCs w:val="20"/>
        </w:rPr>
        <w:t xml:space="preserve"> </w:t>
      </w:r>
    </w:p>
    <w:p w14:paraId="025C6867" w14:textId="77777777" w:rsidR="008F7B50" w:rsidRDefault="008F7B50" w:rsidP="00163756">
      <w:pPr>
        <w:rPr>
          <w:i/>
          <w:sz w:val="20"/>
          <w:szCs w:val="20"/>
        </w:rPr>
      </w:pPr>
    </w:p>
    <w:p w14:paraId="2E1DF469" w14:textId="1D448F35" w:rsidR="00980495" w:rsidRDefault="00DF6D63" w:rsidP="00980495">
      <w:pPr>
        <w:rPr>
          <w:i/>
          <w:sz w:val="20"/>
          <w:szCs w:val="20"/>
        </w:rPr>
      </w:pPr>
      <w:r>
        <w:rPr>
          <w:noProof/>
        </w:rPr>
        <w:drawing>
          <wp:inline distT="0" distB="0" distL="0" distR="0" wp14:anchorId="4BF94AF7" wp14:editId="53F238A3">
            <wp:extent cx="5731510" cy="2241550"/>
            <wp:effectExtent l="0" t="0" r="2540" b="6350"/>
            <wp:docPr id="1894923820" name="Chart 1">
              <a:extLst xmlns:a="http://schemas.openxmlformats.org/drawingml/2006/main">
                <a:ext uri="{FF2B5EF4-FFF2-40B4-BE49-F238E27FC236}">
                  <a16:creationId xmlns:a16="http://schemas.microsoft.com/office/drawing/2014/main" id="{A147366A-4C0A-E45E-7AC1-6D9D105D42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980495" w:rsidRPr="00980495">
        <w:rPr>
          <w:i/>
          <w:sz w:val="20"/>
          <w:szCs w:val="20"/>
        </w:rPr>
        <w:t xml:space="preserve"> </w:t>
      </w:r>
      <w:r w:rsidR="00980495">
        <w:rPr>
          <w:i/>
          <w:sz w:val="20"/>
          <w:szCs w:val="20"/>
        </w:rPr>
        <w:t xml:space="preserve">Figure 1: City/town centre non-domestic property vacancy rates as </w:t>
      </w:r>
      <w:proofErr w:type="gramStart"/>
      <w:r w:rsidR="00980495">
        <w:rPr>
          <w:i/>
          <w:sz w:val="20"/>
          <w:szCs w:val="20"/>
        </w:rPr>
        <w:t>at</w:t>
      </w:r>
      <w:proofErr w:type="gramEnd"/>
      <w:r w:rsidR="00980495">
        <w:rPr>
          <w:i/>
          <w:sz w:val="20"/>
          <w:szCs w:val="20"/>
        </w:rPr>
        <w:t xml:space="preserve"> </w:t>
      </w:r>
      <w:r>
        <w:rPr>
          <w:i/>
          <w:sz w:val="20"/>
          <w:szCs w:val="20"/>
        </w:rPr>
        <w:t>31</w:t>
      </w:r>
      <w:r w:rsidRPr="00DF6D63">
        <w:rPr>
          <w:i/>
          <w:sz w:val="20"/>
          <w:szCs w:val="20"/>
          <w:vertAlign w:val="superscript"/>
        </w:rPr>
        <w:t>st</w:t>
      </w:r>
      <w:r>
        <w:rPr>
          <w:i/>
          <w:sz w:val="20"/>
          <w:szCs w:val="20"/>
        </w:rPr>
        <w:t xml:space="preserve"> October</w:t>
      </w:r>
      <w:r w:rsidR="008F7B50">
        <w:rPr>
          <w:i/>
          <w:sz w:val="20"/>
          <w:szCs w:val="20"/>
        </w:rPr>
        <w:t xml:space="preserve"> 2023</w:t>
      </w:r>
      <w:r w:rsidR="00980495" w:rsidRPr="002A2185">
        <w:rPr>
          <w:i/>
          <w:sz w:val="20"/>
          <w:szCs w:val="20"/>
        </w:rPr>
        <w:t>. Source:</w:t>
      </w:r>
      <w:r w:rsidR="00980495">
        <w:rPr>
          <w:i/>
          <w:sz w:val="20"/>
          <w:szCs w:val="20"/>
        </w:rPr>
        <w:t xml:space="preserve"> Land and Property Services via Town Centre Database, Department for Communities</w:t>
      </w:r>
      <w:r w:rsidR="00980495" w:rsidRPr="002A2185">
        <w:rPr>
          <w:i/>
          <w:sz w:val="20"/>
          <w:szCs w:val="20"/>
        </w:rPr>
        <w:t>.</w:t>
      </w:r>
      <w:r w:rsidR="00980495">
        <w:rPr>
          <w:i/>
          <w:sz w:val="20"/>
          <w:szCs w:val="20"/>
        </w:rPr>
        <w:t xml:space="preserve"> </w:t>
      </w:r>
    </w:p>
    <w:p w14:paraId="4E363471" w14:textId="77777777" w:rsidR="00980495" w:rsidRPr="00EB4ADC" w:rsidRDefault="00980495" w:rsidP="00163756"/>
    <w:p w14:paraId="1F9F0AF4" w14:textId="0A742DAC" w:rsidR="00095AEC" w:rsidRDefault="001C3C76" w:rsidP="00956354">
      <w:r>
        <w:t xml:space="preserve">Table 2 presents the vacancy rates in </w:t>
      </w:r>
      <w:r w:rsidR="004E798D">
        <w:t>October</w:t>
      </w:r>
      <w:r>
        <w:t xml:space="preserve"> each year between 2016 and 2023.  </w:t>
      </w:r>
      <w:r w:rsidR="00C51627">
        <w:t xml:space="preserve">Dromore has consistently had the highest vacancy rates </w:t>
      </w:r>
      <w:r w:rsidR="003975ED">
        <w:t xml:space="preserve">although it has fallen </w:t>
      </w:r>
      <w:r w:rsidR="004E798D">
        <w:t>by more than 6</w:t>
      </w:r>
      <w:r w:rsidR="003975ED">
        <w:t xml:space="preserve"> percentage points between </w:t>
      </w:r>
      <w:r w:rsidR="004E798D">
        <w:t>October</w:t>
      </w:r>
      <w:r w:rsidR="004E798D">
        <w:t xml:space="preserve"> </w:t>
      </w:r>
      <w:r w:rsidR="003975ED">
        <w:t xml:space="preserve">2016 and </w:t>
      </w:r>
      <w:r w:rsidR="004E798D">
        <w:t>October</w:t>
      </w:r>
      <w:r w:rsidR="004E798D">
        <w:t xml:space="preserve"> </w:t>
      </w:r>
      <w:r w:rsidR="003975ED">
        <w:t xml:space="preserve">2023.  Despite increasing by </w:t>
      </w:r>
      <w:r w:rsidR="004E798D">
        <w:t>1.2</w:t>
      </w:r>
      <w:r w:rsidR="003975ED">
        <w:t xml:space="preserve"> percentage points, </w:t>
      </w:r>
      <w:r w:rsidR="00C51627">
        <w:t>Craigavon has maintained the lowest</w:t>
      </w:r>
      <w:r w:rsidR="003975ED">
        <w:t xml:space="preserve"> vacancy rate in the borough</w:t>
      </w:r>
      <w:r w:rsidR="00C51627">
        <w:t>.</w:t>
      </w:r>
      <w:r w:rsidR="003975ED">
        <w:t xml:space="preserve"> </w:t>
      </w:r>
      <w:r>
        <w:t xml:space="preserve"> </w:t>
      </w:r>
      <w:r w:rsidR="004E798D">
        <w:t>Banbridge</w:t>
      </w:r>
      <w:r w:rsidR="003975ED">
        <w:t xml:space="preserve"> and Armagh </w:t>
      </w:r>
      <w:r w:rsidR="009C0905">
        <w:t>have</w:t>
      </w:r>
      <w:r w:rsidR="003975ED">
        <w:t xml:space="preserve"> experienced the greatest fall in the vacancy rates having fallen by 7.</w:t>
      </w:r>
      <w:r w:rsidR="004E798D">
        <w:t>1</w:t>
      </w:r>
      <w:r w:rsidR="003975ED">
        <w:t xml:space="preserve"> and 6.</w:t>
      </w:r>
      <w:r w:rsidR="004E798D">
        <w:t>8</w:t>
      </w:r>
      <w:r w:rsidR="003975ED">
        <w:t xml:space="preserve"> </w:t>
      </w:r>
      <w:r w:rsidR="009C0905">
        <w:t xml:space="preserve">percentage points respectively between </w:t>
      </w:r>
      <w:r w:rsidR="004E798D">
        <w:t xml:space="preserve">October </w:t>
      </w:r>
      <w:r w:rsidR="009C0905">
        <w:t xml:space="preserve">2016 and </w:t>
      </w:r>
      <w:r w:rsidR="004E798D">
        <w:t xml:space="preserve">October </w:t>
      </w:r>
      <w:r w:rsidR="009C0905">
        <w:t xml:space="preserve">2023.  </w:t>
      </w:r>
    </w:p>
    <w:tbl>
      <w:tblPr>
        <w:tblStyle w:val="TableGrid"/>
        <w:tblW w:w="9067" w:type="dxa"/>
        <w:tblLook w:val="04A0" w:firstRow="1" w:lastRow="0" w:firstColumn="1" w:lastColumn="0" w:noHBand="0" w:noVBand="1"/>
      </w:tblPr>
      <w:tblGrid>
        <w:gridCol w:w="1768"/>
        <w:gridCol w:w="1042"/>
        <w:gridCol w:w="1043"/>
        <w:gridCol w:w="1043"/>
        <w:gridCol w:w="1042"/>
        <w:gridCol w:w="1043"/>
        <w:gridCol w:w="1043"/>
        <w:gridCol w:w="1043"/>
      </w:tblGrid>
      <w:tr w:rsidR="00DF6D63" w:rsidRPr="00255460" w14:paraId="328AF7A4" w14:textId="77777777" w:rsidTr="00DF6D63">
        <w:tc>
          <w:tcPr>
            <w:tcW w:w="1768" w:type="dxa"/>
          </w:tcPr>
          <w:p w14:paraId="3373F660" w14:textId="77777777" w:rsidR="00DF6D63" w:rsidRPr="00255460" w:rsidRDefault="00DF6D63" w:rsidP="00DF6D63">
            <w:pPr>
              <w:rPr>
                <w:rFonts w:asciiTheme="majorHAnsi" w:hAnsiTheme="majorHAnsi" w:cstheme="majorHAnsi"/>
              </w:rPr>
            </w:pPr>
          </w:p>
        </w:tc>
        <w:tc>
          <w:tcPr>
            <w:tcW w:w="1042" w:type="dxa"/>
            <w:vAlign w:val="bottom"/>
          </w:tcPr>
          <w:p w14:paraId="02BFA283" w14:textId="417A4DCF" w:rsidR="00DF6D63" w:rsidRPr="00DF6D63" w:rsidRDefault="00DF6D63" w:rsidP="00DF6D63">
            <w:pPr>
              <w:jc w:val="center"/>
              <w:rPr>
                <w:rFonts w:asciiTheme="majorHAnsi" w:hAnsiTheme="majorHAnsi" w:cstheme="majorHAnsi"/>
                <w:b/>
                <w:bCs/>
                <w:color w:val="000000"/>
                <w:sz w:val="21"/>
                <w:szCs w:val="21"/>
              </w:rPr>
            </w:pPr>
            <w:r w:rsidRPr="00DF6D63">
              <w:rPr>
                <w:rFonts w:ascii="Calibri" w:hAnsi="Calibri" w:cs="Calibri"/>
                <w:b/>
                <w:bCs/>
                <w:color w:val="000000"/>
              </w:rPr>
              <w:t>31</w:t>
            </w:r>
            <w:r w:rsidRPr="00DF6D63">
              <w:rPr>
                <w:rFonts w:ascii="Calibri" w:hAnsi="Calibri" w:cs="Calibri"/>
                <w:b/>
                <w:bCs/>
                <w:color w:val="000000"/>
                <w:vertAlign w:val="superscript"/>
              </w:rPr>
              <w:t>st</w:t>
            </w:r>
            <w:r>
              <w:rPr>
                <w:rFonts w:ascii="Calibri" w:hAnsi="Calibri" w:cs="Calibri"/>
                <w:b/>
                <w:bCs/>
                <w:color w:val="000000"/>
              </w:rPr>
              <w:t xml:space="preserve"> </w:t>
            </w:r>
            <w:r w:rsidRPr="00DF6D63">
              <w:rPr>
                <w:rFonts w:ascii="Calibri" w:hAnsi="Calibri" w:cs="Calibri"/>
                <w:b/>
                <w:bCs/>
                <w:color w:val="000000"/>
              </w:rPr>
              <w:t>Oct 2016</w:t>
            </w:r>
          </w:p>
        </w:tc>
        <w:tc>
          <w:tcPr>
            <w:tcW w:w="1043" w:type="dxa"/>
            <w:vAlign w:val="bottom"/>
          </w:tcPr>
          <w:p w14:paraId="0CCA22B5" w14:textId="2BFD3AFB" w:rsidR="00DF6D63" w:rsidRPr="00DF6D63" w:rsidRDefault="00DF6D63" w:rsidP="00DF6D63">
            <w:pPr>
              <w:jc w:val="center"/>
              <w:rPr>
                <w:rFonts w:asciiTheme="majorHAnsi" w:hAnsiTheme="majorHAnsi" w:cstheme="majorHAnsi"/>
                <w:b/>
                <w:bCs/>
                <w:color w:val="000000"/>
                <w:sz w:val="21"/>
                <w:szCs w:val="21"/>
              </w:rPr>
            </w:pPr>
            <w:r w:rsidRPr="00DF6D63">
              <w:rPr>
                <w:rFonts w:ascii="Calibri" w:hAnsi="Calibri" w:cs="Calibri"/>
                <w:b/>
                <w:bCs/>
                <w:color w:val="000000"/>
              </w:rPr>
              <w:t>31</w:t>
            </w:r>
            <w:r w:rsidRPr="00DF6D63">
              <w:rPr>
                <w:rFonts w:ascii="Calibri" w:hAnsi="Calibri" w:cs="Calibri"/>
                <w:b/>
                <w:bCs/>
                <w:color w:val="000000"/>
                <w:vertAlign w:val="superscript"/>
              </w:rPr>
              <w:t>st</w:t>
            </w:r>
            <w:r>
              <w:rPr>
                <w:rFonts w:ascii="Calibri" w:hAnsi="Calibri" w:cs="Calibri"/>
                <w:b/>
                <w:bCs/>
                <w:color w:val="000000"/>
              </w:rPr>
              <w:t xml:space="preserve"> </w:t>
            </w:r>
            <w:r w:rsidRPr="00DF6D63">
              <w:rPr>
                <w:rFonts w:ascii="Calibri" w:hAnsi="Calibri" w:cs="Calibri"/>
                <w:b/>
                <w:bCs/>
                <w:color w:val="000000"/>
              </w:rPr>
              <w:t>Oct 2017</w:t>
            </w:r>
          </w:p>
        </w:tc>
        <w:tc>
          <w:tcPr>
            <w:tcW w:w="1043" w:type="dxa"/>
            <w:vAlign w:val="bottom"/>
          </w:tcPr>
          <w:p w14:paraId="41A22630" w14:textId="2CCC69B4" w:rsidR="00DF6D63" w:rsidRPr="00DF6D63" w:rsidRDefault="00DF6D63" w:rsidP="00DF6D63">
            <w:pPr>
              <w:jc w:val="center"/>
              <w:rPr>
                <w:rFonts w:asciiTheme="majorHAnsi" w:hAnsiTheme="majorHAnsi" w:cstheme="majorHAnsi"/>
                <w:b/>
                <w:bCs/>
                <w:color w:val="000000"/>
                <w:sz w:val="21"/>
                <w:szCs w:val="21"/>
              </w:rPr>
            </w:pPr>
            <w:r w:rsidRPr="00DF6D63">
              <w:rPr>
                <w:rFonts w:ascii="Calibri" w:hAnsi="Calibri" w:cs="Calibri"/>
                <w:b/>
                <w:bCs/>
                <w:color w:val="000000"/>
              </w:rPr>
              <w:t>31</w:t>
            </w:r>
            <w:r w:rsidRPr="00DF6D63">
              <w:rPr>
                <w:rFonts w:ascii="Calibri" w:hAnsi="Calibri" w:cs="Calibri"/>
                <w:b/>
                <w:bCs/>
                <w:color w:val="000000"/>
                <w:vertAlign w:val="superscript"/>
              </w:rPr>
              <w:t>st</w:t>
            </w:r>
            <w:r>
              <w:rPr>
                <w:rFonts w:ascii="Calibri" w:hAnsi="Calibri" w:cs="Calibri"/>
                <w:b/>
                <w:bCs/>
                <w:color w:val="000000"/>
              </w:rPr>
              <w:t xml:space="preserve"> </w:t>
            </w:r>
            <w:r w:rsidRPr="00DF6D63">
              <w:rPr>
                <w:rFonts w:ascii="Calibri" w:hAnsi="Calibri" w:cs="Calibri"/>
                <w:b/>
                <w:bCs/>
                <w:color w:val="000000"/>
              </w:rPr>
              <w:t>Oct 2018</w:t>
            </w:r>
          </w:p>
        </w:tc>
        <w:tc>
          <w:tcPr>
            <w:tcW w:w="1042" w:type="dxa"/>
            <w:vAlign w:val="bottom"/>
          </w:tcPr>
          <w:p w14:paraId="049FE542" w14:textId="38FFF2E9" w:rsidR="00DF6D63" w:rsidRPr="00DF6D63" w:rsidRDefault="00DF6D63" w:rsidP="00DF6D63">
            <w:pPr>
              <w:jc w:val="center"/>
              <w:rPr>
                <w:rFonts w:asciiTheme="majorHAnsi" w:hAnsiTheme="majorHAnsi" w:cstheme="majorHAnsi"/>
                <w:b/>
                <w:bCs/>
                <w:color w:val="000000"/>
                <w:sz w:val="21"/>
                <w:szCs w:val="21"/>
              </w:rPr>
            </w:pPr>
            <w:r w:rsidRPr="00DF6D63">
              <w:rPr>
                <w:rFonts w:ascii="Calibri" w:hAnsi="Calibri" w:cs="Calibri"/>
                <w:b/>
                <w:bCs/>
                <w:color w:val="000000"/>
              </w:rPr>
              <w:t>31</w:t>
            </w:r>
            <w:r w:rsidRPr="00DF6D63">
              <w:rPr>
                <w:rFonts w:ascii="Calibri" w:hAnsi="Calibri" w:cs="Calibri"/>
                <w:b/>
                <w:bCs/>
                <w:color w:val="000000"/>
                <w:vertAlign w:val="superscript"/>
              </w:rPr>
              <w:t>st</w:t>
            </w:r>
            <w:r>
              <w:rPr>
                <w:rFonts w:ascii="Calibri" w:hAnsi="Calibri" w:cs="Calibri"/>
                <w:b/>
                <w:bCs/>
                <w:color w:val="000000"/>
              </w:rPr>
              <w:t xml:space="preserve"> </w:t>
            </w:r>
            <w:r w:rsidRPr="00DF6D63">
              <w:rPr>
                <w:rFonts w:ascii="Calibri" w:hAnsi="Calibri" w:cs="Calibri"/>
                <w:b/>
                <w:bCs/>
                <w:color w:val="000000"/>
              </w:rPr>
              <w:t>Oct 2019</w:t>
            </w:r>
          </w:p>
        </w:tc>
        <w:tc>
          <w:tcPr>
            <w:tcW w:w="1043" w:type="dxa"/>
            <w:vAlign w:val="bottom"/>
          </w:tcPr>
          <w:p w14:paraId="052AD9C4" w14:textId="4E16AA49" w:rsidR="00DF6D63" w:rsidRPr="00DF6D63" w:rsidRDefault="00DF6D63" w:rsidP="00DF6D63">
            <w:pPr>
              <w:jc w:val="center"/>
              <w:rPr>
                <w:rFonts w:asciiTheme="majorHAnsi" w:hAnsiTheme="majorHAnsi" w:cstheme="majorHAnsi"/>
                <w:b/>
                <w:bCs/>
                <w:color w:val="000000"/>
                <w:sz w:val="21"/>
                <w:szCs w:val="21"/>
              </w:rPr>
            </w:pPr>
            <w:r w:rsidRPr="00DF6D63">
              <w:rPr>
                <w:rFonts w:ascii="Calibri" w:hAnsi="Calibri" w:cs="Calibri"/>
                <w:b/>
                <w:bCs/>
                <w:color w:val="000000"/>
              </w:rPr>
              <w:t>31</w:t>
            </w:r>
            <w:r w:rsidRPr="00DF6D63">
              <w:rPr>
                <w:rFonts w:ascii="Calibri" w:hAnsi="Calibri" w:cs="Calibri"/>
                <w:b/>
                <w:bCs/>
                <w:color w:val="000000"/>
                <w:vertAlign w:val="superscript"/>
              </w:rPr>
              <w:t>st</w:t>
            </w:r>
            <w:r>
              <w:rPr>
                <w:rFonts w:ascii="Calibri" w:hAnsi="Calibri" w:cs="Calibri"/>
                <w:b/>
                <w:bCs/>
                <w:color w:val="000000"/>
              </w:rPr>
              <w:t xml:space="preserve"> </w:t>
            </w:r>
            <w:r w:rsidRPr="00DF6D63">
              <w:rPr>
                <w:rFonts w:ascii="Calibri" w:hAnsi="Calibri" w:cs="Calibri"/>
                <w:b/>
                <w:bCs/>
                <w:color w:val="000000"/>
              </w:rPr>
              <w:t>Oct 2021</w:t>
            </w:r>
          </w:p>
        </w:tc>
        <w:tc>
          <w:tcPr>
            <w:tcW w:w="1043" w:type="dxa"/>
            <w:vAlign w:val="bottom"/>
          </w:tcPr>
          <w:p w14:paraId="57F0DDF0" w14:textId="568FA3F6" w:rsidR="00DF6D63" w:rsidRPr="00DF6D63" w:rsidRDefault="00DF6D63" w:rsidP="00DF6D63">
            <w:pPr>
              <w:jc w:val="center"/>
              <w:rPr>
                <w:rFonts w:asciiTheme="majorHAnsi" w:hAnsiTheme="majorHAnsi" w:cstheme="majorHAnsi"/>
                <w:b/>
                <w:bCs/>
                <w:color w:val="000000"/>
                <w:sz w:val="21"/>
                <w:szCs w:val="21"/>
              </w:rPr>
            </w:pPr>
            <w:r w:rsidRPr="00DF6D63">
              <w:rPr>
                <w:rFonts w:ascii="Calibri" w:hAnsi="Calibri" w:cs="Calibri"/>
                <w:b/>
                <w:bCs/>
                <w:color w:val="000000"/>
              </w:rPr>
              <w:t>31</w:t>
            </w:r>
            <w:r w:rsidRPr="00DF6D63">
              <w:rPr>
                <w:rFonts w:ascii="Calibri" w:hAnsi="Calibri" w:cs="Calibri"/>
                <w:b/>
                <w:bCs/>
                <w:color w:val="000000"/>
                <w:vertAlign w:val="superscript"/>
              </w:rPr>
              <w:t>st</w:t>
            </w:r>
            <w:r>
              <w:rPr>
                <w:rFonts w:ascii="Calibri" w:hAnsi="Calibri" w:cs="Calibri"/>
                <w:b/>
                <w:bCs/>
                <w:color w:val="000000"/>
              </w:rPr>
              <w:t xml:space="preserve"> </w:t>
            </w:r>
            <w:r w:rsidRPr="00DF6D63">
              <w:rPr>
                <w:rFonts w:ascii="Calibri" w:hAnsi="Calibri" w:cs="Calibri"/>
                <w:b/>
                <w:bCs/>
                <w:color w:val="000000"/>
              </w:rPr>
              <w:t>Oct 2022</w:t>
            </w:r>
          </w:p>
        </w:tc>
        <w:tc>
          <w:tcPr>
            <w:tcW w:w="1043" w:type="dxa"/>
            <w:vAlign w:val="bottom"/>
          </w:tcPr>
          <w:p w14:paraId="4E7F20B2" w14:textId="5F91EE5B" w:rsidR="00DF6D63" w:rsidRPr="00DF6D63" w:rsidRDefault="00DF6D63" w:rsidP="00DF6D63">
            <w:pPr>
              <w:jc w:val="center"/>
              <w:rPr>
                <w:rFonts w:asciiTheme="majorHAnsi" w:hAnsiTheme="majorHAnsi" w:cstheme="majorHAnsi"/>
                <w:b/>
                <w:bCs/>
                <w:color w:val="000000"/>
                <w:sz w:val="21"/>
                <w:szCs w:val="21"/>
              </w:rPr>
            </w:pPr>
            <w:r w:rsidRPr="00DF6D63">
              <w:rPr>
                <w:rFonts w:ascii="Calibri" w:hAnsi="Calibri" w:cs="Calibri"/>
                <w:b/>
                <w:bCs/>
                <w:color w:val="000000"/>
              </w:rPr>
              <w:t>31</w:t>
            </w:r>
            <w:r w:rsidRPr="00DF6D63">
              <w:rPr>
                <w:rFonts w:ascii="Calibri" w:hAnsi="Calibri" w:cs="Calibri"/>
                <w:b/>
                <w:bCs/>
                <w:color w:val="000000"/>
                <w:vertAlign w:val="superscript"/>
              </w:rPr>
              <w:t>st</w:t>
            </w:r>
            <w:r>
              <w:rPr>
                <w:rFonts w:ascii="Calibri" w:hAnsi="Calibri" w:cs="Calibri"/>
                <w:b/>
                <w:bCs/>
                <w:color w:val="000000"/>
              </w:rPr>
              <w:t xml:space="preserve"> </w:t>
            </w:r>
            <w:r w:rsidRPr="00DF6D63">
              <w:rPr>
                <w:rFonts w:ascii="Calibri" w:hAnsi="Calibri" w:cs="Calibri"/>
                <w:b/>
                <w:bCs/>
                <w:color w:val="000000"/>
              </w:rPr>
              <w:t>Oct 2023</w:t>
            </w:r>
          </w:p>
        </w:tc>
      </w:tr>
      <w:tr w:rsidR="00DF6D63" w:rsidRPr="00255460" w14:paraId="280C4A39" w14:textId="77777777" w:rsidTr="00DF6D63">
        <w:tc>
          <w:tcPr>
            <w:tcW w:w="1768" w:type="dxa"/>
          </w:tcPr>
          <w:p w14:paraId="184B17F0" w14:textId="77777777" w:rsidR="00DF6D63" w:rsidRPr="00255460" w:rsidRDefault="00DF6D63" w:rsidP="00DF6D63">
            <w:pPr>
              <w:rPr>
                <w:rFonts w:asciiTheme="majorHAnsi" w:hAnsiTheme="majorHAnsi" w:cstheme="majorHAnsi"/>
              </w:rPr>
            </w:pPr>
            <w:r w:rsidRPr="00255460">
              <w:rPr>
                <w:rFonts w:asciiTheme="majorHAnsi" w:hAnsiTheme="majorHAnsi" w:cstheme="majorHAnsi"/>
              </w:rPr>
              <w:t>Armagh</w:t>
            </w:r>
          </w:p>
        </w:tc>
        <w:tc>
          <w:tcPr>
            <w:tcW w:w="1042" w:type="dxa"/>
            <w:vAlign w:val="bottom"/>
          </w:tcPr>
          <w:p w14:paraId="13E1FEFF" w14:textId="3AA70EBF"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23.1%</w:t>
            </w:r>
          </w:p>
        </w:tc>
        <w:tc>
          <w:tcPr>
            <w:tcW w:w="1043" w:type="dxa"/>
            <w:vAlign w:val="bottom"/>
          </w:tcPr>
          <w:p w14:paraId="600047F0" w14:textId="74324609"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21.9%</w:t>
            </w:r>
          </w:p>
        </w:tc>
        <w:tc>
          <w:tcPr>
            <w:tcW w:w="1043" w:type="dxa"/>
            <w:vAlign w:val="bottom"/>
          </w:tcPr>
          <w:p w14:paraId="05D4B116" w14:textId="20F4DE43"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22.8%</w:t>
            </w:r>
          </w:p>
        </w:tc>
        <w:tc>
          <w:tcPr>
            <w:tcW w:w="1042" w:type="dxa"/>
            <w:vAlign w:val="bottom"/>
          </w:tcPr>
          <w:p w14:paraId="4B9A45E0" w14:textId="1ED5A162"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22.0%</w:t>
            </w:r>
          </w:p>
        </w:tc>
        <w:tc>
          <w:tcPr>
            <w:tcW w:w="1043" w:type="dxa"/>
            <w:vAlign w:val="bottom"/>
          </w:tcPr>
          <w:p w14:paraId="787774A5" w14:textId="118C6E18"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22.1%</w:t>
            </w:r>
          </w:p>
        </w:tc>
        <w:tc>
          <w:tcPr>
            <w:tcW w:w="1043" w:type="dxa"/>
            <w:vAlign w:val="bottom"/>
          </w:tcPr>
          <w:p w14:paraId="19C2C8B8" w14:textId="65582073"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20.6%</w:t>
            </w:r>
          </w:p>
        </w:tc>
        <w:tc>
          <w:tcPr>
            <w:tcW w:w="1043" w:type="dxa"/>
            <w:vAlign w:val="bottom"/>
          </w:tcPr>
          <w:p w14:paraId="609AE82C" w14:textId="7187D776"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16.2%</w:t>
            </w:r>
          </w:p>
        </w:tc>
      </w:tr>
      <w:tr w:rsidR="00DF6D63" w:rsidRPr="00255460" w14:paraId="681E3EC2" w14:textId="77777777" w:rsidTr="00DF6D63">
        <w:tc>
          <w:tcPr>
            <w:tcW w:w="1768" w:type="dxa"/>
          </w:tcPr>
          <w:p w14:paraId="7A884292" w14:textId="77777777" w:rsidR="00DF6D63" w:rsidRPr="00255460" w:rsidRDefault="00DF6D63" w:rsidP="00DF6D63">
            <w:pPr>
              <w:rPr>
                <w:rFonts w:asciiTheme="majorHAnsi" w:hAnsiTheme="majorHAnsi" w:cstheme="majorHAnsi"/>
              </w:rPr>
            </w:pPr>
            <w:r w:rsidRPr="00255460">
              <w:rPr>
                <w:rFonts w:asciiTheme="majorHAnsi" w:hAnsiTheme="majorHAnsi" w:cstheme="majorHAnsi"/>
              </w:rPr>
              <w:t>Banbridge</w:t>
            </w:r>
          </w:p>
        </w:tc>
        <w:tc>
          <w:tcPr>
            <w:tcW w:w="1042" w:type="dxa"/>
            <w:vAlign w:val="bottom"/>
          </w:tcPr>
          <w:p w14:paraId="586EE162" w14:textId="554DA2F8"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23.2%</w:t>
            </w:r>
          </w:p>
        </w:tc>
        <w:tc>
          <w:tcPr>
            <w:tcW w:w="1043" w:type="dxa"/>
            <w:vAlign w:val="bottom"/>
          </w:tcPr>
          <w:p w14:paraId="30C960AB" w14:textId="11254DF5"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20.3%</w:t>
            </w:r>
          </w:p>
        </w:tc>
        <w:tc>
          <w:tcPr>
            <w:tcW w:w="1043" w:type="dxa"/>
            <w:vAlign w:val="bottom"/>
          </w:tcPr>
          <w:p w14:paraId="388E4176" w14:textId="451C556A"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20.6%</w:t>
            </w:r>
          </w:p>
        </w:tc>
        <w:tc>
          <w:tcPr>
            <w:tcW w:w="1042" w:type="dxa"/>
            <w:vAlign w:val="bottom"/>
          </w:tcPr>
          <w:p w14:paraId="44720E54" w14:textId="539CF80B"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20.3%</w:t>
            </w:r>
          </w:p>
        </w:tc>
        <w:tc>
          <w:tcPr>
            <w:tcW w:w="1043" w:type="dxa"/>
            <w:vAlign w:val="bottom"/>
          </w:tcPr>
          <w:p w14:paraId="669C8AC6" w14:textId="291D2D58"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14.3%</w:t>
            </w:r>
          </w:p>
        </w:tc>
        <w:tc>
          <w:tcPr>
            <w:tcW w:w="1043" w:type="dxa"/>
            <w:vAlign w:val="bottom"/>
          </w:tcPr>
          <w:p w14:paraId="1E84BB1A" w14:textId="34FEBD8C"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15.8%</w:t>
            </w:r>
          </w:p>
        </w:tc>
        <w:tc>
          <w:tcPr>
            <w:tcW w:w="1043" w:type="dxa"/>
            <w:vAlign w:val="bottom"/>
          </w:tcPr>
          <w:p w14:paraId="650AA0DF" w14:textId="29AC2DC6"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16.1%</w:t>
            </w:r>
          </w:p>
        </w:tc>
      </w:tr>
      <w:tr w:rsidR="00DF6D63" w:rsidRPr="00255460" w14:paraId="0FA96D48" w14:textId="77777777" w:rsidTr="00DF6D63">
        <w:tc>
          <w:tcPr>
            <w:tcW w:w="1768" w:type="dxa"/>
          </w:tcPr>
          <w:p w14:paraId="6B5A96BA" w14:textId="77777777" w:rsidR="00DF6D63" w:rsidRPr="00255460" w:rsidRDefault="00DF6D63" w:rsidP="00DF6D63">
            <w:pPr>
              <w:rPr>
                <w:rFonts w:asciiTheme="majorHAnsi" w:hAnsiTheme="majorHAnsi" w:cstheme="majorHAnsi"/>
              </w:rPr>
            </w:pPr>
            <w:r w:rsidRPr="00255460">
              <w:rPr>
                <w:rFonts w:asciiTheme="majorHAnsi" w:hAnsiTheme="majorHAnsi" w:cstheme="majorHAnsi"/>
              </w:rPr>
              <w:t>Craigavon</w:t>
            </w:r>
          </w:p>
        </w:tc>
        <w:tc>
          <w:tcPr>
            <w:tcW w:w="1042" w:type="dxa"/>
            <w:vAlign w:val="bottom"/>
          </w:tcPr>
          <w:p w14:paraId="0D556040" w14:textId="2FA0D5D0"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8.5%</w:t>
            </w:r>
          </w:p>
        </w:tc>
        <w:tc>
          <w:tcPr>
            <w:tcW w:w="1043" w:type="dxa"/>
            <w:vAlign w:val="bottom"/>
          </w:tcPr>
          <w:p w14:paraId="1F5A2256" w14:textId="0CEAF6ED"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8.4%</w:t>
            </w:r>
          </w:p>
        </w:tc>
        <w:tc>
          <w:tcPr>
            <w:tcW w:w="1043" w:type="dxa"/>
            <w:vAlign w:val="bottom"/>
          </w:tcPr>
          <w:p w14:paraId="5FE401BA" w14:textId="4A573529"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8.4%</w:t>
            </w:r>
          </w:p>
        </w:tc>
        <w:tc>
          <w:tcPr>
            <w:tcW w:w="1042" w:type="dxa"/>
            <w:vAlign w:val="bottom"/>
          </w:tcPr>
          <w:p w14:paraId="49231729" w14:textId="0DD2E72E"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5.9%</w:t>
            </w:r>
          </w:p>
        </w:tc>
        <w:tc>
          <w:tcPr>
            <w:tcW w:w="1043" w:type="dxa"/>
            <w:vAlign w:val="bottom"/>
          </w:tcPr>
          <w:p w14:paraId="623C4A85" w14:textId="42B9508A"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8.9%</w:t>
            </w:r>
          </w:p>
        </w:tc>
        <w:tc>
          <w:tcPr>
            <w:tcW w:w="1043" w:type="dxa"/>
            <w:vAlign w:val="bottom"/>
          </w:tcPr>
          <w:p w14:paraId="3E03CD39" w14:textId="54337A8B"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10.0%</w:t>
            </w:r>
          </w:p>
        </w:tc>
        <w:tc>
          <w:tcPr>
            <w:tcW w:w="1043" w:type="dxa"/>
            <w:vAlign w:val="bottom"/>
          </w:tcPr>
          <w:p w14:paraId="32E4D5AE" w14:textId="18BAFF85"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9.7%</w:t>
            </w:r>
          </w:p>
        </w:tc>
      </w:tr>
      <w:tr w:rsidR="00DF6D63" w:rsidRPr="00255460" w14:paraId="28E5A1B7" w14:textId="77777777" w:rsidTr="00DF6D63">
        <w:tc>
          <w:tcPr>
            <w:tcW w:w="1768" w:type="dxa"/>
          </w:tcPr>
          <w:p w14:paraId="71D20A0B" w14:textId="77777777" w:rsidR="00DF6D63" w:rsidRPr="00255460" w:rsidRDefault="00DF6D63" w:rsidP="00DF6D63">
            <w:pPr>
              <w:rPr>
                <w:rFonts w:asciiTheme="majorHAnsi" w:hAnsiTheme="majorHAnsi" w:cstheme="majorHAnsi"/>
              </w:rPr>
            </w:pPr>
            <w:r w:rsidRPr="00255460">
              <w:rPr>
                <w:rFonts w:asciiTheme="majorHAnsi" w:hAnsiTheme="majorHAnsi" w:cstheme="majorHAnsi"/>
              </w:rPr>
              <w:t>Dromore</w:t>
            </w:r>
          </w:p>
        </w:tc>
        <w:tc>
          <w:tcPr>
            <w:tcW w:w="1042" w:type="dxa"/>
            <w:vAlign w:val="bottom"/>
          </w:tcPr>
          <w:p w14:paraId="21D82C41" w14:textId="0C95BCA8"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29.5%</w:t>
            </w:r>
          </w:p>
        </w:tc>
        <w:tc>
          <w:tcPr>
            <w:tcW w:w="1043" w:type="dxa"/>
            <w:vAlign w:val="bottom"/>
          </w:tcPr>
          <w:p w14:paraId="7D266E96" w14:textId="496AFE4B"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28.6%</w:t>
            </w:r>
          </w:p>
        </w:tc>
        <w:tc>
          <w:tcPr>
            <w:tcW w:w="1043" w:type="dxa"/>
            <w:vAlign w:val="bottom"/>
          </w:tcPr>
          <w:p w14:paraId="466D5A71" w14:textId="2BCA5AC5"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28.0%</w:t>
            </w:r>
          </w:p>
        </w:tc>
        <w:tc>
          <w:tcPr>
            <w:tcW w:w="1042" w:type="dxa"/>
            <w:vAlign w:val="bottom"/>
          </w:tcPr>
          <w:p w14:paraId="6C3374E5" w14:textId="2AC90FB0"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28.8%</w:t>
            </w:r>
          </w:p>
        </w:tc>
        <w:tc>
          <w:tcPr>
            <w:tcW w:w="1043" w:type="dxa"/>
            <w:vAlign w:val="bottom"/>
          </w:tcPr>
          <w:p w14:paraId="0D1858D9" w14:textId="7F2455C3"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26.7%</w:t>
            </w:r>
          </w:p>
        </w:tc>
        <w:tc>
          <w:tcPr>
            <w:tcW w:w="1043" w:type="dxa"/>
            <w:vAlign w:val="bottom"/>
          </w:tcPr>
          <w:p w14:paraId="7A1546C8" w14:textId="4D4B7EF4"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25.4%</w:t>
            </w:r>
          </w:p>
        </w:tc>
        <w:tc>
          <w:tcPr>
            <w:tcW w:w="1043" w:type="dxa"/>
            <w:vAlign w:val="bottom"/>
          </w:tcPr>
          <w:p w14:paraId="1D497193" w14:textId="3EE15E74"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23.3%</w:t>
            </w:r>
          </w:p>
        </w:tc>
      </w:tr>
      <w:tr w:rsidR="00DF6D63" w:rsidRPr="00255460" w14:paraId="0655DE3E" w14:textId="77777777" w:rsidTr="00DF6D63">
        <w:tc>
          <w:tcPr>
            <w:tcW w:w="1768" w:type="dxa"/>
          </w:tcPr>
          <w:p w14:paraId="0C79BEAD" w14:textId="77777777" w:rsidR="00DF6D63" w:rsidRPr="00255460" w:rsidRDefault="00DF6D63" w:rsidP="00DF6D63">
            <w:pPr>
              <w:rPr>
                <w:rFonts w:asciiTheme="majorHAnsi" w:hAnsiTheme="majorHAnsi" w:cstheme="majorHAnsi"/>
              </w:rPr>
            </w:pPr>
            <w:r w:rsidRPr="00255460">
              <w:rPr>
                <w:rFonts w:asciiTheme="majorHAnsi" w:hAnsiTheme="majorHAnsi" w:cstheme="majorHAnsi"/>
              </w:rPr>
              <w:t>Lurgan</w:t>
            </w:r>
          </w:p>
        </w:tc>
        <w:tc>
          <w:tcPr>
            <w:tcW w:w="1042" w:type="dxa"/>
            <w:vAlign w:val="bottom"/>
          </w:tcPr>
          <w:p w14:paraId="3594BA7B" w14:textId="538B1FE6"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23.6%</w:t>
            </w:r>
          </w:p>
        </w:tc>
        <w:tc>
          <w:tcPr>
            <w:tcW w:w="1043" w:type="dxa"/>
            <w:vAlign w:val="bottom"/>
          </w:tcPr>
          <w:p w14:paraId="25C2CD0A" w14:textId="741CAE12"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24.0%</w:t>
            </w:r>
          </w:p>
        </w:tc>
        <w:tc>
          <w:tcPr>
            <w:tcW w:w="1043" w:type="dxa"/>
            <w:vAlign w:val="bottom"/>
          </w:tcPr>
          <w:p w14:paraId="3D40AFA1" w14:textId="6C777BE0"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24.8%</w:t>
            </w:r>
          </w:p>
        </w:tc>
        <w:tc>
          <w:tcPr>
            <w:tcW w:w="1042" w:type="dxa"/>
            <w:vAlign w:val="bottom"/>
          </w:tcPr>
          <w:p w14:paraId="759E99C3" w14:textId="06FBF911"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24.8%</w:t>
            </w:r>
          </w:p>
        </w:tc>
        <w:tc>
          <w:tcPr>
            <w:tcW w:w="1043" w:type="dxa"/>
            <w:vAlign w:val="bottom"/>
          </w:tcPr>
          <w:p w14:paraId="607DCBB8" w14:textId="7FA93A53"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22.7%</w:t>
            </w:r>
          </w:p>
        </w:tc>
        <w:tc>
          <w:tcPr>
            <w:tcW w:w="1043" w:type="dxa"/>
            <w:vAlign w:val="bottom"/>
          </w:tcPr>
          <w:p w14:paraId="54FD31AD" w14:textId="2A24A031"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20.4%</w:t>
            </w:r>
          </w:p>
        </w:tc>
        <w:tc>
          <w:tcPr>
            <w:tcW w:w="1043" w:type="dxa"/>
            <w:vAlign w:val="bottom"/>
          </w:tcPr>
          <w:p w14:paraId="10679FE7" w14:textId="6EB49400"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20.0%</w:t>
            </w:r>
          </w:p>
        </w:tc>
      </w:tr>
      <w:tr w:rsidR="00DF6D63" w:rsidRPr="00255460" w14:paraId="0D483F72" w14:textId="77777777" w:rsidTr="00DF6D63">
        <w:tc>
          <w:tcPr>
            <w:tcW w:w="1768" w:type="dxa"/>
          </w:tcPr>
          <w:p w14:paraId="273BAF17" w14:textId="77777777" w:rsidR="00DF6D63" w:rsidRPr="00255460" w:rsidRDefault="00DF6D63" w:rsidP="00DF6D63">
            <w:pPr>
              <w:rPr>
                <w:rFonts w:asciiTheme="majorHAnsi" w:hAnsiTheme="majorHAnsi" w:cstheme="majorHAnsi"/>
              </w:rPr>
            </w:pPr>
            <w:r w:rsidRPr="00255460">
              <w:rPr>
                <w:rFonts w:asciiTheme="majorHAnsi" w:hAnsiTheme="majorHAnsi" w:cstheme="majorHAnsi"/>
              </w:rPr>
              <w:t>Portadown</w:t>
            </w:r>
          </w:p>
        </w:tc>
        <w:tc>
          <w:tcPr>
            <w:tcW w:w="1042" w:type="dxa"/>
            <w:vAlign w:val="bottom"/>
          </w:tcPr>
          <w:p w14:paraId="37B8D288" w14:textId="05FF2EE3"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25.9%</w:t>
            </w:r>
          </w:p>
        </w:tc>
        <w:tc>
          <w:tcPr>
            <w:tcW w:w="1043" w:type="dxa"/>
            <w:vAlign w:val="bottom"/>
          </w:tcPr>
          <w:p w14:paraId="487188B1" w14:textId="544BC340"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26.9%</w:t>
            </w:r>
          </w:p>
        </w:tc>
        <w:tc>
          <w:tcPr>
            <w:tcW w:w="1043" w:type="dxa"/>
            <w:vAlign w:val="bottom"/>
          </w:tcPr>
          <w:p w14:paraId="4695CD9C" w14:textId="64F72EED"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26.1%</w:t>
            </w:r>
          </w:p>
        </w:tc>
        <w:tc>
          <w:tcPr>
            <w:tcW w:w="1042" w:type="dxa"/>
            <w:vAlign w:val="bottom"/>
          </w:tcPr>
          <w:p w14:paraId="7BFDB54E" w14:textId="4350F98B"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24.8%</w:t>
            </w:r>
          </w:p>
        </w:tc>
        <w:tc>
          <w:tcPr>
            <w:tcW w:w="1043" w:type="dxa"/>
            <w:vAlign w:val="bottom"/>
          </w:tcPr>
          <w:p w14:paraId="4F217728" w14:textId="5EDA7430"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21.5%</w:t>
            </w:r>
          </w:p>
        </w:tc>
        <w:tc>
          <w:tcPr>
            <w:tcW w:w="1043" w:type="dxa"/>
            <w:vAlign w:val="bottom"/>
          </w:tcPr>
          <w:p w14:paraId="51E52341" w14:textId="3D210F4E"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20.1%</w:t>
            </w:r>
          </w:p>
        </w:tc>
        <w:tc>
          <w:tcPr>
            <w:tcW w:w="1043" w:type="dxa"/>
            <w:vAlign w:val="bottom"/>
          </w:tcPr>
          <w:p w14:paraId="5E8659C4" w14:textId="2CAD199C"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20.9%</w:t>
            </w:r>
          </w:p>
        </w:tc>
      </w:tr>
      <w:tr w:rsidR="00DF6D63" w:rsidRPr="00255460" w14:paraId="6DB9ECD6" w14:textId="77777777" w:rsidTr="00DF6D63">
        <w:tc>
          <w:tcPr>
            <w:tcW w:w="1768" w:type="dxa"/>
          </w:tcPr>
          <w:p w14:paraId="27B6B27C" w14:textId="77777777" w:rsidR="00DF6D63" w:rsidRPr="00255460" w:rsidRDefault="00DF6D63" w:rsidP="00DF6D63">
            <w:pPr>
              <w:rPr>
                <w:rFonts w:asciiTheme="majorHAnsi" w:hAnsiTheme="majorHAnsi" w:cstheme="majorHAnsi"/>
              </w:rPr>
            </w:pPr>
            <w:r w:rsidRPr="00255460">
              <w:rPr>
                <w:rFonts w:asciiTheme="majorHAnsi" w:hAnsiTheme="majorHAnsi" w:cstheme="majorHAnsi"/>
              </w:rPr>
              <w:t xml:space="preserve">Northern Ireland </w:t>
            </w:r>
          </w:p>
        </w:tc>
        <w:tc>
          <w:tcPr>
            <w:tcW w:w="1042" w:type="dxa"/>
            <w:vAlign w:val="bottom"/>
          </w:tcPr>
          <w:p w14:paraId="26EA101F" w14:textId="5E996261"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23.9%</w:t>
            </w:r>
          </w:p>
        </w:tc>
        <w:tc>
          <w:tcPr>
            <w:tcW w:w="1043" w:type="dxa"/>
            <w:vAlign w:val="bottom"/>
          </w:tcPr>
          <w:p w14:paraId="7C793D44" w14:textId="2AE3873E"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24.0%</w:t>
            </w:r>
          </w:p>
        </w:tc>
        <w:tc>
          <w:tcPr>
            <w:tcW w:w="1043" w:type="dxa"/>
            <w:vAlign w:val="bottom"/>
          </w:tcPr>
          <w:p w14:paraId="523048E5" w14:textId="1B1B9C7A"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24.9%</w:t>
            </w:r>
          </w:p>
        </w:tc>
        <w:tc>
          <w:tcPr>
            <w:tcW w:w="1042" w:type="dxa"/>
            <w:vAlign w:val="bottom"/>
          </w:tcPr>
          <w:p w14:paraId="21696850" w14:textId="214263D9"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25.1%</w:t>
            </w:r>
          </w:p>
        </w:tc>
        <w:tc>
          <w:tcPr>
            <w:tcW w:w="1043" w:type="dxa"/>
            <w:vAlign w:val="bottom"/>
          </w:tcPr>
          <w:p w14:paraId="63D386D9" w14:textId="2FE9E5E7"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24.0%</w:t>
            </w:r>
          </w:p>
        </w:tc>
        <w:tc>
          <w:tcPr>
            <w:tcW w:w="1043" w:type="dxa"/>
            <w:vAlign w:val="bottom"/>
          </w:tcPr>
          <w:p w14:paraId="44E91F1A" w14:textId="2FADE1CE"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22.8%</w:t>
            </w:r>
          </w:p>
        </w:tc>
        <w:tc>
          <w:tcPr>
            <w:tcW w:w="1043" w:type="dxa"/>
            <w:vAlign w:val="bottom"/>
          </w:tcPr>
          <w:p w14:paraId="3E5B1458" w14:textId="2180279D" w:rsidR="00DF6D63" w:rsidRPr="00DF6D63" w:rsidRDefault="00DF6D63" w:rsidP="00DF6D63">
            <w:pPr>
              <w:jc w:val="center"/>
              <w:rPr>
                <w:rFonts w:ascii="Calibri Light" w:hAnsi="Calibri Light" w:cs="Calibri Light"/>
                <w:color w:val="000000"/>
              </w:rPr>
            </w:pPr>
            <w:r w:rsidRPr="00DF6D63">
              <w:rPr>
                <w:rFonts w:ascii="Calibri Light" w:hAnsi="Calibri Light" w:cs="Calibri Light"/>
                <w:color w:val="000000"/>
              </w:rPr>
              <w:t>22.2%</w:t>
            </w:r>
          </w:p>
        </w:tc>
      </w:tr>
    </w:tbl>
    <w:p w14:paraId="10BFCFE5" w14:textId="23ADF3D4" w:rsidR="005C2415" w:rsidRDefault="005C2415" w:rsidP="005C2415">
      <w:pPr>
        <w:rPr>
          <w:i/>
          <w:sz w:val="20"/>
          <w:szCs w:val="20"/>
        </w:rPr>
      </w:pPr>
      <w:r>
        <w:rPr>
          <w:i/>
          <w:sz w:val="20"/>
          <w:szCs w:val="20"/>
        </w:rPr>
        <w:t xml:space="preserve">Table 2: City/town centre non-domestic property vacancy rates between </w:t>
      </w:r>
      <w:r w:rsidR="00DF6D63">
        <w:rPr>
          <w:i/>
          <w:sz w:val="20"/>
          <w:szCs w:val="20"/>
        </w:rPr>
        <w:t>31</w:t>
      </w:r>
      <w:r w:rsidR="00DF6D63" w:rsidRPr="00DF6D63">
        <w:rPr>
          <w:i/>
          <w:sz w:val="20"/>
          <w:szCs w:val="20"/>
          <w:vertAlign w:val="superscript"/>
        </w:rPr>
        <w:t>st</w:t>
      </w:r>
      <w:r w:rsidR="00DF6D63">
        <w:rPr>
          <w:i/>
          <w:sz w:val="20"/>
          <w:szCs w:val="20"/>
        </w:rPr>
        <w:t xml:space="preserve"> October</w:t>
      </w:r>
      <w:r>
        <w:rPr>
          <w:i/>
          <w:sz w:val="20"/>
          <w:szCs w:val="20"/>
        </w:rPr>
        <w:t xml:space="preserve"> 2016 and </w:t>
      </w:r>
      <w:r w:rsidR="00DF6D63">
        <w:rPr>
          <w:i/>
          <w:sz w:val="20"/>
          <w:szCs w:val="20"/>
        </w:rPr>
        <w:t>31</w:t>
      </w:r>
      <w:r w:rsidR="00DF6D63" w:rsidRPr="00DF6D63">
        <w:rPr>
          <w:i/>
          <w:sz w:val="20"/>
          <w:szCs w:val="20"/>
          <w:vertAlign w:val="superscript"/>
        </w:rPr>
        <w:t>st</w:t>
      </w:r>
      <w:r w:rsidR="00DF6D63">
        <w:rPr>
          <w:i/>
          <w:sz w:val="20"/>
          <w:szCs w:val="20"/>
        </w:rPr>
        <w:t xml:space="preserve"> October </w:t>
      </w:r>
      <w:r w:rsidR="00255460">
        <w:rPr>
          <w:i/>
          <w:sz w:val="20"/>
          <w:szCs w:val="20"/>
        </w:rPr>
        <w:t>2023</w:t>
      </w:r>
      <w:r w:rsidRPr="002A2185">
        <w:rPr>
          <w:i/>
          <w:sz w:val="20"/>
          <w:szCs w:val="20"/>
        </w:rPr>
        <w:t>. Source:</w:t>
      </w:r>
      <w:r>
        <w:rPr>
          <w:i/>
          <w:sz w:val="20"/>
          <w:szCs w:val="20"/>
        </w:rPr>
        <w:t xml:space="preserve"> Land and Property Services via Town Centre Database, Department for Communities</w:t>
      </w:r>
      <w:r w:rsidRPr="002A2185">
        <w:rPr>
          <w:i/>
          <w:sz w:val="20"/>
          <w:szCs w:val="20"/>
        </w:rPr>
        <w:t>.</w:t>
      </w:r>
      <w:r>
        <w:rPr>
          <w:i/>
          <w:sz w:val="20"/>
          <w:szCs w:val="20"/>
        </w:rPr>
        <w:t xml:space="preserve"> </w:t>
      </w:r>
    </w:p>
    <w:p w14:paraId="18CE5622" w14:textId="57ED0DD6" w:rsidR="00DF6D63" w:rsidRDefault="00C51627" w:rsidP="00956354">
      <w:r>
        <w:t xml:space="preserve">Of the 41 towns and cities contained within the Town Centre </w:t>
      </w:r>
      <w:r w:rsidR="00936C9E">
        <w:t>Database, Dromore has the f</w:t>
      </w:r>
      <w:r w:rsidR="004E798D">
        <w:t>ifth</w:t>
      </w:r>
      <w:r w:rsidR="00936C9E">
        <w:t xml:space="preserve"> </w:t>
      </w:r>
      <w:r>
        <w:t>highest</w:t>
      </w:r>
      <w:r w:rsidR="00AA2364">
        <w:t xml:space="preserve"> non-domestic property vacancy rate</w:t>
      </w:r>
      <w:r w:rsidR="004E798D">
        <w:t xml:space="preserve"> as </w:t>
      </w:r>
      <w:proofErr w:type="gramStart"/>
      <w:r w:rsidR="004E798D">
        <w:t>at</w:t>
      </w:r>
      <w:proofErr w:type="gramEnd"/>
      <w:r w:rsidR="004E798D">
        <w:t xml:space="preserve"> 31</w:t>
      </w:r>
      <w:r w:rsidR="004E798D" w:rsidRPr="004E798D">
        <w:rPr>
          <w:vertAlign w:val="superscript"/>
        </w:rPr>
        <w:t>st</w:t>
      </w:r>
      <w:r w:rsidR="004E798D">
        <w:t xml:space="preserve"> October 2023</w:t>
      </w:r>
      <w:r>
        <w:t xml:space="preserve">. </w:t>
      </w:r>
      <w:r w:rsidR="00B445E3">
        <w:t xml:space="preserve"> </w:t>
      </w:r>
      <w:r w:rsidR="00936C9E">
        <w:t>Portadown</w:t>
      </w:r>
      <w:r w:rsidR="00663F9F">
        <w:t xml:space="preserve"> and</w:t>
      </w:r>
      <w:r w:rsidR="00936C9E">
        <w:t xml:space="preserve"> </w:t>
      </w:r>
      <w:r w:rsidR="00663F9F">
        <w:t xml:space="preserve">Lurgan </w:t>
      </w:r>
      <w:r w:rsidR="00936C9E">
        <w:t xml:space="preserve">are ranked </w:t>
      </w:r>
      <w:r w:rsidR="004E798D">
        <w:t>ninth</w:t>
      </w:r>
      <w:r w:rsidR="00663F9F">
        <w:t xml:space="preserve"> and </w:t>
      </w:r>
      <w:r w:rsidR="004E798D">
        <w:t>twelfth</w:t>
      </w:r>
      <w:r w:rsidR="00AA2364">
        <w:t>. Craigavon has the</w:t>
      </w:r>
      <w:r w:rsidR="00936C9E">
        <w:t xml:space="preserve"> </w:t>
      </w:r>
      <w:r w:rsidR="004E798D">
        <w:t>third</w:t>
      </w:r>
      <w:r w:rsidR="00AA2364">
        <w:t xml:space="preserve"> lowest vacancy rate of the 41 towns and cities</w:t>
      </w:r>
      <w:r w:rsidR="00663F9F">
        <w:t xml:space="preserve"> at </w:t>
      </w:r>
      <w:r w:rsidR="004E798D">
        <w:t>9.7</w:t>
      </w:r>
      <w:r w:rsidR="00663F9F">
        <w:t>%</w:t>
      </w:r>
      <w:r w:rsidR="00AA2364">
        <w:t>.</w:t>
      </w:r>
      <w:r w:rsidR="00CA23AC">
        <w:t xml:space="preserve"> </w:t>
      </w:r>
    </w:p>
    <w:p w14:paraId="5D4DE07D" w14:textId="3C38BBBC" w:rsidR="00AA2364" w:rsidRPr="00AA2364" w:rsidRDefault="00DF6D63" w:rsidP="00AA2364">
      <w:r>
        <w:rPr>
          <w:noProof/>
        </w:rPr>
        <w:drawing>
          <wp:inline distT="0" distB="0" distL="0" distR="0" wp14:anchorId="47A34B79" wp14:editId="5CAB3A3F">
            <wp:extent cx="6042660" cy="3810000"/>
            <wp:effectExtent l="0" t="0" r="15240" b="0"/>
            <wp:docPr id="1130568910" name="Chart 1">
              <a:extLst xmlns:a="http://schemas.openxmlformats.org/drawingml/2006/main">
                <a:ext uri="{FF2B5EF4-FFF2-40B4-BE49-F238E27FC236}">
                  <a16:creationId xmlns:a16="http://schemas.microsoft.com/office/drawing/2014/main" id="{673BFDB6-7422-E29B-9568-1EA8E19825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C07F07">
        <w:rPr>
          <w:i/>
          <w:sz w:val="20"/>
          <w:szCs w:val="20"/>
        </w:rPr>
        <w:t xml:space="preserve">Figure 2: </w:t>
      </w:r>
      <w:r w:rsidR="00AA2364">
        <w:rPr>
          <w:i/>
          <w:sz w:val="20"/>
          <w:szCs w:val="20"/>
        </w:rPr>
        <w:t>City/town centre non-domestic</w:t>
      </w:r>
      <w:r w:rsidR="007D43A5">
        <w:rPr>
          <w:i/>
          <w:sz w:val="20"/>
          <w:szCs w:val="20"/>
        </w:rPr>
        <w:t xml:space="preserve"> property vacancy rates as </w:t>
      </w:r>
      <w:proofErr w:type="gramStart"/>
      <w:r w:rsidR="007D43A5">
        <w:rPr>
          <w:i/>
          <w:sz w:val="20"/>
          <w:szCs w:val="20"/>
        </w:rPr>
        <w:t>at</w:t>
      </w:r>
      <w:proofErr w:type="gramEnd"/>
      <w:r w:rsidR="007D43A5">
        <w:rPr>
          <w:i/>
          <w:sz w:val="20"/>
          <w:szCs w:val="20"/>
        </w:rPr>
        <w:t xml:space="preserve"> </w:t>
      </w:r>
      <w:r>
        <w:rPr>
          <w:i/>
          <w:sz w:val="20"/>
          <w:szCs w:val="20"/>
        </w:rPr>
        <w:t>31</w:t>
      </w:r>
      <w:r w:rsidRPr="00DF6D63">
        <w:rPr>
          <w:i/>
          <w:sz w:val="20"/>
          <w:szCs w:val="20"/>
          <w:vertAlign w:val="superscript"/>
        </w:rPr>
        <w:t>st</w:t>
      </w:r>
      <w:r>
        <w:rPr>
          <w:i/>
          <w:sz w:val="20"/>
          <w:szCs w:val="20"/>
        </w:rPr>
        <w:t xml:space="preserve"> October</w:t>
      </w:r>
      <w:r w:rsidR="00FA37E3">
        <w:rPr>
          <w:i/>
          <w:sz w:val="20"/>
          <w:szCs w:val="20"/>
        </w:rPr>
        <w:t xml:space="preserve"> 2023</w:t>
      </w:r>
      <w:r w:rsidR="00AA2364" w:rsidRPr="002A2185">
        <w:rPr>
          <w:i/>
          <w:sz w:val="20"/>
          <w:szCs w:val="20"/>
        </w:rPr>
        <w:t>. Source:</w:t>
      </w:r>
      <w:r w:rsidR="00AA2364">
        <w:rPr>
          <w:i/>
          <w:sz w:val="20"/>
          <w:szCs w:val="20"/>
        </w:rPr>
        <w:t xml:space="preserve"> Land and Property Services via Town Centre Database, Department for Communities</w:t>
      </w:r>
      <w:r w:rsidR="00AA2364" w:rsidRPr="002A2185">
        <w:rPr>
          <w:i/>
          <w:sz w:val="20"/>
          <w:szCs w:val="20"/>
        </w:rPr>
        <w:t>.</w:t>
      </w:r>
      <w:r w:rsidR="00AA2364">
        <w:rPr>
          <w:i/>
          <w:sz w:val="20"/>
          <w:szCs w:val="20"/>
        </w:rPr>
        <w:t xml:space="preserve"> </w:t>
      </w:r>
    </w:p>
    <w:p w14:paraId="0FA9FF11" w14:textId="77777777" w:rsidR="00AA2364" w:rsidRDefault="00AA2364" w:rsidP="00956354">
      <w:r>
        <w:t>Further information on town centre vacancy rates can be found via the following link:</w:t>
      </w:r>
    </w:p>
    <w:p w14:paraId="07AAF8FC" w14:textId="77777777" w:rsidR="00C51627" w:rsidRPr="00956354" w:rsidRDefault="004E798D" w:rsidP="00956354">
      <w:hyperlink r:id="rId8" w:history="1">
        <w:r w:rsidR="00AA2364">
          <w:rPr>
            <w:rStyle w:val="Hyperlink"/>
          </w:rPr>
          <w:t>https://www.communities-ni.gov.uk/publications/town-centre-database</w:t>
        </w:r>
      </w:hyperlink>
    </w:p>
    <w:sectPr w:rsidR="00C51627" w:rsidRPr="009563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A512" w14:textId="77777777" w:rsidR="00C07F07" w:rsidRDefault="00C07F07" w:rsidP="00C07F07">
      <w:pPr>
        <w:spacing w:after="0" w:line="240" w:lineRule="auto"/>
      </w:pPr>
      <w:r>
        <w:separator/>
      </w:r>
    </w:p>
  </w:endnote>
  <w:endnote w:type="continuationSeparator" w:id="0">
    <w:p w14:paraId="6096D57F" w14:textId="77777777" w:rsidR="00C07F07" w:rsidRDefault="00C07F07" w:rsidP="00C0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315475"/>
      <w:docPartObj>
        <w:docPartGallery w:val="Page Numbers (Bottom of Page)"/>
        <w:docPartUnique/>
      </w:docPartObj>
    </w:sdtPr>
    <w:sdtEndPr>
      <w:rPr>
        <w:noProof/>
      </w:rPr>
    </w:sdtEndPr>
    <w:sdtContent>
      <w:p w14:paraId="514ADAEB" w14:textId="77777777" w:rsidR="00C07F07" w:rsidRDefault="00C07F07">
        <w:pPr>
          <w:pStyle w:val="Footer"/>
          <w:jc w:val="right"/>
        </w:pPr>
        <w:r>
          <w:fldChar w:fldCharType="begin"/>
        </w:r>
        <w:r>
          <w:instrText xml:space="preserve"> PAGE   \* MERGEFORMAT </w:instrText>
        </w:r>
        <w:r>
          <w:fldChar w:fldCharType="separate"/>
        </w:r>
        <w:r w:rsidR="001C3C76">
          <w:rPr>
            <w:noProof/>
          </w:rPr>
          <w:t>2</w:t>
        </w:r>
        <w:r>
          <w:rPr>
            <w:noProof/>
          </w:rPr>
          <w:fldChar w:fldCharType="end"/>
        </w:r>
      </w:p>
    </w:sdtContent>
  </w:sdt>
  <w:p w14:paraId="3FBD47B5" w14:textId="77777777" w:rsidR="00C07F07" w:rsidRDefault="00C0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6874" w14:textId="77777777" w:rsidR="00C07F07" w:rsidRDefault="00C07F07" w:rsidP="00C07F07">
      <w:pPr>
        <w:spacing w:after="0" w:line="240" w:lineRule="auto"/>
      </w:pPr>
      <w:r>
        <w:separator/>
      </w:r>
    </w:p>
  </w:footnote>
  <w:footnote w:type="continuationSeparator" w:id="0">
    <w:p w14:paraId="543F0768" w14:textId="77777777" w:rsidR="00C07F07" w:rsidRDefault="00C07F07" w:rsidP="00C07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56"/>
    <w:rsid w:val="00095AEC"/>
    <w:rsid w:val="000D3FA8"/>
    <w:rsid w:val="0011217B"/>
    <w:rsid w:val="00163756"/>
    <w:rsid w:val="00164911"/>
    <w:rsid w:val="001C3C76"/>
    <w:rsid w:val="00255460"/>
    <w:rsid w:val="0027097C"/>
    <w:rsid w:val="0035789F"/>
    <w:rsid w:val="00374AD9"/>
    <w:rsid w:val="003975ED"/>
    <w:rsid w:val="003B1F7B"/>
    <w:rsid w:val="004137D6"/>
    <w:rsid w:val="004172DA"/>
    <w:rsid w:val="004239CA"/>
    <w:rsid w:val="004E798D"/>
    <w:rsid w:val="00595145"/>
    <w:rsid w:val="005A6B8B"/>
    <w:rsid w:val="005C2415"/>
    <w:rsid w:val="00663F9F"/>
    <w:rsid w:val="007D43A5"/>
    <w:rsid w:val="00807126"/>
    <w:rsid w:val="008F7B50"/>
    <w:rsid w:val="00936C9E"/>
    <w:rsid w:val="00956354"/>
    <w:rsid w:val="00980495"/>
    <w:rsid w:val="009C0905"/>
    <w:rsid w:val="00A02E53"/>
    <w:rsid w:val="00A61EAC"/>
    <w:rsid w:val="00AA2364"/>
    <w:rsid w:val="00AB0D40"/>
    <w:rsid w:val="00AF041A"/>
    <w:rsid w:val="00B445E3"/>
    <w:rsid w:val="00C07F07"/>
    <w:rsid w:val="00C51627"/>
    <w:rsid w:val="00CA23AC"/>
    <w:rsid w:val="00D11E50"/>
    <w:rsid w:val="00D71F6B"/>
    <w:rsid w:val="00DD44F4"/>
    <w:rsid w:val="00DF6D63"/>
    <w:rsid w:val="00EB4ADC"/>
    <w:rsid w:val="00F05DE3"/>
    <w:rsid w:val="00F2398A"/>
    <w:rsid w:val="00F72D45"/>
    <w:rsid w:val="00FA37E3"/>
    <w:rsid w:val="00FD1406"/>
    <w:rsid w:val="00FF5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61EC"/>
  <w15:chartTrackingRefBased/>
  <w15:docId w15:val="{02E1B8DA-A8E0-42A4-A4F1-3F0DD5E4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364"/>
    <w:rPr>
      <w:color w:val="0000FF"/>
      <w:u w:val="single"/>
    </w:rPr>
  </w:style>
  <w:style w:type="paragraph" w:styleId="Header">
    <w:name w:val="header"/>
    <w:basedOn w:val="Normal"/>
    <w:link w:val="HeaderChar"/>
    <w:uiPriority w:val="99"/>
    <w:unhideWhenUsed/>
    <w:rsid w:val="00C07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F07"/>
  </w:style>
  <w:style w:type="paragraph" w:styleId="Footer">
    <w:name w:val="footer"/>
    <w:basedOn w:val="Normal"/>
    <w:link w:val="FooterChar"/>
    <w:uiPriority w:val="99"/>
    <w:unhideWhenUsed/>
    <w:rsid w:val="00C07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F07"/>
  </w:style>
  <w:style w:type="character" w:styleId="FollowedHyperlink">
    <w:name w:val="FollowedHyperlink"/>
    <w:basedOn w:val="DefaultParagraphFont"/>
    <w:uiPriority w:val="99"/>
    <w:semiHidden/>
    <w:unhideWhenUsed/>
    <w:rsid w:val="0011217B"/>
    <w:rPr>
      <w:color w:val="954F72" w:themeColor="followedHyperlink"/>
      <w:u w:val="single"/>
    </w:rPr>
  </w:style>
  <w:style w:type="table" w:styleId="GridTable1Light">
    <w:name w:val="Grid Table 1 Light"/>
    <w:basedOn w:val="TableNormal"/>
    <w:uiPriority w:val="46"/>
    <w:rsid w:val="00D71F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25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5259">
      <w:bodyDiv w:val="1"/>
      <w:marLeft w:val="0"/>
      <w:marRight w:val="0"/>
      <w:marTop w:val="0"/>
      <w:marBottom w:val="0"/>
      <w:divBdr>
        <w:top w:val="none" w:sz="0" w:space="0" w:color="auto"/>
        <w:left w:val="none" w:sz="0" w:space="0" w:color="auto"/>
        <w:bottom w:val="none" w:sz="0" w:space="0" w:color="auto"/>
        <w:right w:val="none" w:sz="0" w:space="0" w:color="auto"/>
      </w:divBdr>
    </w:div>
    <w:div w:id="473643637">
      <w:marLeft w:val="0"/>
      <w:marRight w:val="0"/>
      <w:marTop w:val="0"/>
      <w:marBottom w:val="0"/>
      <w:divBdr>
        <w:top w:val="none" w:sz="0" w:space="0" w:color="auto"/>
        <w:left w:val="none" w:sz="0" w:space="0" w:color="auto"/>
        <w:bottom w:val="none" w:sz="0" w:space="0" w:color="auto"/>
        <w:right w:val="none" w:sz="0" w:space="0" w:color="auto"/>
      </w:divBdr>
    </w:div>
    <w:div w:id="612833639">
      <w:marLeft w:val="0"/>
      <w:marRight w:val="0"/>
      <w:marTop w:val="0"/>
      <w:marBottom w:val="0"/>
      <w:divBdr>
        <w:top w:val="none" w:sz="0" w:space="0" w:color="auto"/>
        <w:left w:val="none" w:sz="0" w:space="0" w:color="auto"/>
        <w:bottom w:val="none" w:sz="0" w:space="0" w:color="auto"/>
        <w:right w:val="none" w:sz="0" w:space="0" w:color="auto"/>
      </w:divBdr>
    </w:div>
    <w:div w:id="926110899">
      <w:bodyDiv w:val="1"/>
      <w:marLeft w:val="0"/>
      <w:marRight w:val="0"/>
      <w:marTop w:val="0"/>
      <w:marBottom w:val="0"/>
      <w:divBdr>
        <w:top w:val="none" w:sz="0" w:space="0" w:color="auto"/>
        <w:left w:val="none" w:sz="0" w:space="0" w:color="auto"/>
        <w:bottom w:val="none" w:sz="0" w:space="0" w:color="auto"/>
        <w:right w:val="none" w:sz="0" w:space="0" w:color="auto"/>
      </w:divBdr>
    </w:div>
    <w:div w:id="966395553">
      <w:marLeft w:val="0"/>
      <w:marRight w:val="0"/>
      <w:marTop w:val="0"/>
      <w:marBottom w:val="0"/>
      <w:divBdr>
        <w:top w:val="none" w:sz="0" w:space="0" w:color="auto"/>
        <w:left w:val="none" w:sz="0" w:space="0" w:color="auto"/>
        <w:bottom w:val="none" w:sz="0" w:space="0" w:color="auto"/>
        <w:right w:val="none" w:sz="0" w:space="0" w:color="auto"/>
      </w:divBdr>
    </w:div>
    <w:div w:id="1099333215">
      <w:marLeft w:val="0"/>
      <w:marRight w:val="0"/>
      <w:marTop w:val="0"/>
      <w:marBottom w:val="0"/>
      <w:divBdr>
        <w:top w:val="none" w:sz="0" w:space="0" w:color="auto"/>
        <w:left w:val="none" w:sz="0" w:space="0" w:color="auto"/>
        <w:bottom w:val="none" w:sz="0" w:space="0" w:color="auto"/>
        <w:right w:val="none" w:sz="0" w:space="0" w:color="auto"/>
      </w:divBdr>
    </w:div>
    <w:div w:id="1110474189">
      <w:marLeft w:val="0"/>
      <w:marRight w:val="0"/>
      <w:marTop w:val="0"/>
      <w:marBottom w:val="0"/>
      <w:divBdr>
        <w:top w:val="none" w:sz="0" w:space="0" w:color="auto"/>
        <w:left w:val="none" w:sz="0" w:space="0" w:color="auto"/>
        <w:bottom w:val="none" w:sz="0" w:space="0" w:color="auto"/>
        <w:right w:val="none" w:sz="0" w:space="0" w:color="auto"/>
      </w:divBdr>
    </w:div>
    <w:div w:id="1200699874">
      <w:bodyDiv w:val="1"/>
      <w:marLeft w:val="0"/>
      <w:marRight w:val="0"/>
      <w:marTop w:val="0"/>
      <w:marBottom w:val="0"/>
      <w:divBdr>
        <w:top w:val="none" w:sz="0" w:space="0" w:color="auto"/>
        <w:left w:val="none" w:sz="0" w:space="0" w:color="auto"/>
        <w:bottom w:val="none" w:sz="0" w:space="0" w:color="auto"/>
        <w:right w:val="none" w:sz="0" w:space="0" w:color="auto"/>
      </w:divBdr>
    </w:div>
    <w:div w:id="1204908624">
      <w:bodyDiv w:val="1"/>
      <w:marLeft w:val="0"/>
      <w:marRight w:val="0"/>
      <w:marTop w:val="0"/>
      <w:marBottom w:val="0"/>
      <w:divBdr>
        <w:top w:val="none" w:sz="0" w:space="0" w:color="auto"/>
        <w:left w:val="none" w:sz="0" w:space="0" w:color="auto"/>
        <w:bottom w:val="none" w:sz="0" w:space="0" w:color="auto"/>
        <w:right w:val="none" w:sz="0" w:space="0" w:color="auto"/>
      </w:divBdr>
    </w:div>
    <w:div w:id="1365014354">
      <w:marLeft w:val="0"/>
      <w:marRight w:val="0"/>
      <w:marTop w:val="0"/>
      <w:marBottom w:val="0"/>
      <w:divBdr>
        <w:top w:val="none" w:sz="0" w:space="0" w:color="auto"/>
        <w:left w:val="none" w:sz="0" w:space="0" w:color="auto"/>
        <w:bottom w:val="none" w:sz="0" w:space="0" w:color="auto"/>
        <w:right w:val="none" w:sz="0" w:space="0" w:color="auto"/>
      </w:divBdr>
    </w:div>
    <w:div w:id="1467695714">
      <w:bodyDiv w:val="1"/>
      <w:marLeft w:val="0"/>
      <w:marRight w:val="0"/>
      <w:marTop w:val="0"/>
      <w:marBottom w:val="0"/>
      <w:divBdr>
        <w:top w:val="none" w:sz="0" w:space="0" w:color="auto"/>
        <w:left w:val="none" w:sz="0" w:space="0" w:color="auto"/>
        <w:bottom w:val="none" w:sz="0" w:space="0" w:color="auto"/>
        <w:right w:val="none" w:sz="0" w:space="0" w:color="auto"/>
      </w:divBdr>
      <w:divsChild>
        <w:div w:id="1854763141">
          <w:marLeft w:val="0"/>
          <w:marRight w:val="0"/>
          <w:marTop w:val="0"/>
          <w:marBottom w:val="0"/>
          <w:divBdr>
            <w:top w:val="none" w:sz="0" w:space="0" w:color="auto"/>
            <w:left w:val="none" w:sz="0" w:space="0" w:color="auto"/>
            <w:bottom w:val="none" w:sz="0" w:space="0" w:color="auto"/>
            <w:right w:val="none" w:sz="0" w:space="0" w:color="auto"/>
          </w:divBdr>
        </w:div>
      </w:divsChild>
    </w:div>
    <w:div w:id="1681811431">
      <w:bodyDiv w:val="1"/>
      <w:marLeft w:val="0"/>
      <w:marRight w:val="0"/>
      <w:marTop w:val="0"/>
      <w:marBottom w:val="0"/>
      <w:divBdr>
        <w:top w:val="none" w:sz="0" w:space="0" w:color="auto"/>
        <w:left w:val="none" w:sz="0" w:space="0" w:color="auto"/>
        <w:bottom w:val="none" w:sz="0" w:space="0" w:color="auto"/>
        <w:right w:val="none" w:sz="0" w:space="0" w:color="auto"/>
      </w:divBdr>
    </w:div>
    <w:div w:id="1970935413">
      <w:bodyDiv w:val="1"/>
      <w:marLeft w:val="0"/>
      <w:marRight w:val="0"/>
      <w:marTop w:val="0"/>
      <w:marBottom w:val="0"/>
      <w:divBdr>
        <w:top w:val="none" w:sz="0" w:space="0" w:color="auto"/>
        <w:left w:val="none" w:sz="0" w:space="0" w:color="auto"/>
        <w:bottom w:val="none" w:sz="0" w:space="0" w:color="auto"/>
        <w:right w:val="none" w:sz="0" w:space="0" w:color="auto"/>
      </w:divBdr>
    </w:div>
    <w:div w:id="2022122988">
      <w:bodyDiv w:val="1"/>
      <w:marLeft w:val="0"/>
      <w:marRight w:val="0"/>
      <w:marTop w:val="0"/>
      <w:marBottom w:val="0"/>
      <w:divBdr>
        <w:top w:val="none" w:sz="0" w:space="0" w:color="auto"/>
        <w:left w:val="none" w:sz="0" w:space="0" w:color="auto"/>
        <w:bottom w:val="none" w:sz="0" w:space="0" w:color="auto"/>
        <w:right w:val="none" w:sz="0" w:space="0" w:color="auto"/>
      </w:divBdr>
    </w:div>
    <w:div w:id="20904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publications/town-centre-database" TargetMode="Externa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2.%20Statistics%20for%20Website\Economy%20and%20Labour%20Market\2022%20Updates\Town%20Centre%20Vacancy%20Rates%20-%20updated.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2.%20Statistics%20for%20Website\Economy%20and%20Labour%20Market\2022%20Updates\Town%20Centre%20Vacancy%20Rates%20-%20updated.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'[Town Centre Vacancy Rates - updated.xls]Sheet7'!$C$13</c:f>
              <c:strCache>
                <c:ptCount val="1"/>
                <c:pt idx="0">
                  <c:v>% of Vacant Properties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'[Town Centre Vacancy Rates - updated.xls]Sheet7'!$B$14:$B$19</c:f>
              <c:strCache>
                <c:ptCount val="6"/>
                <c:pt idx="0">
                  <c:v>Dromore</c:v>
                </c:pt>
                <c:pt idx="1">
                  <c:v>Portadown</c:v>
                </c:pt>
                <c:pt idx="2">
                  <c:v>Lurgan</c:v>
                </c:pt>
                <c:pt idx="3">
                  <c:v>Armagh</c:v>
                </c:pt>
                <c:pt idx="4">
                  <c:v>Banbridge</c:v>
                </c:pt>
                <c:pt idx="5">
                  <c:v>Craigavon</c:v>
                </c:pt>
              </c:strCache>
            </c:strRef>
          </c:cat>
          <c:val>
            <c:numRef>
              <c:f>'[Town Centre Vacancy Rates - updated.xls]Sheet7'!$C$14:$C$19</c:f>
              <c:numCache>
                <c:formatCode>0.0%</c:formatCode>
                <c:ptCount val="6"/>
                <c:pt idx="0">
                  <c:v>0.23300000000000001</c:v>
                </c:pt>
                <c:pt idx="1">
                  <c:v>0.20899999999999999</c:v>
                </c:pt>
                <c:pt idx="2">
                  <c:v>0.2</c:v>
                </c:pt>
                <c:pt idx="3">
                  <c:v>0.16200000000000001</c:v>
                </c:pt>
                <c:pt idx="4">
                  <c:v>0.161</c:v>
                </c:pt>
                <c:pt idx="5">
                  <c:v>9.7000000000000003E-2</c:v>
                </c:pt>
              </c:numCache>
            </c:numRef>
          </c:val>
          <c:extLst>
            <c:ext xmlns:c16="http://schemas.microsoft.com/office/drawing/2014/chart" uri="{C3380CC4-5D6E-409C-BE32-E72D297353CC}">
              <c16:uniqueId val="{00000000-712A-4D6F-876F-A96030ED8CCE}"/>
            </c:ext>
          </c:extLst>
        </c:ser>
        <c:dLbls>
          <c:showLegendKey val="0"/>
          <c:showVal val="0"/>
          <c:showCatName val="0"/>
          <c:showSerName val="0"/>
          <c:showPercent val="0"/>
          <c:showBubbleSize val="0"/>
        </c:dLbls>
        <c:gapWidth val="100"/>
        <c:overlap val="-27"/>
        <c:axId val="1408343104"/>
        <c:axId val="1404079232"/>
      </c:barChart>
      <c:catAx>
        <c:axId val="140834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4079232"/>
        <c:crosses val="autoZero"/>
        <c:auto val="1"/>
        <c:lblAlgn val="ctr"/>
        <c:lblOffset val="100"/>
        <c:noMultiLvlLbl val="0"/>
      </c:catAx>
      <c:valAx>
        <c:axId val="1404079232"/>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8343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011015016565549E-2"/>
          <c:y val="4.5045045045045043E-2"/>
          <c:w val="0.88819923675996992"/>
          <c:h val="0.60931113647649082"/>
        </c:manualLayout>
      </c:layout>
      <c:barChart>
        <c:barDir val="col"/>
        <c:grouping val="clustered"/>
        <c:varyColors val="0"/>
        <c:ser>
          <c:idx val="0"/>
          <c:order val="0"/>
          <c:tx>
            <c:strRef>
              <c:f>'[Town Centre Vacancy Rates - updated.xls]Sheet8'!$B$3</c:f>
              <c:strCache>
                <c:ptCount val="1"/>
                <c:pt idx="0">
                  <c:v>% of Vacant Properties</c:v>
                </c:pt>
              </c:strCache>
            </c:strRef>
          </c:tx>
          <c:spPr>
            <a:solidFill>
              <a:schemeClr val="accent1"/>
            </a:solidFill>
            <a:ln>
              <a:noFill/>
            </a:ln>
            <a:effectLst/>
          </c:spPr>
          <c:invertIfNegative val="0"/>
          <c:dPt>
            <c:idx val="4"/>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C186-44AF-8861-1F3BF8F46439}"/>
              </c:ext>
            </c:extLst>
          </c:dPt>
          <c:dPt>
            <c:idx val="7"/>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C186-44AF-8861-1F3BF8F46439}"/>
              </c:ext>
            </c:extLst>
          </c:dPt>
          <c:dPt>
            <c:idx val="9"/>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5-C186-44AF-8861-1F3BF8F46439}"/>
              </c:ext>
            </c:extLst>
          </c:dPt>
          <c:dPt>
            <c:idx val="12"/>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7-C186-44AF-8861-1F3BF8F46439}"/>
              </c:ext>
            </c:extLst>
          </c:dPt>
          <c:dPt>
            <c:idx val="26"/>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9-C186-44AF-8861-1F3BF8F46439}"/>
              </c:ext>
            </c:extLst>
          </c:dPt>
          <c:dPt>
            <c:idx val="28"/>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B-C186-44AF-8861-1F3BF8F46439}"/>
              </c:ext>
            </c:extLst>
          </c:dPt>
          <c:dPt>
            <c:idx val="39"/>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D-C186-44AF-8861-1F3BF8F46439}"/>
              </c:ext>
            </c:extLst>
          </c:dPt>
          <c:cat>
            <c:strRef>
              <c:f>'[Town Centre Vacancy Rates - updated.xls]Sheet8'!$A$4:$A$45</c:f>
              <c:strCache>
                <c:ptCount val="42"/>
                <c:pt idx="0">
                  <c:v>BELFAST CITY</c:v>
                </c:pt>
                <c:pt idx="1">
                  <c:v>RANDALSTOWN</c:v>
                </c:pt>
                <c:pt idx="2">
                  <c:v>KILKEEL</c:v>
                </c:pt>
                <c:pt idx="3">
                  <c:v>STRABANE</c:v>
                </c:pt>
                <c:pt idx="4">
                  <c:v>DROMORE</c:v>
                </c:pt>
                <c:pt idx="5">
                  <c:v>COALISLAND</c:v>
                </c:pt>
                <c:pt idx="6">
                  <c:v>COLERAINE</c:v>
                </c:pt>
                <c:pt idx="7">
                  <c:v>Northern Ireland </c:v>
                </c:pt>
                <c:pt idx="8">
                  <c:v>LARNE</c:v>
                </c:pt>
                <c:pt idx="9">
                  <c:v>PORTADOWN</c:v>
                </c:pt>
                <c:pt idx="10">
                  <c:v>BANGOR</c:v>
                </c:pt>
                <c:pt idx="11">
                  <c:v>NEWTOWNARDS</c:v>
                </c:pt>
                <c:pt idx="12">
                  <c:v>LURGAN</c:v>
                </c:pt>
                <c:pt idx="13">
                  <c:v>ENNISKILLEN</c:v>
                </c:pt>
                <c:pt idx="14">
                  <c:v>NEWRY</c:v>
                </c:pt>
                <c:pt idx="15">
                  <c:v>DERRY</c:v>
                </c:pt>
                <c:pt idx="16">
                  <c:v>LISBURN CITY</c:v>
                </c:pt>
                <c:pt idx="17">
                  <c:v>OMAGH</c:v>
                </c:pt>
                <c:pt idx="18">
                  <c:v>BALLYMENA</c:v>
                </c:pt>
                <c:pt idx="19">
                  <c:v>DOWNPATRICK</c:v>
                </c:pt>
                <c:pt idx="20">
                  <c:v>DUNGANNON</c:v>
                </c:pt>
                <c:pt idx="21">
                  <c:v>BALLYMONEY</c:v>
                </c:pt>
                <c:pt idx="22">
                  <c:v>ANTRIM</c:v>
                </c:pt>
                <c:pt idx="23">
                  <c:v>BALLYCASTLE</c:v>
                </c:pt>
                <c:pt idx="24">
                  <c:v>COOKSTOWN</c:v>
                </c:pt>
                <c:pt idx="25">
                  <c:v>WARRENPOINT / BURREN</c:v>
                </c:pt>
                <c:pt idx="26">
                  <c:v>ARMAGH</c:v>
                </c:pt>
                <c:pt idx="27">
                  <c:v>CRUMLIN</c:v>
                </c:pt>
                <c:pt idx="28">
                  <c:v>BANBRIDGE</c:v>
                </c:pt>
                <c:pt idx="29">
                  <c:v>LIMAVADY</c:v>
                </c:pt>
                <c:pt idx="30">
                  <c:v>BALLYNAHINCH</c:v>
                </c:pt>
                <c:pt idx="31">
                  <c:v>DONAGHADEE</c:v>
                </c:pt>
                <c:pt idx="32">
                  <c:v>COMBER</c:v>
                </c:pt>
                <c:pt idx="33">
                  <c:v>CARRICKFERGUS</c:v>
                </c:pt>
                <c:pt idx="34">
                  <c:v>BALLYCLARE</c:v>
                </c:pt>
                <c:pt idx="35">
                  <c:v>PORTRUSH</c:v>
                </c:pt>
                <c:pt idx="36">
                  <c:v>MAGHERAFELT</c:v>
                </c:pt>
                <c:pt idx="37">
                  <c:v>PORTSTEWART</c:v>
                </c:pt>
                <c:pt idx="38">
                  <c:v>HOLYWOOD</c:v>
                </c:pt>
                <c:pt idx="39">
                  <c:v>CRAIGAVON</c:v>
                </c:pt>
                <c:pt idx="40">
                  <c:v>NEWCASTLE</c:v>
                </c:pt>
                <c:pt idx="41">
                  <c:v>CARRYDUFF</c:v>
                </c:pt>
              </c:strCache>
            </c:strRef>
          </c:cat>
          <c:val>
            <c:numRef>
              <c:f>'[Town Centre Vacancy Rates - updated.xls]Sheet8'!$B$4:$B$45</c:f>
              <c:numCache>
                <c:formatCode>0.0%</c:formatCode>
                <c:ptCount val="42"/>
                <c:pt idx="0">
                  <c:v>0.3369247626004383</c:v>
                </c:pt>
                <c:pt idx="1">
                  <c:v>0.28346456692913385</c:v>
                </c:pt>
                <c:pt idx="2">
                  <c:v>0.24870466321243523</c:v>
                </c:pt>
                <c:pt idx="3">
                  <c:v>0.23728813559322035</c:v>
                </c:pt>
                <c:pt idx="4">
                  <c:v>0.23333333333333334</c:v>
                </c:pt>
                <c:pt idx="5">
                  <c:v>0.2318840579710145</c:v>
                </c:pt>
                <c:pt idx="6">
                  <c:v>0.22460658082975679</c:v>
                </c:pt>
                <c:pt idx="7">
                  <c:v>0.2215104044891279</c:v>
                </c:pt>
                <c:pt idx="8">
                  <c:v>0.22025316455696203</c:v>
                </c:pt>
                <c:pt idx="9">
                  <c:v>0.20875912408759123</c:v>
                </c:pt>
                <c:pt idx="10">
                  <c:v>0.20627802690582961</c:v>
                </c:pt>
                <c:pt idx="11">
                  <c:v>0.20037105751391465</c:v>
                </c:pt>
                <c:pt idx="12">
                  <c:v>0.2</c:v>
                </c:pt>
                <c:pt idx="13">
                  <c:v>0.19699248120300752</c:v>
                </c:pt>
                <c:pt idx="14">
                  <c:v>0.18958333333333333</c:v>
                </c:pt>
                <c:pt idx="15">
                  <c:v>0.18816568047337279</c:v>
                </c:pt>
                <c:pt idx="16">
                  <c:v>0.18414322250639387</c:v>
                </c:pt>
                <c:pt idx="17">
                  <c:v>0.18367346938775511</c:v>
                </c:pt>
                <c:pt idx="18">
                  <c:v>0.18229166666666666</c:v>
                </c:pt>
                <c:pt idx="19">
                  <c:v>0.18213058419243985</c:v>
                </c:pt>
                <c:pt idx="20">
                  <c:v>0.17938144329896907</c:v>
                </c:pt>
                <c:pt idx="21">
                  <c:v>0.17667844522968199</c:v>
                </c:pt>
                <c:pt idx="22">
                  <c:v>0.17218543046357615</c:v>
                </c:pt>
                <c:pt idx="23">
                  <c:v>0.16770186335403728</c:v>
                </c:pt>
                <c:pt idx="24">
                  <c:v>0.16666666666666666</c:v>
                </c:pt>
                <c:pt idx="25">
                  <c:v>0.16666666666666666</c:v>
                </c:pt>
                <c:pt idx="26">
                  <c:v>0.16238159675236807</c:v>
                </c:pt>
                <c:pt idx="27">
                  <c:v>0.16161616161616163</c:v>
                </c:pt>
                <c:pt idx="28">
                  <c:v>0.16091954022988506</c:v>
                </c:pt>
                <c:pt idx="29">
                  <c:v>0.15789473684210525</c:v>
                </c:pt>
                <c:pt idx="30">
                  <c:v>0.15343915343915343</c:v>
                </c:pt>
                <c:pt idx="31">
                  <c:v>0.14285714285714285</c:v>
                </c:pt>
                <c:pt idx="32">
                  <c:v>0.13636363636363635</c:v>
                </c:pt>
                <c:pt idx="33">
                  <c:v>0.13531353135313531</c:v>
                </c:pt>
                <c:pt idx="34">
                  <c:v>0.13300492610837439</c:v>
                </c:pt>
                <c:pt idx="35">
                  <c:v>0.12977099236641221</c:v>
                </c:pt>
                <c:pt idx="36">
                  <c:v>0.11414392059553349</c:v>
                </c:pt>
                <c:pt idx="37">
                  <c:v>0.10891089108910891</c:v>
                </c:pt>
                <c:pt idx="38">
                  <c:v>0.10576923076923077</c:v>
                </c:pt>
                <c:pt idx="39">
                  <c:v>9.7087378640776698E-2</c:v>
                </c:pt>
                <c:pt idx="40">
                  <c:v>8.5585585585585586E-2</c:v>
                </c:pt>
                <c:pt idx="41">
                  <c:v>6.25E-2</c:v>
                </c:pt>
              </c:numCache>
            </c:numRef>
          </c:val>
          <c:extLst>
            <c:ext xmlns:c16="http://schemas.microsoft.com/office/drawing/2014/chart" uri="{C3380CC4-5D6E-409C-BE32-E72D297353CC}">
              <c16:uniqueId val="{0000000E-C186-44AF-8861-1F3BF8F46439}"/>
            </c:ext>
          </c:extLst>
        </c:ser>
        <c:dLbls>
          <c:showLegendKey val="0"/>
          <c:showVal val="0"/>
          <c:showCatName val="0"/>
          <c:showSerName val="0"/>
          <c:showPercent val="0"/>
          <c:showBubbleSize val="0"/>
        </c:dLbls>
        <c:gapWidth val="219"/>
        <c:overlap val="-27"/>
        <c:axId val="1779569968"/>
        <c:axId val="1851513872"/>
      </c:barChart>
      <c:catAx>
        <c:axId val="177956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513872"/>
        <c:crosses val="autoZero"/>
        <c:auto val="1"/>
        <c:lblAlgn val="ctr"/>
        <c:lblOffset val="100"/>
        <c:tickLblSkip val="1"/>
        <c:noMultiLvlLbl val="0"/>
      </c:catAx>
      <c:valAx>
        <c:axId val="1851513872"/>
        <c:scaling>
          <c:orientation val="minMax"/>
          <c:max val="0.35000000000000003"/>
        </c:scaling>
        <c:delete val="0"/>
        <c:axPos val="l"/>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9569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4</cp:revision>
  <dcterms:created xsi:type="dcterms:W3CDTF">2023-12-15T08:48:00Z</dcterms:created>
  <dcterms:modified xsi:type="dcterms:W3CDTF">2023-12-15T09:56:00Z</dcterms:modified>
</cp:coreProperties>
</file>