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F153" w14:textId="77777777" w:rsidR="00C17259" w:rsidRPr="008C3787" w:rsidRDefault="00814542">
      <w:pPr>
        <w:rPr>
          <w:b/>
        </w:rPr>
      </w:pPr>
      <w:r>
        <w:rPr>
          <w:b/>
        </w:rPr>
        <w:t>Culture and Arts</w:t>
      </w:r>
    </w:p>
    <w:p w14:paraId="4B72AC35" w14:textId="532A7507" w:rsidR="00144DDE" w:rsidRDefault="008C3787" w:rsidP="00814542">
      <w:r>
        <w:t xml:space="preserve">The </w:t>
      </w:r>
      <w:r w:rsidR="00814542">
        <w:t xml:space="preserve">Continuous Household Survey </w:t>
      </w:r>
      <w:r w:rsidR="00284A71">
        <w:t>(CHS)</w:t>
      </w:r>
      <w:r w:rsidR="00435F79">
        <w:rPr>
          <w:rStyle w:val="FootnoteReference"/>
        </w:rPr>
        <w:footnoteReference w:id="1"/>
      </w:r>
      <w:r w:rsidR="00284A71">
        <w:t xml:space="preserve"> </w:t>
      </w:r>
      <w:r w:rsidR="00814542">
        <w:t>is designed to provide a regular source of information on a variety of issues relevant to Northern Ireland including participation in arts and culture.</w:t>
      </w:r>
      <w:r w:rsidR="00435F79">
        <w:t xml:space="preserve"> </w:t>
      </w:r>
      <w:r w:rsidR="00CA4354">
        <w:t xml:space="preserve">Data from the </w:t>
      </w:r>
      <w:r w:rsidR="00A9303E">
        <w:t>20</w:t>
      </w:r>
      <w:r w:rsidR="00CA4354">
        <w:t>22</w:t>
      </w:r>
      <w:r w:rsidR="00A9303E">
        <w:t>/2</w:t>
      </w:r>
      <w:r w:rsidR="00CA4354">
        <w:t>3 survey</w:t>
      </w:r>
      <w:r w:rsidR="00144DDE">
        <w:t xml:space="preserve"> show</w:t>
      </w:r>
      <w:r w:rsidR="00A9303E">
        <w:t>s</w:t>
      </w:r>
      <w:r w:rsidR="00144DDE">
        <w:t xml:space="preserve"> that engagement and participation in culture and arts </w:t>
      </w:r>
      <w:r w:rsidR="00704EA7">
        <w:t xml:space="preserve">by adults </w:t>
      </w:r>
      <w:r w:rsidR="00144DDE">
        <w:t>in Armagh</w:t>
      </w:r>
      <w:r w:rsidR="00535EBD">
        <w:t xml:space="preserve"> City, Banbridge and Craigavon wa</w:t>
      </w:r>
      <w:r w:rsidR="00144DDE">
        <w:t>s similar</w:t>
      </w:r>
      <w:r w:rsidR="00C42B0F">
        <w:t xml:space="preserve"> to </w:t>
      </w:r>
      <w:r w:rsidR="00144DDE">
        <w:t>that for Northern Ireland overall.</w:t>
      </w:r>
    </w:p>
    <w:p w14:paraId="094549CC" w14:textId="6B0785EA" w:rsidR="00381E1E" w:rsidRDefault="00142398">
      <w:r>
        <w:t>In the borough</w:t>
      </w:r>
      <w:r w:rsidR="00A95C11">
        <w:t>,</w:t>
      </w:r>
      <w:r>
        <w:t xml:space="preserve"> 8</w:t>
      </w:r>
      <w:r w:rsidR="00CA4354">
        <w:t>3</w:t>
      </w:r>
      <w:r>
        <w:t>% of respondents had engaged in culture and arts in the 12 months prior to being surveyed</w:t>
      </w:r>
      <w:r w:rsidR="00A95C11">
        <w:t xml:space="preserve"> compared to 8</w:t>
      </w:r>
      <w:r w:rsidR="00CA4354">
        <w:t>0</w:t>
      </w:r>
      <w:r w:rsidR="00A95C11">
        <w:t xml:space="preserve">% in Northern Ireland overall.  </w:t>
      </w:r>
      <w:r w:rsidR="00CA4354">
        <w:t>Just under</w:t>
      </w:r>
      <w:r w:rsidR="00A95C11">
        <w:t xml:space="preserve"> a third (3</w:t>
      </w:r>
      <w:r w:rsidR="00CA4354">
        <w:t>0</w:t>
      </w:r>
      <w:r w:rsidR="0062713E">
        <w:t>%)</w:t>
      </w:r>
      <w:r w:rsidR="00A47314">
        <w:t xml:space="preserve"> </w:t>
      </w:r>
      <w:r w:rsidR="0062713E">
        <w:t>of those surveyed in the borough had participated in arts activities</w:t>
      </w:r>
      <w:r w:rsidR="00CA4354">
        <w:t>, slightly higher than the comparable figure for</w:t>
      </w:r>
      <w:r w:rsidR="00A95C11">
        <w:t xml:space="preserve"> Northern Ireland overall (</w:t>
      </w:r>
      <w:r w:rsidR="00CA4354">
        <w:t>28</w:t>
      </w:r>
      <w:r w:rsidR="0062713E">
        <w:t xml:space="preserve">%). </w:t>
      </w:r>
      <w:r w:rsidR="00000FE7">
        <w:t xml:space="preserve">It was reported </w:t>
      </w:r>
      <w:r w:rsidR="00000FE7" w:rsidRPr="00000FE7">
        <w:t>that</w:t>
      </w:r>
      <w:r w:rsidR="00A95C11" w:rsidRPr="00000FE7">
        <w:t xml:space="preserve"> </w:t>
      </w:r>
      <w:r w:rsidR="00000FE7" w:rsidRPr="00000FE7">
        <w:t>72</w:t>
      </w:r>
      <w:r w:rsidR="00A95C11" w:rsidRPr="00000FE7">
        <w:t xml:space="preserve">% of respondents </w:t>
      </w:r>
      <w:r w:rsidR="00000FE7" w:rsidRPr="00000FE7">
        <w:t xml:space="preserve">from the borough </w:t>
      </w:r>
      <w:r w:rsidR="00A95C11" w:rsidRPr="00000FE7">
        <w:t>stated that they had attended an arts event</w:t>
      </w:r>
      <w:r w:rsidR="00000FE7" w:rsidRPr="00000FE7">
        <w:t xml:space="preserve"> within the previous year</w:t>
      </w:r>
      <w:r w:rsidR="00A95C11" w:rsidRPr="00000FE7">
        <w:t xml:space="preserve">, </w:t>
      </w:r>
      <w:r w:rsidR="00000FE7" w:rsidRPr="00000FE7">
        <w:t>similar to Northern Ireland at 71%.</w:t>
      </w:r>
      <w:r w:rsidR="006C7C99" w:rsidRPr="00000FE7">
        <w:t xml:space="preserve"> </w:t>
      </w:r>
      <w:r w:rsidR="00000FE7" w:rsidRPr="00000FE7">
        <w:t>Approximately one in every 5 (21</w:t>
      </w:r>
      <w:r w:rsidR="00A048A3" w:rsidRPr="00000FE7">
        <w:t>%) of those surveyed in the borough had used the public library service in the previous 12 months</w:t>
      </w:r>
      <w:r w:rsidR="0090727E" w:rsidRPr="00000FE7">
        <w:t xml:space="preserve"> while for Northern Ireland overall the figure was </w:t>
      </w:r>
      <w:r w:rsidR="00000FE7" w:rsidRPr="00000FE7">
        <w:t>slightly higher</w:t>
      </w:r>
      <w:r w:rsidR="00EE6727" w:rsidRPr="00000FE7">
        <w:t xml:space="preserve"> at 2</w:t>
      </w:r>
      <w:r w:rsidR="00000FE7" w:rsidRPr="00000FE7">
        <w:t>2</w:t>
      </w:r>
      <w:r w:rsidR="0090727E" w:rsidRPr="00000FE7">
        <w:t>%.</w:t>
      </w:r>
      <w:r w:rsidR="00EE6727" w:rsidRPr="00000FE7">
        <w:t xml:space="preserve"> </w:t>
      </w:r>
      <w:r w:rsidR="00F56A12" w:rsidRPr="00000FE7">
        <w:t xml:space="preserve"> </w:t>
      </w:r>
      <w:r w:rsidR="007932C0" w:rsidRPr="00000FE7">
        <w:t>Only 3</w:t>
      </w:r>
      <w:r w:rsidR="00000FE7" w:rsidRPr="00000FE7">
        <w:t>2</w:t>
      </w:r>
      <w:r w:rsidR="00F56A12" w:rsidRPr="00000FE7">
        <w:t xml:space="preserve">% of respondents in Armagh City, Banbridge and Craigavon had visited a museum or science centre in the previous 12 months, </w:t>
      </w:r>
      <w:r w:rsidR="00000FE7" w:rsidRPr="00000FE7">
        <w:t xml:space="preserve">the same as Northern Ireland overall. </w:t>
      </w:r>
      <w:r w:rsidR="00F56A12" w:rsidRPr="00000FE7">
        <w:t xml:space="preserve"> </w:t>
      </w:r>
      <w:r w:rsidR="007932C0" w:rsidRPr="00000FE7">
        <w:t xml:space="preserve">Finally, just 4% of respondents from the borough </w:t>
      </w:r>
      <w:r w:rsidR="00F56A12" w:rsidRPr="00000FE7">
        <w:t xml:space="preserve">had visited </w:t>
      </w:r>
      <w:r w:rsidR="006C7C99" w:rsidRPr="00000FE7">
        <w:t>the Public Record Office of Northern Ireland (</w:t>
      </w:r>
      <w:r w:rsidR="00F56A12" w:rsidRPr="00000FE7">
        <w:t>PRONI</w:t>
      </w:r>
      <w:r w:rsidR="006C7C99" w:rsidRPr="00000FE7">
        <w:t>)</w:t>
      </w:r>
      <w:r w:rsidR="00F56A12" w:rsidRPr="00000FE7">
        <w:t xml:space="preserve"> </w:t>
      </w:r>
      <w:r w:rsidR="00000FE7" w:rsidRPr="00000FE7">
        <w:t>or used PRONI online services within the</w:t>
      </w:r>
      <w:r w:rsidR="007932C0" w:rsidRPr="00000FE7">
        <w:t xml:space="preserve"> twelve months prior to the survey.  The equivalent figure for</w:t>
      </w:r>
      <w:r w:rsidR="00F56A12" w:rsidRPr="00000FE7">
        <w:t xml:space="preserve"> Northe</w:t>
      </w:r>
      <w:r w:rsidR="006C7C99" w:rsidRPr="00000FE7">
        <w:t>rn Ireland</w:t>
      </w:r>
      <w:r w:rsidR="007932C0" w:rsidRPr="00000FE7">
        <w:t xml:space="preserve"> was 5%</w:t>
      </w:r>
      <w:r w:rsidR="00F56A12" w:rsidRPr="00000FE7">
        <w:t>.</w:t>
      </w:r>
    </w:p>
    <w:tbl>
      <w:tblPr>
        <w:tblStyle w:val="GridTable1Light"/>
        <w:tblW w:w="8637" w:type="dxa"/>
        <w:tblLayout w:type="fixed"/>
        <w:tblLook w:val="04A0" w:firstRow="1" w:lastRow="0" w:firstColumn="1" w:lastColumn="0" w:noHBand="0" w:noVBand="1"/>
        <w:tblCaption w:val="Engagement in culture and arts by adults in Armagh City, Banbridge and Craigavon Borough and Northern Ireland 2022/23. "/>
      </w:tblPr>
      <w:tblGrid>
        <w:gridCol w:w="3460"/>
        <w:gridCol w:w="2588"/>
        <w:gridCol w:w="2589"/>
      </w:tblGrid>
      <w:tr w:rsidR="00A95C11" w:rsidRPr="00A95C11" w14:paraId="2FE2ACFD" w14:textId="77777777" w:rsidTr="00A9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hideMark/>
          </w:tcPr>
          <w:p w14:paraId="0FC562F7" w14:textId="77777777" w:rsidR="00A95C11" w:rsidRPr="00A95C11" w:rsidRDefault="00A95C11" w:rsidP="00A95C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8" w:type="dxa"/>
            <w:hideMark/>
          </w:tcPr>
          <w:p w14:paraId="2272539B" w14:textId="77777777" w:rsidR="00A95C11" w:rsidRPr="00A95C11" w:rsidRDefault="00A95C11" w:rsidP="00A9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 (%)</w:t>
            </w:r>
          </w:p>
        </w:tc>
        <w:tc>
          <w:tcPr>
            <w:tcW w:w="2589" w:type="dxa"/>
            <w:hideMark/>
          </w:tcPr>
          <w:p w14:paraId="46B71C56" w14:textId="77777777" w:rsidR="00A95C11" w:rsidRDefault="00A95C11" w:rsidP="00A9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Northern Ireland </w:t>
            </w:r>
          </w:p>
          <w:p w14:paraId="16FE2BCA" w14:textId="40E5B0A9" w:rsidR="00A95C11" w:rsidRPr="00A95C11" w:rsidRDefault="00A95C11" w:rsidP="00A9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(%)</w:t>
            </w:r>
          </w:p>
        </w:tc>
      </w:tr>
      <w:tr w:rsidR="00CA4354" w:rsidRPr="00A95C11" w14:paraId="3A190B5D" w14:textId="77777777" w:rsidTr="00102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26134020" w14:textId="77777777" w:rsidR="00CA4354" w:rsidRPr="00A95C11" w:rsidRDefault="00CA4354" w:rsidP="00CA43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Engaged in culture and arts</w:t>
            </w:r>
          </w:p>
        </w:tc>
        <w:tc>
          <w:tcPr>
            <w:tcW w:w="2588" w:type="dxa"/>
            <w:noWrap/>
            <w:vAlign w:val="center"/>
            <w:hideMark/>
          </w:tcPr>
          <w:p w14:paraId="4B8FD9C6" w14:textId="42585848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89" w:type="dxa"/>
            <w:noWrap/>
            <w:vAlign w:val="center"/>
            <w:hideMark/>
          </w:tcPr>
          <w:p w14:paraId="68A26C13" w14:textId="6E084F07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CA4354" w:rsidRPr="00A95C11" w14:paraId="0181E8A5" w14:textId="77777777" w:rsidTr="00102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6DD5CF4A" w14:textId="77777777" w:rsidR="00CA4354" w:rsidRPr="00A95C11" w:rsidRDefault="00CA4354" w:rsidP="00CA43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Participated in arts activities</w:t>
            </w:r>
          </w:p>
        </w:tc>
        <w:tc>
          <w:tcPr>
            <w:tcW w:w="2588" w:type="dxa"/>
            <w:noWrap/>
            <w:vAlign w:val="center"/>
            <w:hideMark/>
          </w:tcPr>
          <w:p w14:paraId="3E7E484A" w14:textId="7D8B8CA1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89" w:type="dxa"/>
            <w:noWrap/>
            <w:vAlign w:val="center"/>
            <w:hideMark/>
          </w:tcPr>
          <w:p w14:paraId="0DA802D9" w14:textId="06F7C7FC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A4354" w:rsidRPr="00A95C11" w14:paraId="27F70FAE" w14:textId="77777777" w:rsidTr="00102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6FC6C30D" w14:textId="77777777" w:rsidR="00CA4354" w:rsidRPr="00A95C11" w:rsidRDefault="00CA4354" w:rsidP="00CA43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Attended an arts event</w:t>
            </w:r>
          </w:p>
        </w:tc>
        <w:tc>
          <w:tcPr>
            <w:tcW w:w="2588" w:type="dxa"/>
            <w:noWrap/>
            <w:vAlign w:val="center"/>
            <w:hideMark/>
          </w:tcPr>
          <w:p w14:paraId="3735C402" w14:textId="5B5A9CA4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589" w:type="dxa"/>
            <w:noWrap/>
            <w:vAlign w:val="center"/>
            <w:hideMark/>
          </w:tcPr>
          <w:p w14:paraId="24AD5087" w14:textId="0B5616F9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A4354" w:rsidRPr="00A95C11" w14:paraId="1A6243C8" w14:textId="77777777" w:rsidTr="00102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4C21485F" w14:textId="77777777" w:rsidR="00CA4354" w:rsidRPr="00A95C11" w:rsidRDefault="00CA4354" w:rsidP="00CA43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Used the public library service</w:t>
            </w:r>
          </w:p>
        </w:tc>
        <w:tc>
          <w:tcPr>
            <w:tcW w:w="2588" w:type="dxa"/>
            <w:noWrap/>
            <w:vAlign w:val="center"/>
            <w:hideMark/>
          </w:tcPr>
          <w:p w14:paraId="33E24D43" w14:textId="4AF5D937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89" w:type="dxa"/>
            <w:noWrap/>
            <w:vAlign w:val="center"/>
            <w:hideMark/>
          </w:tcPr>
          <w:p w14:paraId="0BBADAA3" w14:textId="5795C4C0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A4354" w:rsidRPr="00A95C11" w14:paraId="59779DC5" w14:textId="77777777" w:rsidTr="00102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46CF1BB5" w14:textId="77777777" w:rsidR="00CA4354" w:rsidRPr="00A95C11" w:rsidRDefault="00CA4354" w:rsidP="00CA43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Visited a museum or science centre</w:t>
            </w:r>
          </w:p>
        </w:tc>
        <w:tc>
          <w:tcPr>
            <w:tcW w:w="2588" w:type="dxa"/>
            <w:noWrap/>
            <w:vAlign w:val="center"/>
            <w:hideMark/>
          </w:tcPr>
          <w:p w14:paraId="1266D69C" w14:textId="3A99E8D8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89" w:type="dxa"/>
            <w:noWrap/>
            <w:vAlign w:val="center"/>
            <w:hideMark/>
          </w:tcPr>
          <w:p w14:paraId="0E43C8B6" w14:textId="6CB5BFB4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CA4354" w:rsidRPr="00A95C11" w14:paraId="39F87C0C" w14:textId="77777777" w:rsidTr="00102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5CEC7C7C" w14:textId="77777777" w:rsidR="00CA4354" w:rsidRPr="00A95C11" w:rsidRDefault="00CA4354" w:rsidP="00CA43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C11">
              <w:rPr>
                <w:rFonts w:ascii="Calibri" w:eastAsia="Times New Roman" w:hAnsi="Calibri" w:cs="Calibri"/>
                <w:color w:val="000000"/>
                <w:lang w:eastAsia="en-GB"/>
              </w:rPr>
              <w:t>Visited PRONI</w:t>
            </w:r>
          </w:p>
        </w:tc>
        <w:tc>
          <w:tcPr>
            <w:tcW w:w="2588" w:type="dxa"/>
            <w:noWrap/>
            <w:vAlign w:val="center"/>
            <w:hideMark/>
          </w:tcPr>
          <w:p w14:paraId="77708CCA" w14:textId="702172BA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9" w:type="dxa"/>
            <w:noWrap/>
            <w:vAlign w:val="center"/>
            <w:hideMark/>
          </w:tcPr>
          <w:p w14:paraId="33D6293B" w14:textId="50904506" w:rsidR="00CA4354" w:rsidRPr="00A95C11" w:rsidRDefault="00CA4354" w:rsidP="00CA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41CEF009" w14:textId="714901D4"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704EA7">
        <w:rPr>
          <w:i/>
          <w:sz w:val="20"/>
          <w:szCs w:val="20"/>
        </w:rPr>
        <w:t xml:space="preserve">Engagement in culture and arts by adults in Armagh City, Banbridge and Craigavon Borough and Northern Ireland </w:t>
      </w:r>
      <w:r w:rsidR="00A95C11">
        <w:rPr>
          <w:i/>
          <w:sz w:val="20"/>
          <w:szCs w:val="20"/>
        </w:rPr>
        <w:t>20</w:t>
      </w:r>
      <w:r w:rsidR="00CA4354">
        <w:rPr>
          <w:i/>
          <w:sz w:val="20"/>
          <w:szCs w:val="20"/>
        </w:rPr>
        <w:t>22</w:t>
      </w:r>
      <w:r w:rsidR="00A95C11">
        <w:rPr>
          <w:i/>
          <w:sz w:val="20"/>
          <w:szCs w:val="20"/>
        </w:rPr>
        <w:t>/2</w:t>
      </w:r>
      <w:r w:rsidR="00CA4354">
        <w:rPr>
          <w:i/>
          <w:sz w:val="20"/>
          <w:szCs w:val="20"/>
        </w:rPr>
        <w:t>3</w:t>
      </w:r>
      <w:r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Survey, Department for Communities</w:t>
      </w:r>
      <w:r w:rsidRPr="008C1EDC">
        <w:rPr>
          <w:i/>
          <w:sz w:val="20"/>
          <w:szCs w:val="20"/>
        </w:rPr>
        <w:t>.</w:t>
      </w:r>
    </w:p>
    <w:p w14:paraId="18D81B41" w14:textId="77777777" w:rsidR="0035344A" w:rsidRDefault="0035344A">
      <w:pPr>
        <w:rPr>
          <w:i/>
          <w:sz w:val="20"/>
          <w:szCs w:val="20"/>
        </w:rPr>
      </w:pPr>
    </w:p>
    <w:p w14:paraId="484A3956" w14:textId="0F61DD1A" w:rsidR="00000FE7" w:rsidRDefault="007932C0">
      <w:pPr>
        <w:rPr>
          <w:i/>
          <w:sz w:val="20"/>
          <w:szCs w:val="20"/>
        </w:rPr>
      </w:pPr>
      <w:r w:rsidRPr="007932C0">
        <w:rPr>
          <w:i/>
          <w:sz w:val="20"/>
          <w:szCs w:val="20"/>
        </w:rPr>
        <w:t xml:space="preserve"> </w:t>
      </w:r>
    </w:p>
    <w:p w14:paraId="3ADB5792" w14:textId="76E9538D" w:rsidR="00D2477D" w:rsidRDefault="00000FE7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36F6B94" wp14:editId="63803579">
            <wp:extent cx="5748655" cy="2878372"/>
            <wp:effectExtent l="0" t="0" r="4445" b="17780"/>
            <wp:docPr id="1" name="Chart 1" title="Engagement in culture and arts by adults in Armagh City, Banbridge and Craigavon Borough and Northern Ireland 2022/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32C0">
        <w:rPr>
          <w:i/>
          <w:sz w:val="20"/>
          <w:szCs w:val="20"/>
        </w:rPr>
        <w:t>Figure 1: Engagement in culture and arts by adults in Armagh City, Banbridge and Craigavon Borough and Northern Ireland 20</w:t>
      </w:r>
      <w:r w:rsidR="0035344A">
        <w:rPr>
          <w:i/>
          <w:sz w:val="20"/>
          <w:szCs w:val="20"/>
        </w:rPr>
        <w:t>22/23</w:t>
      </w:r>
      <w:r w:rsidR="007932C0" w:rsidRPr="008C1EDC">
        <w:rPr>
          <w:i/>
          <w:sz w:val="20"/>
          <w:szCs w:val="20"/>
        </w:rPr>
        <w:t xml:space="preserve">. Source: </w:t>
      </w:r>
      <w:r w:rsidR="007932C0">
        <w:rPr>
          <w:i/>
          <w:sz w:val="20"/>
          <w:szCs w:val="20"/>
        </w:rPr>
        <w:t>Continuous Household Survey, Department for Communities</w:t>
      </w:r>
      <w:r w:rsidR="007932C0" w:rsidRPr="008C1EDC">
        <w:rPr>
          <w:i/>
          <w:sz w:val="20"/>
          <w:szCs w:val="20"/>
        </w:rPr>
        <w:t>.</w:t>
      </w:r>
    </w:p>
    <w:p w14:paraId="2BC956B3" w14:textId="77777777" w:rsidR="00381E1E" w:rsidRDefault="00535EBD" w:rsidP="00381E1E">
      <w:r>
        <w:t>The N</w:t>
      </w:r>
      <w:r w:rsidR="005139F7">
        <w:t>orthern Ireland Life and Times S</w:t>
      </w:r>
      <w:r>
        <w:t xml:space="preserve">urvey </w:t>
      </w:r>
      <w:r w:rsidR="005139F7">
        <w:t>(NILT</w:t>
      </w:r>
      <w:r w:rsidR="00284A71">
        <w:t>)</w:t>
      </w:r>
      <w:r w:rsidR="00435F79">
        <w:rPr>
          <w:rStyle w:val="FootnoteReference"/>
        </w:rPr>
        <w:footnoteReference w:id="2"/>
      </w:r>
      <w:r w:rsidR="00284A71">
        <w:t xml:space="preserve"> </w:t>
      </w:r>
      <w:r>
        <w:t>deals with the attitudes, values and beliefs of the people in Northern Ireland on a wide range of social policy issues</w:t>
      </w:r>
      <w:r w:rsidR="00284A71">
        <w:t>, including culture and traditions.</w:t>
      </w:r>
    </w:p>
    <w:p w14:paraId="660FCBEB" w14:textId="77777777" w:rsidR="00284A71" w:rsidRDefault="005139F7" w:rsidP="00381E1E">
      <w:r>
        <w:t>The NILT</w:t>
      </w:r>
      <w:r w:rsidR="00284A71">
        <w:t xml:space="preserve"> survey asks respondents how much they agree that:</w:t>
      </w:r>
    </w:p>
    <w:p w14:paraId="070EEDBC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Catholic community add to the richness and diversity of Northern Ireland society.</w:t>
      </w:r>
    </w:p>
    <w:p w14:paraId="62C30655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Protestant Community add to the richness and diversity of Northern Ireland society.</w:t>
      </w:r>
    </w:p>
    <w:p w14:paraId="6ED6DE31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people from different minority ethnic groups adds to the richness and diversity of Northern Ireland society.</w:t>
      </w:r>
    </w:p>
    <w:p w14:paraId="6F17E3EC" w14:textId="4D62CE01" w:rsidR="00236585" w:rsidRDefault="0098260A" w:rsidP="00284A71">
      <w:r>
        <w:t xml:space="preserve">Results for Armagh City, Banbridge and Craigavon </w:t>
      </w:r>
      <w:r w:rsidR="006C7C99">
        <w:t>Boroug</w:t>
      </w:r>
      <w:r w:rsidR="00236585">
        <w:t>h for the combined years of 20</w:t>
      </w:r>
      <w:r w:rsidR="005049DD">
        <w:t>20</w:t>
      </w:r>
      <w:r w:rsidR="00236585">
        <w:t>, 202</w:t>
      </w:r>
      <w:r w:rsidR="005049DD">
        <w:t xml:space="preserve">1 </w:t>
      </w:r>
      <w:r w:rsidR="00236585">
        <w:t>and 202</w:t>
      </w:r>
      <w:r w:rsidR="005049DD">
        <w:t>2</w:t>
      </w:r>
      <w:r w:rsidR="006C7C99">
        <w:t xml:space="preserve"> </w:t>
      </w:r>
      <w:r>
        <w:t>are similar to those for Northern Ireland overall when it comes to the culture and traditions of the Catholic and Protestant community</w:t>
      </w:r>
      <w:r w:rsidR="001E18DF">
        <w:t xml:space="preserve"> adding to the richness and diversity of Northern Ireland society</w:t>
      </w:r>
      <w:r>
        <w:t>.</w:t>
      </w:r>
      <w:r w:rsidR="002B5AEA">
        <w:t xml:space="preserve"> </w:t>
      </w:r>
      <w:r w:rsidR="00E778A0">
        <w:t xml:space="preserve">Approximately </w:t>
      </w:r>
      <w:r w:rsidR="0067115F">
        <w:t>65</w:t>
      </w:r>
      <w:r w:rsidR="001E18DF">
        <w:t xml:space="preserve">% of respondents in the borough agree that the culture and traditions of the Catholic community add to the richness and diversity of Northern Ireland society. </w:t>
      </w:r>
      <w:r w:rsidR="0067115F">
        <w:t>The proportion in agreement was slightly higher in Northern Ireland overall</w:t>
      </w:r>
      <w:r w:rsidR="00E45AFE">
        <w:t xml:space="preserve"> (69.</w:t>
      </w:r>
      <w:r w:rsidR="005049DD">
        <w:t>2</w:t>
      </w:r>
      <w:r w:rsidR="00E45AFE">
        <w:t>%)</w:t>
      </w:r>
      <w:r w:rsidR="0067115F">
        <w:t xml:space="preserve">.  </w:t>
      </w:r>
      <w:r w:rsidR="002B5AEA">
        <w:t>Results were similar for those surveyed in</w:t>
      </w:r>
      <w:r w:rsidR="001E18DF">
        <w:t xml:space="preserve"> the borough</w:t>
      </w:r>
      <w:r w:rsidR="00E778A0">
        <w:t xml:space="preserve"> (</w:t>
      </w:r>
      <w:r w:rsidR="005049DD">
        <w:t>63.9</w:t>
      </w:r>
      <w:r w:rsidR="002B5AEA">
        <w:t>%)</w:t>
      </w:r>
      <w:r w:rsidR="001E18DF">
        <w:t xml:space="preserve"> and Northern Ireland </w:t>
      </w:r>
      <w:r w:rsidR="00E778A0">
        <w:t>(</w:t>
      </w:r>
      <w:r w:rsidR="005049DD">
        <w:t>64</w:t>
      </w:r>
      <w:r w:rsidR="002B5AEA">
        <w:t xml:space="preserve">%) </w:t>
      </w:r>
      <w:r w:rsidR="001E18DF">
        <w:t>agree</w:t>
      </w:r>
      <w:r w:rsidR="002B5AEA">
        <w:t>ing</w:t>
      </w:r>
      <w:r w:rsidR="001E18DF">
        <w:t xml:space="preserve"> that the culture and traditions of the Protestant community</w:t>
      </w:r>
      <w:r>
        <w:t xml:space="preserve"> </w:t>
      </w:r>
      <w:r w:rsidR="001E18DF">
        <w:t>add to the richness and diversity of Northern Ireland society.</w:t>
      </w:r>
      <w:r w:rsidR="00AB070E">
        <w:t xml:space="preserve"> Agreement that the culture and traditions of different minority ethnic groups add to the richness and diversity of Norther</w:t>
      </w:r>
      <w:r w:rsidR="002B5AEA">
        <w:t xml:space="preserve">n Ireland society </w:t>
      </w:r>
      <w:r w:rsidR="005049DD">
        <w:t>is similar to that</w:t>
      </w:r>
      <w:r w:rsidR="00AB070E">
        <w:t xml:space="preserve"> for Catholic/Protestant communities. The levels of agreement in Northern Ireland overall for the culture and traditions of differ</w:t>
      </w:r>
      <w:r w:rsidR="0067115F">
        <w:t xml:space="preserve">ent minority ethnic groups is </w:t>
      </w:r>
      <w:r w:rsidR="005049DD">
        <w:t>66.4</w:t>
      </w:r>
      <w:r w:rsidR="00AB070E">
        <w:t>% while agreement in</w:t>
      </w:r>
      <w:r w:rsidR="00E778A0">
        <w:t xml:space="preserve"> the borough is </w:t>
      </w:r>
      <w:r w:rsidR="005049DD">
        <w:t>slightly</w:t>
      </w:r>
      <w:r w:rsidR="00E778A0">
        <w:t xml:space="preserve"> lower at </w:t>
      </w:r>
      <w:r w:rsidR="005049DD">
        <w:t>61.3</w:t>
      </w:r>
      <w:r w:rsidR="00AB070E"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centage of people who agree that the culture and traditions of the Catholic community/Protestant Community/different minority ethnic groups add to the richness and diversity of Northern Ireland society, Armagh City, Banbridge and Craigavon Borough and Northern Ireland 2018-20"/>
      </w:tblPr>
      <w:tblGrid>
        <w:gridCol w:w="1838"/>
        <w:gridCol w:w="960"/>
        <w:gridCol w:w="1244"/>
        <w:gridCol w:w="1243"/>
        <w:gridCol w:w="1244"/>
        <w:gridCol w:w="1243"/>
        <w:gridCol w:w="1244"/>
      </w:tblGrid>
      <w:tr w:rsidR="00284A71" w14:paraId="4E20B005" w14:textId="77777777" w:rsidTr="000F44CC">
        <w:trPr>
          <w:trHeight w:val="537"/>
          <w:tblHeader/>
        </w:trPr>
        <w:tc>
          <w:tcPr>
            <w:tcW w:w="1838" w:type="dxa"/>
            <w:vMerge w:val="restart"/>
          </w:tcPr>
          <w:p w14:paraId="6F1717E0" w14:textId="77777777" w:rsidR="00284A71" w:rsidRPr="00284A71" w:rsidRDefault="00284A71"/>
        </w:tc>
        <w:tc>
          <w:tcPr>
            <w:tcW w:w="7178" w:type="dxa"/>
            <w:gridSpan w:val="6"/>
          </w:tcPr>
          <w:p w14:paraId="63FBCE28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</w:t>
            </w:r>
            <w:r w:rsidR="00767136" w:rsidRPr="006C7C99">
              <w:rPr>
                <w:b/>
              </w:rPr>
              <w:t>culture and traditions of  . . . . . add to the richness and diversity of Northern Ireland society</w:t>
            </w:r>
          </w:p>
        </w:tc>
      </w:tr>
      <w:tr w:rsidR="00767136" w14:paraId="3246A882" w14:textId="77777777" w:rsidTr="000F44CC">
        <w:trPr>
          <w:trHeight w:val="537"/>
        </w:trPr>
        <w:tc>
          <w:tcPr>
            <w:tcW w:w="1838" w:type="dxa"/>
            <w:vMerge/>
          </w:tcPr>
          <w:p w14:paraId="570D8156" w14:textId="77777777" w:rsidR="00767136" w:rsidRPr="00284A71" w:rsidRDefault="00767136"/>
        </w:tc>
        <w:tc>
          <w:tcPr>
            <w:tcW w:w="2204" w:type="dxa"/>
            <w:gridSpan w:val="2"/>
          </w:tcPr>
          <w:p w14:paraId="3C27B20F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Catholic </w:t>
            </w:r>
          </w:p>
          <w:p w14:paraId="59E6BFEA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community</w:t>
            </w:r>
          </w:p>
        </w:tc>
        <w:tc>
          <w:tcPr>
            <w:tcW w:w="2487" w:type="dxa"/>
            <w:gridSpan w:val="2"/>
          </w:tcPr>
          <w:p w14:paraId="045D6561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The Protestant community</w:t>
            </w:r>
          </w:p>
        </w:tc>
        <w:tc>
          <w:tcPr>
            <w:tcW w:w="2487" w:type="dxa"/>
            <w:gridSpan w:val="2"/>
          </w:tcPr>
          <w:p w14:paraId="0E06E6E6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Different minority </w:t>
            </w:r>
          </w:p>
          <w:p w14:paraId="39D4C2EC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ethnic groups</w:t>
            </w:r>
          </w:p>
        </w:tc>
      </w:tr>
      <w:tr w:rsidR="00284A71" w14:paraId="3786DC56" w14:textId="77777777" w:rsidTr="000F44CC">
        <w:trPr>
          <w:trHeight w:val="215"/>
        </w:trPr>
        <w:tc>
          <w:tcPr>
            <w:tcW w:w="1838" w:type="dxa"/>
            <w:vMerge/>
          </w:tcPr>
          <w:p w14:paraId="5BBB55B9" w14:textId="77777777" w:rsidR="00284A71" w:rsidRPr="00284A71" w:rsidRDefault="00284A71"/>
        </w:tc>
        <w:tc>
          <w:tcPr>
            <w:tcW w:w="960" w:type="dxa"/>
            <w:vAlign w:val="center"/>
          </w:tcPr>
          <w:p w14:paraId="3CD47386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3D60A2F0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F57A110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1FCAAE6B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D91FCEA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24A05FC5" w14:textId="77777777" w:rsidR="00284A71" w:rsidRPr="006C7C99" w:rsidRDefault="00284A71" w:rsidP="000F44CC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</w:tr>
      <w:tr w:rsidR="004E6447" w14:paraId="41AA3235" w14:textId="77777777" w:rsidTr="000814E2">
        <w:trPr>
          <w:trHeight w:val="205"/>
        </w:trPr>
        <w:tc>
          <w:tcPr>
            <w:tcW w:w="1838" w:type="dxa"/>
            <w:vAlign w:val="center"/>
          </w:tcPr>
          <w:p w14:paraId="4BBFABEE" w14:textId="77777777" w:rsidR="004E6447" w:rsidRPr="006C7C99" w:rsidRDefault="004E6447" w:rsidP="004E6447">
            <w:pPr>
              <w:rPr>
                <w:b/>
              </w:rPr>
            </w:pPr>
            <w:r w:rsidRPr="006C7C99">
              <w:rPr>
                <w:b/>
              </w:rPr>
              <w:t>Strongly agree</w:t>
            </w:r>
          </w:p>
        </w:tc>
        <w:tc>
          <w:tcPr>
            <w:tcW w:w="960" w:type="dxa"/>
            <w:vAlign w:val="center"/>
          </w:tcPr>
          <w:p w14:paraId="13339764" w14:textId="4DC93183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23.3%</w:t>
            </w:r>
          </w:p>
        </w:tc>
        <w:tc>
          <w:tcPr>
            <w:tcW w:w="1244" w:type="dxa"/>
            <w:vAlign w:val="center"/>
          </w:tcPr>
          <w:p w14:paraId="3D438735" w14:textId="71596C43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25.9%</w:t>
            </w:r>
          </w:p>
        </w:tc>
        <w:tc>
          <w:tcPr>
            <w:tcW w:w="1243" w:type="dxa"/>
            <w:vAlign w:val="center"/>
          </w:tcPr>
          <w:p w14:paraId="62A6D8B7" w14:textId="74B4C269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18.0%</w:t>
            </w:r>
          </w:p>
        </w:tc>
        <w:tc>
          <w:tcPr>
            <w:tcW w:w="1244" w:type="dxa"/>
            <w:vAlign w:val="center"/>
          </w:tcPr>
          <w:p w14:paraId="35D4C3DD" w14:textId="0BF1E226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18.8%</w:t>
            </w:r>
          </w:p>
        </w:tc>
        <w:tc>
          <w:tcPr>
            <w:tcW w:w="1243" w:type="dxa"/>
            <w:vAlign w:val="center"/>
          </w:tcPr>
          <w:p w14:paraId="3E6AD7E4" w14:textId="3EA85D68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15.8%</w:t>
            </w:r>
          </w:p>
        </w:tc>
        <w:tc>
          <w:tcPr>
            <w:tcW w:w="1244" w:type="dxa"/>
            <w:vAlign w:val="center"/>
          </w:tcPr>
          <w:p w14:paraId="23E9212B" w14:textId="0DB06A3D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20.9%</w:t>
            </w:r>
          </w:p>
        </w:tc>
      </w:tr>
      <w:tr w:rsidR="004E6447" w14:paraId="1E854CAF" w14:textId="77777777" w:rsidTr="000814E2">
        <w:trPr>
          <w:trHeight w:val="295"/>
        </w:trPr>
        <w:tc>
          <w:tcPr>
            <w:tcW w:w="1838" w:type="dxa"/>
            <w:vAlign w:val="center"/>
          </w:tcPr>
          <w:p w14:paraId="3954EEF3" w14:textId="77777777" w:rsidR="004E6447" w:rsidRPr="006C7C99" w:rsidRDefault="004E6447" w:rsidP="004E6447">
            <w:pPr>
              <w:rPr>
                <w:b/>
              </w:rPr>
            </w:pPr>
            <w:r w:rsidRPr="006C7C99">
              <w:rPr>
                <w:b/>
              </w:rPr>
              <w:t>Agree</w:t>
            </w:r>
          </w:p>
        </w:tc>
        <w:tc>
          <w:tcPr>
            <w:tcW w:w="960" w:type="dxa"/>
            <w:vAlign w:val="center"/>
          </w:tcPr>
          <w:p w14:paraId="0A5FB600" w14:textId="47588AA2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41.7%</w:t>
            </w:r>
          </w:p>
        </w:tc>
        <w:tc>
          <w:tcPr>
            <w:tcW w:w="1244" w:type="dxa"/>
            <w:vAlign w:val="center"/>
          </w:tcPr>
          <w:p w14:paraId="14D5C9B0" w14:textId="512F4477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43.2%</w:t>
            </w:r>
          </w:p>
        </w:tc>
        <w:tc>
          <w:tcPr>
            <w:tcW w:w="1243" w:type="dxa"/>
            <w:vAlign w:val="center"/>
          </w:tcPr>
          <w:p w14:paraId="68A71471" w14:textId="6482040F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45.9%</w:t>
            </w:r>
          </w:p>
        </w:tc>
        <w:tc>
          <w:tcPr>
            <w:tcW w:w="1244" w:type="dxa"/>
            <w:vAlign w:val="center"/>
          </w:tcPr>
          <w:p w14:paraId="6CC81308" w14:textId="14B14F40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43" w:type="dxa"/>
            <w:vAlign w:val="center"/>
          </w:tcPr>
          <w:p w14:paraId="528F0DE5" w14:textId="59F28CCB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45.5%</w:t>
            </w:r>
          </w:p>
        </w:tc>
        <w:tc>
          <w:tcPr>
            <w:tcW w:w="1244" w:type="dxa"/>
            <w:vAlign w:val="center"/>
          </w:tcPr>
          <w:p w14:paraId="5514EAEC" w14:textId="09DCD511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45.5%</w:t>
            </w:r>
          </w:p>
        </w:tc>
      </w:tr>
      <w:tr w:rsidR="004E6447" w14:paraId="1E0BE852" w14:textId="77777777" w:rsidTr="000814E2">
        <w:trPr>
          <w:trHeight w:val="537"/>
        </w:trPr>
        <w:tc>
          <w:tcPr>
            <w:tcW w:w="1838" w:type="dxa"/>
            <w:vAlign w:val="center"/>
          </w:tcPr>
          <w:p w14:paraId="7ADB8D18" w14:textId="77777777" w:rsidR="004E6447" w:rsidRPr="006C7C99" w:rsidRDefault="004E6447" w:rsidP="004E6447">
            <w:pPr>
              <w:rPr>
                <w:b/>
              </w:rPr>
            </w:pPr>
            <w:r w:rsidRPr="006C7C99">
              <w:rPr>
                <w:b/>
              </w:rPr>
              <w:t>Neither agree nor disagree</w:t>
            </w:r>
          </w:p>
        </w:tc>
        <w:tc>
          <w:tcPr>
            <w:tcW w:w="960" w:type="dxa"/>
            <w:vAlign w:val="center"/>
          </w:tcPr>
          <w:p w14:paraId="53C0C269" w14:textId="64F040E0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23.8%</w:t>
            </w:r>
          </w:p>
        </w:tc>
        <w:tc>
          <w:tcPr>
            <w:tcW w:w="1244" w:type="dxa"/>
            <w:vAlign w:val="center"/>
          </w:tcPr>
          <w:p w14:paraId="24EF172E" w14:textId="3F29297B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21.2%</w:t>
            </w:r>
          </w:p>
        </w:tc>
        <w:tc>
          <w:tcPr>
            <w:tcW w:w="1243" w:type="dxa"/>
            <w:vAlign w:val="center"/>
          </w:tcPr>
          <w:p w14:paraId="0358FBCF" w14:textId="2A03D387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23.3%</w:t>
            </w:r>
          </w:p>
        </w:tc>
        <w:tc>
          <w:tcPr>
            <w:tcW w:w="1244" w:type="dxa"/>
            <w:vAlign w:val="center"/>
          </w:tcPr>
          <w:p w14:paraId="07C0DB3E" w14:textId="1A7CEF97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21.5%</w:t>
            </w:r>
          </w:p>
        </w:tc>
        <w:tc>
          <w:tcPr>
            <w:tcW w:w="1243" w:type="dxa"/>
            <w:vAlign w:val="center"/>
          </w:tcPr>
          <w:p w14:paraId="0CA77EFE" w14:textId="0EACBCA8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27.5%</w:t>
            </w:r>
          </w:p>
        </w:tc>
        <w:tc>
          <w:tcPr>
            <w:tcW w:w="1244" w:type="dxa"/>
            <w:vAlign w:val="center"/>
          </w:tcPr>
          <w:p w14:paraId="10BF82DC" w14:textId="6ACFE364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24.6%</w:t>
            </w:r>
          </w:p>
        </w:tc>
      </w:tr>
      <w:tr w:rsidR="004E6447" w14:paraId="2DB11BC4" w14:textId="77777777" w:rsidTr="000814E2">
        <w:trPr>
          <w:trHeight w:val="279"/>
        </w:trPr>
        <w:tc>
          <w:tcPr>
            <w:tcW w:w="1838" w:type="dxa"/>
            <w:vAlign w:val="center"/>
          </w:tcPr>
          <w:p w14:paraId="49DC66AF" w14:textId="77777777" w:rsidR="004E6447" w:rsidRPr="006C7C99" w:rsidRDefault="004E6447" w:rsidP="004E6447">
            <w:pPr>
              <w:rPr>
                <w:b/>
              </w:rPr>
            </w:pPr>
            <w:r w:rsidRPr="006C7C99">
              <w:rPr>
                <w:b/>
              </w:rPr>
              <w:t>Disagree</w:t>
            </w:r>
          </w:p>
        </w:tc>
        <w:tc>
          <w:tcPr>
            <w:tcW w:w="960" w:type="dxa"/>
            <w:vAlign w:val="center"/>
          </w:tcPr>
          <w:p w14:paraId="275C19B3" w14:textId="4F928504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5.2%</w:t>
            </w:r>
          </w:p>
        </w:tc>
        <w:tc>
          <w:tcPr>
            <w:tcW w:w="1244" w:type="dxa"/>
            <w:vAlign w:val="center"/>
          </w:tcPr>
          <w:p w14:paraId="13529E81" w14:textId="5064D61D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5.5%</w:t>
            </w:r>
          </w:p>
        </w:tc>
        <w:tc>
          <w:tcPr>
            <w:tcW w:w="1243" w:type="dxa"/>
            <w:vAlign w:val="center"/>
          </w:tcPr>
          <w:p w14:paraId="6397705C" w14:textId="3AF8AD24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9.3%</w:t>
            </w:r>
          </w:p>
        </w:tc>
        <w:tc>
          <w:tcPr>
            <w:tcW w:w="1244" w:type="dxa"/>
            <w:vAlign w:val="center"/>
          </w:tcPr>
          <w:p w14:paraId="43BE6DC9" w14:textId="1B5FA22E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9.5%</w:t>
            </w:r>
          </w:p>
        </w:tc>
        <w:tc>
          <w:tcPr>
            <w:tcW w:w="1243" w:type="dxa"/>
            <w:vAlign w:val="center"/>
          </w:tcPr>
          <w:p w14:paraId="7B86953A" w14:textId="508F2BD1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7.0%</w:t>
            </w:r>
          </w:p>
        </w:tc>
        <w:tc>
          <w:tcPr>
            <w:tcW w:w="1244" w:type="dxa"/>
            <w:vAlign w:val="center"/>
          </w:tcPr>
          <w:p w14:paraId="7517D0C5" w14:textId="10411892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4.6%</w:t>
            </w:r>
          </w:p>
        </w:tc>
      </w:tr>
      <w:tr w:rsidR="004E6447" w14:paraId="00C98742" w14:textId="77777777" w:rsidTr="000814E2">
        <w:trPr>
          <w:trHeight w:val="283"/>
        </w:trPr>
        <w:tc>
          <w:tcPr>
            <w:tcW w:w="1838" w:type="dxa"/>
            <w:vAlign w:val="center"/>
          </w:tcPr>
          <w:p w14:paraId="7E82EDF7" w14:textId="77777777" w:rsidR="004E6447" w:rsidRPr="006C7C99" w:rsidRDefault="004E6447" w:rsidP="004E6447">
            <w:pPr>
              <w:rPr>
                <w:b/>
              </w:rPr>
            </w:pPr>
            <w:r w:rsidRPr="006C7C99">
              <w:rPr>
                <w:b/>
              </w:rPr>
              <w:t>Strongly disagree</w:t>
            </w:r>
          </w:p>
        </w:tc>
        <w:tc>
          <w:tcPr>
            <w:tcW w:w="960" w:type="dxa"/>
            <w:vAlign w:val="center"/>
          </w:tcPr>
          <w:p w14:paraId="7FF00CAB" w14:textId="50D88881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1244" w:type="dxa"/>
            <w:vAlign w:val="center"/>
          </w:tcPr>
          <w:p w14:paraId="37230AB6" w14:textId="0EF41C94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243" w:type="dxa"/>
            <w:vAlign w:val="center"/>
          </w:tcPr>
          <w:p w14:paraId="565EB511" w14:textId="7EB192DD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1244" w:type="dxa"/>
            <w:vAlign w:val="center"/>
          </w:tcPr>
          <w:p w14:paraId="0A553BEC" w14:textId="53DA9189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243" w:type="dxa"/>
            <w:vAlign w:val="center"/>
          </w:tcPr>
          <w:p w14:paraId="02E8920C" w14:textId="4E44BD7B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244" w:type="dxa"/>
            <w:vAlign w:val="center"/>
          </w:tcPr>
          <w:p w14:paraId="2F378A83" w14:textId="507BCCAF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</w:tr>
      <w:tr w:rsidR="004E6447" w14:paraId="346A3E87" w14:textId="77777777" w:rsidTr="000814E2">
        <w:trPr>
          <w:trHeight w:val="272"/>
        </w:trPr>
        <w:tc>
          <w:tcPr>
            <w:tcW w:w="1838" w:type="dxa"/>
            <w:vAlign w:val="center"/>
          </w:tcPr>
          <w:p w14:paraId="4E5693EA" w14:textId="77777777" w:rsidR="004E6447" w:rsidRPr="006C7C99" w:rsidRDefault="004E6447" w:rsidP="004E6447">
            <w:pPr>
              <w:rPr>
                <w:b/>
              </w:rPr>
            </w:pPr>
            <w:r w:rsidRPr="006C7C99">
              <w:rPr>
                <w:b/>
              </w:rPr>
              <w:t>Don’t know</w:t>
            </w:r>
          </w:p>
        </w:tc>
        <w:tc>
          <w:tcPr>
            <w:tcW w:w="960" w:type="dxa"/>
            <w:vAlign w:val="center"/>
          </w:tcPr>
          <w:p w14:paraId="6A7566E7" w14:textId="0E20FC01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244" w:type="dxa"/>
            <w:vAlign w:val="center"/>
          </w:tcPr>
          <w:p w14:paraId="34F98AA1" w14:textId="4EA08806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1243" w:type="dxa"/>
            <w:vAlign w:val="center"/>
          </w:tcPr>
          <w:p w14:paraId="64480CBE" w14:textId="345D9E34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1244" w:type="dxa"/>
            <w:vAlign w:val="center"/>
          </w:tcPr>
          <w:p w14:paraId="3B1DAF16" w14:textId="1B44E65B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2.3%</w:t>
            </w:r>
          </w:p>
        </w:tc>
        <w:tc>
          <w:tcPr>
            <w:tcW w:w="1243" w:type="dxa"/>
            <w:vAlign w:val="center"/>
          </w:tcPr>
          <w:p w14:paraId="7CD2C591" w14:textId="3E432319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  <w:tc>
          <w:tcPr>
            <w:tcW w:w="1244" w:type="dxa"/>
            <w:vAlign w:val="center"/>
          </w:tcPr>
          <w:p w14:paraId="3CF23F11" w14:textId="73D9CA7F" w:rsidR="004E6447" w:rsidRPr="00284A71" w:rsidRDefault="004E6447" w:rsidP="004E64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2.8%</w:t>
            </w:r>
          </w:p>
        </w:tc>
      </w:tr>
    </w:tbl>
    <w:p w14:paraId="47A1AEC3" w14:textId="7DC43225" w:rsidR="00236585" w:rsidRDefault="004B5004" w:rsidP="0079173A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8C1EDC">
        <w:rPr>
          <w:i/>
          <w:sz w:val="20"/>
          <w:szCs w:val="20"/>
        </w:rPr>
        <w:t xml:space="preserve">: </w:t>
      </w:r>
      <w:r w:rsidR="0098260A">
        <w:rPr>
          <w:i/>
          <w:sz w:val="20"/>
          <w:szCs w:val="20"/>
        </w:rPr>
        <w:t xml:space="preserve">Percentage of people who agree that the culture and traditions of the Catholic community/Protestant Community/different minority ethnic groups add to the richness and diversity of Northern Ireland society, </w:t>
      </w:r>
      <w:r w:rsidR="006F7F80">
        <w:rPr>
          <w:i/>
          <w:sz w:val="20"/>
          <w:szCs w:val="20"/>
        </w:rPr>
        <w:t xml:space="preserve">Armagh City, Banbridge and Craigavon Borough and Northern Ireland </w:t>
      </w:r>
      <w:r w:rsidR="00236585">
        <w:rPr>
          <w:i/>
          <w:sz w:val="20"/>
          <w:szCs w:val="20"/>
        </w:rPr>
        <w:t>20</w:t>
      </w:r>
      <w:r w:rsidR="004E6447">
        <w:rPr>
          <w:i/>
          <w:sz w:val="20"/>
          <w:szCs w:val="20"/>
        </w:rPr>
        <w:t>20-22</w:t>
      </w:r>
      <w:r w:rsidRPr="008C1EDC">
        <w:rPr>
          <w:i/>
          <w:sz w:val="20"/>
          <w:szCs w:val="20"/>
        </w:rPr>
        <w:t xml:space="preserve">. Source: </w:t>
      </w:r>
      <w:r w:rsidR="0098260A">
        <w:rPr>
          <w:i/>
          <w:sz w:val="20"/>
          <w:szCs w:val="20"/>
        </w:rPr>
        <w:t>Northern Ireland Life and Times Survey (ARK)</w:t>
      </w:r>
      <w:r w:rsidRPr="008C1EDC">
        <w:rPr>
          <w:i/>
          <w:sz w:val="20"/>
          <w:szCs w:val="20"/>
        </w:rPr>
        <w:t>.</w:t>
      </w:r>
      <w:r w:rsidR="004B5682">
        <w:rPr>
          <w:i/>
          <w:sz w:val="20"/>
          <w:szCs w:val="20"/>
        </w:rPr>
        <w:t xml:space="preserve"> </w:t>
      </w:r>
    </w:p>
    <w:p w14:paraId="34A9EC53" w14:textId="267474B8" w:rsidR="0079173A" w:rsidRPr="002636FF" w:rsidRDefault="005871D8" w:rsidP="0079173A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C5F2DA4" wp14:editId="5AB40C78">
            <wp:extent cx="5731510" cy="3169920"/>
            <wp:effectExtent l="0" t="0" r="2540" b="11430"/>
            <wp:docPr id="4" name="Chart 4" title="Percentage of people who agree that the culture and traditions of the Catholic community/Protestant Community/different minority ethnic groups add to the richness and diversity of Northern Ireland society, Armagh City, Banbridge and Craigavon Borough and Northern Ireland 2020-2022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173A">
        <w:rPr>
          <w:i/>
          <w:sz w:val="20"/>
          <w:szCs w:val="20"/>
        </w:rPr>
        <w:t>Figure 2</w:t>
      </w:r>
      <w:r w:rsidR="0079173A" w:rsidRPr="008C1EDC">
        <w:rPr>
          <w:i/>
          <w:sz w:val="20"/>
          <w:szCs w:val="20"/>
        </w:rPr>
        <w:t xml:space="preserve">: </w:t>
      </w:r>
      <w:r w:rsidR="006F7F80">
        <w:rPr>
          <w:i/>
          <w:sz w:val="20"/>
          <w:szCs w:val="20"/>
        </w:rPr>
        <w:t>Percentage of people who agree that the culture and traditions of the Catholic community/Protestant Community/different minority ethnic groups add to the richness and diversity of Northern Ireland society, Armagh City, Banbridge and Craigavon Borough and Northern Ireland 20</w:t>
      </w:r>
      <w:r>
        <w:rPr>
          <w:i/>
          <w:sz w:val="20"/>
          <w:szCs w:val="20"/>
        </w:rPr>
        <w:t>20</w:t>
      </w:r>
      <w:r w:rsidR="006F7F80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2022</w:t>
      </w:r>
      <w:r w:rsidR="006F7F80" w:rsidRPr="008C1EDC">
        <w:rPr>
          <w:i/>
          <w:sz w:val="20"/>
          <w:szCs w:val="20"/>
        </w:rPr>
        <w:t xml:space="preserve">. Source: </w:t>
      </w:r>
      <w:r w:rsidR="006F7F80">
        <w:rPr>
          <w:i/>
          <w:sz w:val="20"/>
          <w:szCs w:val="20"/>
        </w:rPr>
        <w:t>Northern Ireland Life and Times Survey (ARK)</w:t>
      </w:r>
      <w:r w:rsidR="006F7F80" w:rsidRPr="008C1EDC">
        <w:rPr>
          <w:i/>
          <w:sz w:val="20"/>
          <w:szCs w:val="20"/>
        </w:rPr>
        <w:t>.</w:t>
      </w:r>
    </w:p>
    <w:p w14:paraId="6C7250B2" w14:textId="0FE3587A" w:rsidR="001464FA" w:rsidRDefault="002636FF" w:rsidP="0079173A">
      <w:r>
        <w:t>Further information on culture and arts</w:t>
      </w:r>
      <w:r w:rsidR="00BC5454">
        <w:t xml:space="preserve"> can be found via the following link</w:t>
      </w:r>
      <w:r>
        <w:t>s</w:t>
      </w:r>
      <w:r w:rsidR="00BC5454">
        <w:t>:</w:t>
      </w:r>
    </w:p>
    <w:p w14:paraId="788EA436" w14:textId="77777777" w:rsidR="002636FF" w:rsidRDefault="00F81370" w:rsidP="0079173A">
      <w:hyperlink r:id="rId10" w:history="1">
        <w:r w:rsidR="002636FF">
          <w:rPr>
            <w:rStyle w:val="Hyperlink"/>
          </w:rPr>
          <w:t>https://www.communities-ni.gov.uk/topics/statistics-and-research/sport-museums-and-libraries-statistics</w:t>
        </w:r>
      </w:hyperlink>
    </w:p>
    <w:p w14:paraId="133EAD05" w14:textId="77777777" w:rsidR="002636FF" w:rsidRDefault="00F81370" w:rsidP="0079173A">
      <w:pPr>
        <w:rPr>
          <w:i/>
          <w:sz w:val="20"/>
          <w:szCs w:val="20"/>
        </w:rPr>
      </w:pPr>
      <w:hyperlink r:id="rId11" w:history="1">
        <w:r w:rsidR="002636FF">
          <w:rPr>
            <w:rStyle w:val="Hyperlink"/>
          </w:rPr>
          <w:t>https://www.ark.ac.uk/nilt/</w:t>
        </w:r>
      </w:hyperlink>
      <w:bookmarkStart w:id="0" w:name="_GoBack"/>
      <w:bookmarkEnd w:id="0"/>
    </w:p>
    <w:sectPr w:rsidR="002636F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329C" w14:textId="77777777" w:rsidR="00FD3BCA" w:rsidRDefault="00FD3BCA" w:rsidP="009470B4">
      <w:pPr>
        <w:spacing w:after="0" w:line="240" w:lineRule="auto"/>
      </w:pPr>
      <w:r>
        <w:separator/>
      </w:r>
    </w:p>
  </w:endnote>
  <w:endnote w:type="continuationSeparator" w:id="0">
    <w:p w14:paraId="5C41B486" w14:textId="77777777" w:rsidR="00FD3BCA" w:rsidRDefault="00FD3BCA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BD753" w14:textId="16F6408C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3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C0716D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4545" w14:textId="77777777" w:rsidR="00FD3BCA" w:rsidRDefault="00FD3BCA" w:rsidP="009470B4">
      <w:pPr>
        <w:spacing w:after="0" w:line="240" w:lineRule="auto"/>
      </w:pPr>
      <w:r>
        <w:separator/>
      </w:r>
    </w:p>
  </w:footnote>
  <w:footnote w:type="continuationSeparator" w:id="0">
    <w:p w14:paraId="11335756" w14:textId="77777777" w:rsidR="00FD3BCA" w:rsidRDefault="00FD3BCA" w:rsidP="009470B4">
      <w:pPr>
        <w:spacing w:after="0" w:line="240" w:lineRule="auto"/>
      </w:pPr>
      <w:r>
        <w:continuationSeparator/>
      </w:r>
    </w:p>
  </w:footnote>
  <w:footnote w:id="1">
    <w:p w14:paraId="6CABA638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  <w:footnote w:id="2">
    <w:p w14:paraId="10149B79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Northern Ireland Life and Times Survey (ARK) - </w:t>
      </w:r>
      <w:hyperlink r:id="rId2" w:history="1">
        <w:r>
          <w:rPr>
            <w:rStyle w:val="Hyperlink"/>
          </w:rPr>
          <w:t>https://www.ark.ac.uk/nilt/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3A"/>
    <w:multiLevelType w:val="hybridMultilevel"/>
    <w:tmpl w:val="9B9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00FE7"/>
    <w:rsid w:val="00015C89"/>
    <w:rsid w:val="000C7CE8"/>
    <w:rsid w:val="000F44CC"/>
    <w:rsid w:val="00142398"/>
    <w:rsid w:val="00144DDE"/>
    <w:rsid w:val="001464FA"/>
    <w:rsid w:val="001530DE"/>
    <w:rsid w:val="00154E71"/>
    <w:rsid w:val="001E18DF"/>
    <w:rsid w:val="0022340B"/>
    <w:rsid w:val="00236585"/>
    <w:rsid w:val="002636FF"/>
    <w:rsid w:val="00265E55"/>
    <w:rsid w:val="00284A71"/>
    <w:rsid w:val="00293E93"/>
    <w:rsid w:val="002B13D9"/>
    <w:rsid w:val="002B5AEA"/>
    <w:rsid w:val="0035344A"/>
    <w:rsid w:val="003764F3"/>
    <w:rsid w:val="00381E1E"/>
    <w:rsid w:val="003F362C"/>
    <w:rsid w:val="00435F79"/>
    <w:rsid w:val="00470647"/>
    <w:rsid w:val="00494448"/>
    <w:rsid w:val="004B5004"/>
    <w:rsid w:val="004B5682"/>
    <w:rsid w:val="004E6447"/>
    <w:rsid w:val="004E781E"/>
    <w:rsid w:val="005049DD"/>
    <w:rsid w:val="005139F7"/>
    <w:rsid w:val="00535EBD"/>
    <w:rsid w:val="00543353"/>
    <w:rsid w:val="00543809"/>
    <w:rsid w:val="00546B94"/>
    <w:rsid w:val="005871D8"/>
    <w:rsid w:val="00596090"/>
    <w:rsid w:val="005968A8"/>
    <w:rsid w:val="0062713E"/>
    <w:rsid w:val="0067115F"/>
    <w:rsid w:val="006C7C99"/>
    <w:rsid w:val="006E4145"/>
    <w:rsid w:val="006F7F80"/>
    <w:rsid w:val="00704EA7"/>
    <w:rsid w:val="00765816"/>
    <w:rsid w:val="00767136"/>
    <w:rsid w:val="0079173A"/>
    <w:rsid w:val="007932C0"/>
    <w:rsid w:val="007C7AFB"/>
    <w:rsid w:val="00814542"/>
    <w:rsid w:val="0081757F"/>
    <w:rsid w:val="00820F29"/>
    <w:rsid w:val="00836E9E"/>
    <w:rsid w:val="0084512A"/>
    <w:rsid w:val="00854301"/>
    <w:rsid w:val="00873E0D"/>
    <w:rsid w:val="00895087"/>
    <w:rsid w:val="008C1EDC"/>
    <w:rsid w:val="008C3787"/>
    <w:rsid w:val="0090727E"/>
    <w:rsid w:val="009470B4"/>
    <w:rsid w:val="0098260A"/>
    <w:rsid w:val="00A048A3"/>
    <w:rsid w:val="00A0792D"/>
    <w:rsid w:val="00A47314"/>
    <w:rsid w:val="00A64F03"/>
    <w:rsid w:val="00A70F15"/>
    <w:rsid w:val="00A76810"/>
    <w:rsid w:val="00A9303E"/>
    <w:rsid w:val="00A95C11"/>
    <w:rsid w:val="00AB070E"/>
    <w:rsid w:val="00BC0658"/>
    <w:rsid w:val="00BC5454"/>
    <w:rsid w:val="00C17259"/>
    <w:rsid w:val="00C42B0F"/>
    <w:rsid w:val="00CA4354"/>
    <w:rsid w:val="00CA73A0"/>
    <w:rsid w:val="00D14FF4"/>
    <w:rsid w:val="00D2477D"/>
    <w:rsid w:val="00D46CBB"/>
    <w:rsid w:val="00D82855"/>
    <w:rsid w:val="00DA7262"/>
    <w:rsid w:val="00DC0E4D"/>
    <w:rsid w:val="00DD1313"/>
    <w:rsid w:val="00E00CE7"/>
    <w:rsid w:val="00E418D1"/>
    <w:rsid w:val="00E41CE3"/>
    <w:rsid w:val="00E45AFE"/>
    <w:rsid w:val="00E67B27"/>
    <w:rsid w:val="00E778A0"/>
    <w:rsid w:val="00EE6727"/>
    <w:rsid w:val="00F008E3"/>
    <w:rsid w:val="00F14B8F"/>
    <w:rsid w:val="00F56A12"/>
    <w:rsid w:val="00F81370"/>
    <w:rsid w:val="00FD033F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6F5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A71"/>
    <w:pPr>
      <w:ind w:left="720"/>
      <w:contextualSpacing/>
    </w:pPr>
  </w:style>
  <w:style w:type="table" w:styleId="TableGrid">
    <w:name w:val="Table Grid"/>
    <w:basedOn w:val="TableNormal"/>
    <w:uiPriority w:val="39"/>
    <w:rsid w:val="002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5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F79"/>
    <w:rPr>
      <w:vertAlign w:val="superscript"/>
    </w:rPr>
  </w:style>
  <w:style w:type="table" w:styleId="GridTable1Light">
    <w:name w:val="Grid Table 1 Light"/>
    <w:basedOn w:val="TableNormal"/>
    <w:uiPriority w:val="46"/>
    <w:rsid w:val="00A95C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.ac.uk/ni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munities-ni.gov.uk/topics/statistics-and-research/sport-museums-and-libraries-statistic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k.ac.uk/nilt/" TargetMode="External"/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Tourism%20and%20Culture\2022%20Updates\engagement-culture-arts-heritage-sport-by-adults-in-northern-ireland-2022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1.%20Jessica%20Files\Data\1.%20NILT\202122%20Data\DC202122%20Working%20Cop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670029899817728E-2"/>
          <c:y val="5.0925925925925923E-2"/>
          <c:w val="0.87259421619196242"/>
          <c:h val="0.63405803441236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Table_4!$J$33</c:f>
              <c:strCache>
                <c:ptCount val="1"/>
                <c:pt idx="0">
                  <c:v>Armagh City, Banbridge and Craigavon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Table_4!$I$34:$I$39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Table_4!$J$34:$J$39</c:f>
              <c:numCache>
                <c:formatCode>0</c:formatCode>
                <c:ptCount val="6"/>
                <c:pt idx="0">
                  <c:v>83</c:v>
                </c:pt>
                <c:pt idx="1">
                  <c:v>30</c:v>
                </c:pt>
                <c:pt idx="2">
                  <c:v>72</c:v>
                </c:pt>
                <c:pt idx="3">
                  <c:v>21</c:v>
                </c:pt>
                <c:pt idx="4">
                  <c:v>32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0-4379-926D-20015B70ABB2}"/>
            </c:ext>
          </c:extLst>
        </c:ser>
        <c:ser>
          <c:idx val="1"/>
          <c:order val="1"/>
          <c:tx>
            <c:strRef>
              <c:f>Table_4!$K$33</c:f>
              <c:strCache>
                <c:ptCount val="1"/>
                <c:pt idx="0">
                  <c:v>Northern Ireland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Table_4!$I$34:$I$39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Table_4!$K$34:$K$39</c:f>
              <c:numCache>
                <c:formatCode>0</c:formatCode>
                <c:ptCount val="6"/>
                <c:pt idx="0">
                  <c:v>80</c:v>
                </c:pt>
                <c:pt idx="1">
                  <c:v>28</c:v>
                </c:pt>
                <c:pt idx="2">
                  <c:v>71</c:v>
                </c:pt>
                <c:pt idx="3">
                  <c:v>22</c:v>
                </c:pt>
                <c:pt idx="4">
                  <c:v>32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A0-4379-926D-20015B70A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78746176"/>
        <c:axId val="603973952"/>
      </c:barChart>
      <c:catAx>
        <c:axId val="7874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973952"/>
        <c:crosses val="autoZero"/>
        <c:auto val="1"/>
        <c:lblAlgn val="ctr"/>
        <c:lblOffset val="100"/>
        <c:noMultiLvlLbl val="0"/>
      </c:catAx>
      <c:valAx>
        <c:axId val="60397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"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461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2368703224341E-2"/>
          <c:y val="9.6600961792527612E-2"/>
          <c:w val="0.90507984129219066"/>
          <c:h val="0.58081534772182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'Ethnic Minority'!$B$64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'Ethnic Minority'!$C$62:$H$63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 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'Ethnic Minority'!$C$64:$H$64</c:f>
              <c:numCache>
                <c:formatCode>0.0%</c:formatCode>
                <c:ptCount val="6"/>
                <c:pt idx="0">
                  <c:v>0.64998465650811588</c:v>
                </c:pt>
                <c:pt idx="1">
                  <c:v>0.69173417034791806</c:v>
                </c:pt>
                <c:pt idx="2">
                  <c:v>0.63910987202100678</c:v>
                </c:pt>
                <c:pt idx="3">
                  <c:v>0.64038179203287771</c:v>
                </c:pt>
                <c:pt idx="4">
                  <c:v>0.61268595266071979</c:v>
                </c:pt>
                <c:pt idx="5">
                  <c:v>0.66359626443096897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5-444B-B9C2-38C833D4C28D}"/>
            </c:ext>
          </c:extLst>
        </c:ser>
        <c:ser>
          <c:idx val="1"/>
          <c:order val="1"/>
          <c:tx>
            <c:strRef>
              <c:f>'Ethnic Minority'!$B$65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'Ethnic Minority'!$C$62:$H$63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 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'Ethnic Minority'!$C$65:$H$65</c:f>
              <c:numCache>
                <c:formatCode>0.0%</c:formatCode>
                <c:ptCount val="6"/>
                <c:pt idx="0">
                  <c:v>0.23786505694209603</c:v>
                </c:pt>
                <c:pt idx="1">
                  <c:v>0.21172245233760004</c:v>
                </c:pt>
                <c:pt idx="2">
                  <c:v>0.23332687935137467</c:v>
                </c:pt>
                <c:pt idx="3">
                  <c:v>0.2153437996216867</c:v>
                </c:pt>
                <c:pt idx="4">
                  <c:v>0.27488133363981909</c:v>
                </c:pt>
                <c:pt idx="5">
                  <c:v>0.24634213373297806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B5-444B-B9C2-38C833D4C28D}"/>
            </c:ext>
          </c:extLst>
        </c:ser>
        <c:ser>
          <c:idx val="2"/>
          <c:order val="2"/>
          <c:tx>
            <c:strRef>
              <c:f>'Ethnic Minority'!$B$66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'Ethnic Minority'!$C$62:$H$63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 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'Ethnic Minority'!$C$66:$H$66</c:f>
              <c:numCache>
                <c:formatCode>0.0%</c:formatCode>
                <c:ptCount val="6"/>
                <c:pt idx="0">
                  <c:v>8.5658862075181363E-2</c:v>
                </c:pt>
                <c:pt idx="1">
                  <c:v>7.2735092802598114E-2</c:v>
                </c:pt>
                <c:pt idx="2">
                  <c:v>0.10309804277685476</c:v>
                </c:pt>
                <c:pt idx="3">
                  <c:v>0.12135865536157731</c:v>
                </c:pt>
                <c:pt idx="4">
                  <c:v>8.5423313485934085E-2</c:v>
                </c:pt>
                <c:pt idx="5">
                  <c:v>6.2040292871617303E-2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B5-444B-B9C2-38C833D4C28D}"/>
            </c:ext>
          </c:extLst>
        </c:ser>
        <c:ser>
          <c:idx val="3"/>
          <c:order val="3"/>
          <c:tx>
            <c:strRef>
              <c:f>'Ethnic Minority'!$B$67</c:f>
              <c:strCache>
                <c:ptCount val="1"/>
                <c:pt idx="0">
                  <c:v>Don’t know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'Ethnic Minority'!$C$62:$H$63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 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'Ethnic Minority'!$C$67:$H$67</c:f>
              <c:numCache>
                <c:formatCode>0.0%</c:formatCode>
                <c:ptCount val="6"/>
                <c:pt idx="0">
                  <c:v>2.6491424474606784E-2</c:v>
                </c:pt>
                <c:pt idx="1">
                  <c:v>2.3808284511883767E-2</c:v>
                </c:pt>
                <c:pt idx="2">
                  <c:v>2.4465205850763758E-2</c:v>
                </c:pt>
                <c:pt idx="3">
                  <c:v>2.2915752983858256E-2</c:v>
                </c:pt>
                <c:pt idx="4">
                  <c:v>2.7009400213527171E-2</c:v>
                </c:pt>
                <c:pt idx="5">
                  <c:v>2.8021308964435811E-2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B5-444B-B9C2-38C833D4C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1349455"/>
        <c:axId val="2031341135"/>
      </c:barChart>
      <c:catAx>
        <c:axId val="2031349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1341135"/>
        <c:crosses val="autoZero"/>
        <c:auto val="1"/>
        <c:lblAlgn val="ctr"/>
        <c:lblOffset val="100"/>
        <c:noMultiLvlLbl val="0"/>
      </c:catAx>
      <c:valAx>
        <c:axId val="2031341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1349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609808402560407"/>
          <c:y val="1.909667541557301E-2"/>
          <c:w val="0.61858539234319854"/>
          <c:h val="6.7446515228761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0.00605</cdr:x>
      <cdr:y>0.32639</cdr:y>
    </cdr:from>
    <cdr:to>
      <cdr:x>0.08321</cdr:x>
      <cdr:y>0.46528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" y="895350"/>
          <a:ext cx="38862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75000"/>
                  <a:lumOff val="25000"/>
                </a:schemeClr>
              </a:solidFill>
            </a:rPr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0.14718</cdr:x>
      <cdr:y>0.69309</cdr:y>
    </cdr:from>
    <cdr:to>
      <cdr:x>0.85695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5340" y="2065020"/>
          <a:ext cx="393192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0.12997</cdr:x>
      <cdr:y>0.85132</cdr:y>
    </cdr:from>
    <cdr:to>
      <cdr:x>0.90318</cdr:x>
      <cdr:y>0.96403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46760" y="2705100"/>
          <a:ext cx="4442460" cy="358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0.1008</cdr:x>
      <cdr:y>0.84652</cdr:y>
    </cdr:from>
    <cdr:to>
      <cdr:x>0.91777</cdr:x>
      <cdr:y>0.9952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79120" y="2689860"/>
          <a:ext cx="4693920" cy="472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GB" sz="1100" i="1">
              <a:solidFill>
                <a:schemeClr val="tx1">
                  <a:lumMod val="75000"/>
                  <a:lumOff val="25000"/>
                </a:schemeClr>
              </a:solidFill>
            </a:rPr>
            <a:t>The term agree is a</a:t>
          </a:r>
          <a:r>
            <a:rPr lang="en-GB" sz="1100" i="1" baseline="0">
              <a:solidFill>
                <a:schemeClr val="tx1">
                  <a:lumMod val="75000"/>
                  <a:lumOff val="25000"/>
                </a:schemeClr>
              </a:solidFill>
            </a:rPr>
            <a:t> combination of both 'stronly agree' and 'agree'</a:t>
          </a:r>
        </a:p>
        <a:p xmlns:a="http://schemas.openxmlformats.org/drawingml/2006/main">
          <a:pPr algn="ctr"/>
          <a:r>
            <a:rPr lang="en-GB" sz="1100" i="1" baseline="0">
              <a:solidFill>
                <a:schemeClr val="tx1">
                  <a:lumMod val="75000"/>
                  <a:lumOff val="25000"/>
                </a:schemeClr>
              </a:solidFill>
            </a:rPr>
            <a:t>The term disagree is a combination of both 'strongly disagree' and 'disagree'</a:t>
          </a:r>
          <a:endParaRPr lang="en-GB" sz="1100" i="1">
            <a:solidFill>
              <a:schemeClr val="tx1">
                <a:lumMod val="75000"/>
                <a:lumOff val="2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145F-6C90-4FD7-9A74-D4EB04AC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6</cp:revision>
  <dcterms:created xsi:type="dcterms:W3CDTF">2023-10-05T10:25:00Z</dcterms:created>
  <dcterms:modified xsi:type="dcterms:W3CDTF">2023-10-05T13:11:00Z</dcterms:modified>
</cp:coreProperties>
</file>