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B9" w:rsidRPr="00ED1AAE" w:rsidRDefault="002925B9" w:rsidP="002925B9">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2925B9" w:rsidRDefault="002925B9" w:rsidP="002925B9">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w:t>
      </w:r>
    </w:p>
    <w:p w:rsidR="001167F9" w:rsidRPr="001167F9" w:rsidRDefault="001167F9" w:rsidP="002925B9">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7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Summary Report </w:t>
      </w:r>
      <w:r w:rsidR="00062E7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1167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2E7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Communal Establishments; Place of Work or Stud</w:t>
      </w:r>
      <w:r w:rsidR="00EC15E1">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and;</w:t>
      </w:r>
      <w:r w:rsidR="00062E7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Migration</w:t>
      </w:r>
    </w:p>
    <w:p w:rsidR="002925B9" w:rsidRPr="001167F9" w:rsidRDefault="002925B9" w:rsidP="002925B9">
      <w:pPr>
        <w:jc w:val="center"/>
        <w:rPr>
          <w:rFonts w:cstheme="minorHAnsi"/>
          <w:b/>
          <w:sz w:val="24"/>
          <w:szCs w:val="24"/>
        </w:rPr>
      </w:pPr>
      <w:r w:rsidRPr="001167F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67F9">
        <w:rPr>
          <w:rFonts w:cstheme="minorHAnsi"/>
          <w:b/>
          <w:sz w:val="24"/>
          <w:szCs w:val="24"/>
        </w:rPr>
        <w:t>Third Phase of main statistics (March 2023)</w:t>
      </w:r>
    </w:p>
    <w:p w:rsidR="002925B9" w:rsidRPr="002925B9" w:rsidRDefault="002925B9" w:rsidP="002925B9">
      <w:pPr>
        <w:rPr>
          <w:rFonts w:cstheme="minorHAnsi"/>
        </w:rPr>
      </w:pPr>
      <w:r w:rsidRPr="00033A84">
        <w:rPr>
          <w:rFonts w:cstheme="minorHAnsi"/>
        </w:rPr>
        <w:t xml:space="preserve">The </w:t>
      </w:r>
      <w:r>
        <w:rPr>
          <w:rFonts w:cstheme="minorHAnsi"/>
        </w:rPr>
        <w:t xml:space="preserve">third phase of main statistics </w:t>
      </w:r>
      <w:r w:rsidRPr="00033A84">
        <w:rPr>
          <w:rFonts w:cstheme="minorHAnsi"/>
        </w:rPr>
        <w:t>from Census 2021 w</w:t>
      </w:r>
      <w:r>
        <w:rPr>
          <w:rFonts w:cstheme="minorHAnsi"/>
        </w:rPr>
        <w:t>as</w:t>
      </w:r>
      <w:r w:rsidRPr="00033A84">
        <w:rPr>
          <w:rFonts w:cstheme="minorHAnsi"/>
        </w:rPr>
        <w:t xml:space="preserve"> published </w:t>
      </w:r>
      <w:r>
        <w:rPr>
          <w:rFonts w:cstheme="minorHAnsi"/>
        </w:rPr>
        <w:t xml:space="preserve">21 March 2023 and </w:t>
      </w:r>
      <w:r>
        <w:t xml:space="preserve">provides key statistics for a number of census topics such </w:t>
      </w:r>
      <w:r w:rsidRPr="002925B9">
        <w:t>as</w:t>
      </w:r>
      <w:r w:rsidRPr="002925B9">
        <w:rPr>
          <w:rFonts w:cstheme="minorHAnsi"/>
        </w:rPr>
        <w:t xml:space="preserve"> marital and civil partnership status, household composition and living arrangements, sexual orientation, qualifications, labour market, travel to work or study, communal establishments, and migration</w:t>
      </w:r>
      <w:r>
        <w:rPr>
          <w:rFonts w:cstheme="minorHAnsi"/>
        </w:rPr>
        <w:t xml:space="preserve">, </w:t>
      </w:r>
      <w:r w:rsidRPr="002925B9">
        <w:rPr>
          <w:rFonts w:cstheme="minorHAnsi"/>
        </w:rPr>
        <w:t xml:space="preserve">at Northern Ireland and Local Government District levels (LGD).  </w:t>
      </w:r>
    </w:p>
    <w:p w:rsidR="005C2E81" w:rsidRDefault="005C2E81" w:rsidP="00CA25DC">
      <w:pPr>
        <w:rPr>
          <w:b/>
        </w:rPr>
      </w:pPr>
    </w:p>
    <w:p w:rsidR="00062E72" w:rsidRPr="00062E72" w:rsidRDefault="00062E72" w:rsidP="00CA25DC">
      <w:pPr>
        <w:rPr>
          <w:b/>
        </w:rPr>
      </w:pPr>
      <w:r w:rsidRPr="00062E72">
        <w:rPr>
          <w:b/>
        </w:rPr>
        <w:t>Communal Establis</w:t>
      </w:r>
      <w:r w:rsidR="00EC15E1">
        <w:rPr>
          <w:b/>
        </w:rPr>
        <w:t>hments; Place of Work or Study and;</w:t>
      </w:r>
      <w:r w:rsidRPr="00062E72">
        <w:rPr>
          <w:b/>
        </w:rPr>
        <w:t xml:space="preserve"> Migration </w:t>
      </w:r>
    </w:p>
    <w:p w:rsidR="00CA25DC" w:rsidRDefault="00CA25DC" w:rsidP="00CA25DC">
      <w:r w:rsidRPr="00062E72">
        <w:t>This</w:t>
      </w:r>
      <w:r w:rsidRPr="00CA25DC">
        <w:rPr>
          <w:rFonts w:cstheme="minorHAnsi"/>
        </w:rPr>
        <w:t xml:space="preserve"> </w:t>
      </w:r>
      <w:r w:rsidR="001167F9">
        <w:rPr>
          <w:rFonts w:cstheme="minorHAnsi"/>
        </w:rPr>
        <w:t xml:space="preserve">summary report will provide census information on </w:t>
      </w:r>
      <w:r w:rsidR="00062E72">
        <w:rPr>
          <w:rFonts w:cstheme="minorHAnsi"/>
        </w:rPr>
        <w:t xml:space="preserve">the remaining topics from the most recent release.  These topics include </w:t>
      </w:r>
      <w:r w:rsidR="00062E72">
        <w:t>communal establishments,</w:t>
      </w:r>
      <w:r w:rsidR="00062E72" w:rsidRPr="00062E72">
        <w:t xml:space="preserve"> </w:t>
      </w:r>
      <w:r w:rsidR="00062E72">
        <w:t>p</w:t>
      </w:r>
      <w:r w:rsidR="00062E72" w:rsidRPr="00062E72">
        <w:t xml:space="preserve">lace of </w:t>
      </w:r>
      <w:r w:rsidR="00062E72">
        <w:t>work or s</w:t>
      </w:r>
      <w:r w:rsidR="00062E72" w:rsidRPr="00062E72">
        <w:t>tudy</w:t>
      </w:r>
      <w:r w:rsidR="00062E72">
        <w:t xml:space="preserve"> and m</w:t>
      </w:r>
      <w:r w:rsidR="00062E72" w:rsidRPr="00062E72">
        <w:t>igration</w:t>
      </w:r>
      <w:r w:rsidR="00062E72">
        <w:t>.</w:t>
      </w:r>
      <w:r w:rsidR="00062E72">
        <w:rPr>
          <w:rFonts w:cstheme="minorHAnsi"/>
        </w:rPr>
        <w:t xml:space="preserve"> </w:t>
      </w:r>
      <w:r w:rsidR="001167F9">
        <w:t xml:space="preserve">The report will provide information for </w:t>
      </w:r>
      <w:r w:rsidR="001167F9" w:rsidRPr="00C4477F">
        <w:rPr>
          <w:b/>
        </w:rPr>
        <w:t>Armagh City, Banbridge and Craigavon Borough</w:t>
      </w:r>
      <w:r w:rsidR="001167F9">
        <w:t xml:space="preserve"> for 2021.  Some comparatives with other LGD’s </w:t>
      </w:r>
      <w:r w:rsidR="00586C25">
        <w:t xml:space="preserve">have </w:t>
      </w:r>
      <w:r w:rsidR="001167F9">
        <w:t>also be</w:t>
      </w:r>
      <w:r w:rsidR="00532B9D">
        <w:t>en</w:t>
      </w:r>
      <w:r w:rsidR="001167F9">
        <w:t xml:space="preserve"> included.  </w:t>
      </w:r>
    </w:p>
    <w:p w:rsidR="005C2E81" w:rsidRDefault="005C2E81" w:rsidP="00CA25DC">
      <w:pPr>
        <w:rPr>
          <w:b/>
        </w:rPr>
      </w:pPr>
    </w:p>
    <w:p w:rsidR="00031E55" w:rsidRDefault="00062E72" w:rsidP="00CA25DC">
      <w:pPr>
        <w:rPr>
          <w:b/>
        </w:rPr>
      </w:pPr>
      <w:r>
        <w:rPr>
          <w:b/>
        </w:rPr>
        <w:t xml:space="preserve">Communal Establishments </w:t>
      </w:r>
    </w:p>
    <w:p w:rsidR="00EC15E1" w:rsidRDefault="00182D1A" w:rsidP="00CA25DC">
      <w:r>
        <w:t xml:space="preserve">A communal establishment is an establishment providing supervision of residential accommodation and includes student halls of residence, hospitals, care homes and prisons.  </w:t>
      </w:r>
    </w:p>
    <w:p w:rsidR="00803C54" w:rsidRDefault="00182D1A" w:rsidP="00CA25DC">
      <w:r>
        <w:t xml:space="preserve">In Armagh City, Banbridge and Craigavon there were 1,638 people (0.7% of the population in the borough) living in 96 communal establishments at the time of the 2021 Census. </w:t>
      </w:r>
      <w:r w:rsidR="001E38BF">
        <w:t xml:space="preserve"> Almost 80% (1,301) of the 1,638 people living in communal establishments in the borough lived in a care home. </w:t>
      </w:r>
      <w:r w:rsidR="00BF5FC3">
        <w:t xml:space="preserve">  </w:t>
      </w:r>
      <w:r w:rsidR="00EC15E1">
        <w:t>The next biggest communal establishments</w:t>
      </w:r>
      <w:r w:rsidR="008B1057">
        <w:t>,</w:t>
      </w:r>
      <w:r w:rsidR="00EC15E1">
        <w:t xml:space="preserve"> after medical and care establishments</w:t>
      </w:r>
      <w:r w:rsidR="008B1057">
        <w:t>, were educational establishments where</w:t>
      </w:r>
      <w:r w:rsidR="00BF5FC3">
        <w:t xml:space="preserve"> approximately 77 (4.7%) residents </w:t>
      </w:r>
      <w:r w:rsidR="008B1057">
        <w:t xml:space="preserve">were living </w:t>
      </w:r>
      <w:r w:rsidR="00BF5FC3">
        <w:t xml:space="preserve">and </w:t>
      </w:r>
      <w:r w:rsidR="008B1057">
        <w:t>hostels for the homeless or a temporary shelter where 68 residents (4.2%) were living</w:t>
      </w:r>
      <w:r w:rsidR="00BF5FC3">
        <w:t xml:space="preserve">. </w:t>
      </w:r>
      <w:r w:rsidR="0058579F">
        <w:t xml:space="preserve"> </w:t>
      </w:r>
    </w:p>
    <w:p w:rsidR="00170474" w:rsidRDefault="008B1057" w:rsidP="00CA25DC">
      <w:r>
        <w:t xml:space="preserve">Table 2 presents the percentage of the population living in communal establishments by LGD and as we can see, Belfast had the highest </w:t>
      </w:r>
      <w:r w:rsidR="00702F8E">
        <w:t xml:space="preserve">percentage of its population living in a communal establishment at 2.7% while Armagh City, Banbridge and Craigavon had the lowest at just 0.7%.  </w:t>
      </w:r>
    </w:p>
    <w:p w:rsidR="00170474" w:rsidRDefault="00170474" w:rsidP="00CA25DC"/>
    <w:p w:rsidR="00170474" w:rsidRDefault="00170474" w:rsidP="00CA25DC"/>
    <w:p w:rsidR="00170474" w:rsidRDefault="00170474" w:rsidP="00CA25DC"/>
    <w:p w:rsidR="00170474" w:rsidRDefault="00170474" w:rsidP="00CA25DC">
      <w:pPr>
        <w:rPr>
          <w:b/>
        </w:rPr>
      </w:pPr>
    </w:p>
    <w:tbl>
      <w:tblPr>
        <w:tblStyle w:val="GridTable1Light"/>
        <w:tblW w:w="8976" w:type="dxa"/>
        <w:tblLayout w:type="fixed"/>
        <w:tblLook w:val="04A0" w:firstRow="1" w:lastRow="0" w:firstColumn="1" w:lastColumn="0" w:noHBand="0" w:noVBand="1"/>
      </w:tblPr>
      <w:tblGrid>
        <w:gridCol w:w="4820"/>
        <w:gridCol w:w="1701"/>
        <w:gridCol w:w="1227"/>
        <w:gridCol w:w="1228"/>
      </w:tblGrid>
      <w:tr w:rsidR="00680A82" w:rsidRPr="00BF5FC3" w:rsidTr="00680A82">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4820" w:type="dxa"/>
            <w:noWrap/>
            <w:hideMark/>
          </w:tcPr>
          <w:p w:rsidR="00BF5FC3" w:rsidRPr="00BF5FC3" w:rsidRDefault="00BF5FC3" w:rsidP="00BF5FC3">
            <w:pPr>
              <w:rPr>
                <w:rFonts w:ascii="Calibri" w:eastAsia="Times New Roman" w:hAnsi="Calibri" w:cs="Calibri"/>
                <w:color w:val="000000"/>
                <w:lang w:eastAsia="en-GB"/>
              </w:rPr>
            </w:pPr>
            <w:r w:rsidRPr="00BF5FC3">
              <w:rPr>
                <w:rFonts w:ascii="Calibri" w:eastAsia="Times New Roman" w:hAnsi="Calibri" w:cs="Calibri"/>
                <w:color w:val="000000"/>
                <w:lang w:eastAsia="en-GB"/>
              </w:rPr>
              <w:lastRenderedPageBreak/>
              <w:t> </w:t>
            </w:r>
          </w:p>
        </w:tc>
        <w:tc>
          <w:tcPr>
            <w:tcW w:w="1701" w:type="dxa"/>
            <w:hideMark/>
          </w:tcPr>
          <w:p w:rsidR="00BF5FC3" w:rsidRPr="00BF5FC3" w:rsidRDefault="00BF5FC3" w:rsidP="00BF5F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Number of establishments</w:t>
            </w:r>
          </w:p>
        </w:tc>
        <w:tc>
          <w:tcPr>
            <w:tcW w:w="1227" w:type="dxa"/>
            <w:noWrap/>
            <w:hideMark/>
          </w:tcPr>
          <w:p w:rsidR="00BF5FC3" w:rsidRPr="00BF5FC3" w:rsidRDefault="00BF5FC3" w:rsidP="00BF5F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Number of residents</w:t>
            </w:r>
          </w:p>
        </w:tc>
        <w:tc>
          <w:tcPr>
            <w:tcW w:w="1228" w:type="dxa"/>
            <w:noWrap/>
            <w:hideMark/>
          </w:tcPr>
          <w:p w:rsidR="00BF5FC3" w:rsidRPr="00BF5FC3" w:rsidRDefault="00BF5FC3" w:rsidP="00BF5F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w:t>
            </w:r>
          </w:p>
        </w:tc>
      </w:tr>
      <w:tr w:rsidR="00BF5FC3" w:rsidRPr="00BF5FC3" w:rsidTr="00680A82">
        <w:trPr>
          <w:trHeight w:val="315"/>
        </w:trPr>
        <w:tc>
          <w:tcPr>
            <w:cnfStyle w:val="001000000000" w:firstRow="0" w:lastRow="0" w:firstColumn="1" w:lastColumn="0" w:oddVBand="0" w:evenVBand="0" w:oddHBand="0" w:evenHBand="0" w:firstRowFirstColumn="0" w:firstRowLastColumn="0" w:lastRowFirstColumn="0" w:lastRowLastColumn="0"/>
            <w:tcW w:w="4820" w:type="dxa"/>
            <w:noWrap/>
            <w:hideMark/>
          </w:tcPr>
          <w:p w:rsidR="00BF5FC3" w:rsidRPr="00BF5FC3" w:rsidRDefault="00BF5FC3" w:rsidP="00BF5FC3">
            <w:pPr>
              <w:rPr>
                <w:rFonts w:ascii="Calibri" w:eastAsia="Times New Roman" w:hAnsi="Calibri" w:cs="Calibri"/>
                <w:color w:val="000000"/>
                <w:lang w:eastAsia="en-GB"/>
              </w:rPr>
            </w:pPr>
            <w:r w:rsidRPr="00BF5FC3">
              <w:rPr>
                <w:rFonts w:ascii="Calibri" w:eastAsia="Times New Roman" w:hAnsi="Calibri" w:cs="Calibri"/>
                <w:color w:val="000000"/>
                <w:lang w:eastAsia="en-GB"/>
              </w:rPr>
              <w:t>Medical and care establishment</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BF5FC3">
              <w:rPr>
                <w:rFonts w:ascii="Calibri" w:eastAsia="Times New Roman" w:hAnsi="Calibri" w:cs="Calibri"/>
                <w:b/>
                <w:bCs/>
                <w:color w:val="000000"/>
                <w:lang w:eastAsia="en-GB"/>
              </w:rPr>
              <w:t>46</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BF5FC3">
              <w:rPr>
                <w:rFonts w:ascii="Calibri" w:eastAsia="Times New Roman" w:hAnsi="Calibri" w:cs="Calibri"/>
                <w:b/>
                <w:bCs/>
                <w:color w:val="000000"/>
                <w:lang w:eastAsia="en-GB"/>
              </w:rPr>
              <w:t>1</w:t>
            </w:r>
            <w:r>
              <w:rPr>
                <w:rFonts w:ascii="Calibri" w:eastAsia="Times New Roman" w:hAnsi="Calibri" w:cs="Calibri"/>
                <w:b/>
                <w:bCs/>
                <w:color w:val="000000"/>
                <w:lang w:eastAsia="en-GB"/>
              </w:rPr>
              <w:t>,</w:t>
            </w:r>
            <w:r w:rsidRPr="00BF5FC3">
              <w:rPr>
                <w:rFonts w:ascii="Calibri" w:eastAsia="Times New Roman" w:hAnsi="Calibri" w:cs="Calibri"/>
                <w:b/>
                <w:bCs/>
                <w:color w:val="000000"/>
                <w:lang w:eastAsia="en-GB"/>
              </w:rPr>
              <w:t>395</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BF5FC3">
              <w:rPr>
                <w:rFonts w:ascii="Calibri" w:eastAsia="Times New Roman" w:hAnsi="Calibri" w:cs="Calibri"/>
                <w:b/>
                <w:bCs/>
                <w:color w:val="000000"/>
                <w:lang w:eastAsia="en-GB"/>
              </w:rPr>
              <w:t>85.2%</w:t>
            </w:r>
          </w:p>
        </w:tc>
      </w:tr>
      <w:tr w:rsidR="00680A82" w:rsidRPr="00BF5FC3" w:rsidTr="00680A82">
        <w:trPr>
          <w:trHeight w:val="315"/>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General Hospital</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0</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0.0%</w:t>
            </w:r>
          </w:p>
        </w:tc>
      </w:tr>
      <w:tr w:rsidR="00BF5FC3" w:rsidRPr="00BF5FC3" w:rsidTr="00680A82">
        <w:trPr>
          <w:trHeight w:val="243"/>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Mental health hospital/unit (including secure units)</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22</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1.3%</w:t>
            </w:r>
          </w:p>
        </w:tc>
      </w:tr>
      <w:tr w:rsidR="00BF5FC3" w:rsidRPr="00BF5FC3" w:rsidTr="00680A82">
        <w:trPr>
          <w:trHeight w:val="233"/>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Children's home (including secure units)</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6</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17</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1.0%</w:t>
            </w:r>
          </w:p>
        </w:tc>
      </w:tr>
      <w:tr w:rsidR="00BF5FC3" w:rsidRPr="00BF5FC3" w:rsidTr="00680A82">
        <w:trPr>
          <w:trHeight w:val="251"/>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Care home with nursing</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22</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w:t>
            </w:r>
            <w:r>
              <w:rPr>
                <w:rFonts w:ascii="Calibri" w:eastAsia="Times New Roman" w:hAnsi="Calibri" w:cs="Calibri"/>
                <w:color w:val="000000"/>
                <w:lang w:eastAsia="en-GB"/>
              </w:rPr>
              <w:t>,</w:t>
            </w:r>
            <w:r w:rsidRPr="00BF5FC3">
              <w:rPr>
                <w:rFonts w:ascii="Calibri" w:eastAsia="Times New Roman" w:hAnsi="Calibri" w:cs="Calibri"/>
                <w:color w:val="000000"/>
                <w:lang w:eastAsia="en-GB"/>
              </w:rPr>
              <w:t>092</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66.7%</w:t>
            </w:r>
          </w:p>
        </w:tc>
      </w:tr>
      <w:tr w:rsidR="00680A82" w:rsidRPr="00BF5FC3" w:rsidTr="00680A82">
        <w:trPr>
          <w:trHeight w:val="315"/>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Care home without nursing</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11</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209</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12.8%</w:t>
            </w:r>
          </w:p>
        </w:tc>
      </w:tr>
      <w:tr w:rsidR="00BF5FC3" w:rsidRPr="00BF5FC3" w:rsidTr="00680A82">
        <w:trPr>
          <w:trHeight w:val="217"/>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Other</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4</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55</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3.4%</w:t>
            </w:r>
          </w:p>
        </w:tc>
      </w:tr>
      <w:tr w:rsidR="00BF5FC3" w:rsidRPr="00BF5FC3" w:rsidTr="00680A82">
        <w:trPr>
          <w:trHeight w:val="315"/>
        </w:trPr>
        <w:tc>
          <w:tcPr>
            <w:cnfStyle w:val="001000000000" w:firstRow="0" w:lastRow="0" w:firstColumn="1" w:lastColumn="0" w:oddVBand="0" w:evenVBand="0" w:oddHBand="0" w:evenHBand="0" w:firstRowFirstColumn="0" w:firstRowLastColumn="0" w:lastRowFirstColumn="0" w:lastRowLastColumn="0"/>
            <w:tcW w:w="4820" w:type="dxa"/>
            <w:noWrap/>
            <w:hideMark/>
          </w:tcPr>
          <w:p w:rsidR="00BF5FC3" w:rsidRPr="00BF5FC3" w:rsidRDefault="00BF5FC3" w:rsidP="00BF5FC3">
            <w:pPr>
              <w:rPr>
                <w:rFonts w:ascii="Calibri" w:eastAsia="Times New Roman" w:hAnsi="Calibri" w:cs="Calibri"/>
                <w:color w:val="000000"/>
                <w:lang w:eastAsia="en-GB"/>
              </w:rPr>
            </w:pPr>
            <w:r w:rsidRPr="00BF5FC3">
              <w:rPr>
                <w:rFonts w:ascii="Calibri" w:eastAsia="Times New Roman" w:hAnsi="Calibri" w:cs="Calibri"/>
                <w:color w:val="000000"/>
                <w:lang w:eastAsia="en-GB"/>
              </w:rPr>
              <w:t>Other Establishment</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BF5FC3">
              <w:rPr>
                <w:rFonts w:ascii="Calibri" w:eastAsia="Times New Roman" w:hAnsi="Calibri" w:cs="Calibri"/>
                <w:b/>
                <w:bCs/>
                <w:color w:val="000000"/>
                <w:lang w:eastAsia="en-GB"/>
              </w:rPr>
              <w:t>50</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BF5FC3">
              <w:rPr>
                <w:rFonts w:ascii="Calibri" w:eastAsia="Times New Roman" w:hAnsi="Calibri" w:cs="Calibri"/>
                <w:b/>
                <w:bCs/>
                <w:color w:val="000000"/>
                <w:lang w:eastAsia="en-GB"/>
              </w:rPr>
              <w:t>243</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BF5FC3">
              <w:rPr>
                <w:rFonts w:ascii="Calibri" w:eastAsia="Times New Roman" w:hAnsi="Calibri" w:cs="Calibri"/>
                <w:b/>
                <w:bCs/>
                <w:color w:val="000000"/>
                <w:lang w:eastAsia="en-GB"/>
              </w:rPr>
              <w:t>14.8%</w:t>
            </w:r>
          </w:p>
        </w:tc>
      </w:tr>
      <w:tr w:rsidR="00BF5FC3" w:rsidRPr="00BF5FC3" w:rsidTr="00680A82">
        <w:trPr>
          <w:trHeight w:val="452"/>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 xml:space="preserve">Education establishments (university, school, </w:t>
            </w: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other education establishment)</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77</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4.7%</w:t>
            </w:r>
          </w:p>
        </w:tc>
      </w:tr>
      <w:tr w:rsidR="00BF5FC3" w:rsidRPr="00BF5FC3" w:rsidTr="00680A82">
        <w:trPr>
          <w:trHeight w:val="205"/>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Hotel, guest house, B&amp;B, youth hostel</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27</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34</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2.1%</w:t>
            </w:r>
          </w:p>
        </w:tc>
      </w:tr>
      <w:tr w:rsidR="00BF5FC3" w:rsidRPr="00BF5FC3" w:rsidTr="00680A82">
        <w:trPr>
          <w:trHeight w:val="267"/>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Hostel for the homeless or temporary shelter</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4</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68</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4.2%</w:t>
            </w:r>
          </w:p>
        </w:tc>
      </w:tr>
      <w:tr w:rsidR="00BF5FC3" w:rsidRPr="00BF5FC3" w:rsidTr="00680A82">
        <w:trPr>
          <w:trHeight w:val="496"/>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Holiday accommodation (for example holiday parks)</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0</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0.0%</w:t>
            </w:r>
          </w:p>
        </w:tc>
      </w:tr>
      <w:tr w:rsidR="00BF5FC3" w:rsidRPr="00BF5FC3" w:rsidTr="00680A82">
        <w:trPr>
          <w:trHeight w:val="221"/>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Religious establishment</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13</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28</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1.7%</w:t>
            </w:r>
          </w:p>
        </w:tc>
      </w:tr>
      <w:tr w:rsidR="00BF5FC3" w:rsidRPr="00BF5FC3" w:rsidTr="00680A82">
        <w:trPr>
          <w:trHeight w:val="239"/>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Staff/worker accommodation only</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3</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36</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2.2%</w:t>
            </w:r>
          </w:p>
        </w:tc>
      </w:tr>
      <w:tr w:rsidR="00BF5FC3" w:rsidRPr="00BF5FC3" w:rsidTr="00680A82">
        <w:trPr>
          <w:trHeight w:val="229"/>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b w:val="0"/>
                <w:color w:val="000000"/>
                <w:lang w:eastAsia="en-GB"/>
              </w:rPr>
            </w:pPr>
            <w:r w:rsidRPr="00680A82">
              <w:rPr>
                <w:rFonts w:ascii="Calibri" w:eastAsia="Times New Roman" w:hAnsi="Calibri" w:cs="Calibri"/>
                <w:b w:val="0"/>
                <w:color w:val="000000"/>
                <w:lang w:eastAsia="en-GB"/>
              </w:rPr>
              <w:t xml:space="preserve">    </w:t>
            </w:r>
            <w:r w:rsidRPr="00BF5FC3">
              <w:rPr>
                <w:rFonts w:ascii="Calibri" w:eastAsia="Times New Roman" w:hAnsi="Calibri" w:cs="Calibri"/>
                <w:b w:val="0"/>
                <w:color w:val="000000"/>
                <w:lang w:eastAsia="en-GB"/>
              </w:rPr>
              <w:t>Other establishment</w:t>
            </w:r>
          </w:p>
        </w:tc>
        <w:tc>
          <w:tcPr>
            <w:tcW w:w="1701" w:type="dxa"/>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1</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0</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F5FC3">
              <w:rPr>
                <w:rFonts w:ascii="Calibri" w:eastAsia="Times New Roman" w:hAnsi="Calibri" w:cs="Calibri"/>
                <w:color w:val="000000"/>
                <w:lang w:eastAsia="en-GB"/>
              </w:rPr>
              <w:t>0.0%</w:t>
            </w:r>
          </w:p>
        </w:tc>
      </w:tr>
      <w:tr w:rsidR="00BF5FC3" w:rsidRPr="00BF5FC3" w:rsidTr="00680A82">
        <w:trPr>
          <w:trHeight w:val="105"/>
        </w:trPr>
        <w:tc>
          <w:tcPr>
            <w:cnfStyle w:val="001000000000" w:firstRow="0" w:lastRow="0" w:firstColumn="1" w:lastColumn="0" w:oddVBand="0" w:evenVBand="0" w:oddHBand="0" w:evenHBand="0" w:firstRowFirstColumn="0" w:firstRowLastColumn="0" w:lastRowFirstColumn="0" w:lastRowLastColumn="0"/>
            <w:tcW w:w="4820" w:type="dxa"/>
            <w:hideMark/>
          </w:tcPr>
          <w:p w:rsidR="00BF5FC3" w:rsidRPr="00BF5FC3" w:rsidRDefault="00BF5FC3" w:rsidP="00BF5FC3">
            <w:pPr>
              <w:rPr>
                <w:rFonts w:ascii="Calibri" w:eastAsia="Times New Roman" w:hAnsi="Calibri" w:cs="Calibri"/>
                <w:color w:val="000000"/>
                <w:lang w:eastAsia="en-GB"/>
              </w:rPr>
            </w:pPr>
            <w:r w:rsidRPr="00BF5FC3">
              <w:rPr>
                <w:rFonts w:ascii="Calibri" w:eastAsia="Times New Roman" w:hAnsi="Calibri" w:cs="Calibri"/>
                <w:color w:val="000000"/>
                <w:lang w:eastAsia="en-GB"/>
              </w:rPr>
              <w:t>All communal establishments</w:t>
            </w:r>
          </w:p>
        </w:tc>
        <w:tc>
          <w:tcPr>
            <w:tcW w:w="1701"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BF5FC3">
              <w:rPr>
                <w:rFonts w:ascii="Calibri" w:eastAsia="Times New Roman" w:hAnsi="Calibri" w:cs="Calibri"/>
                <w:b/>
                <w:color w:val="000000"/>
                <w:lang w:eastAsia="en-GB"/>
              </w:rPr>
              <w:t>96</w:t>
            </w:r>
          </w:p>
        </w:tc>
        <w:tc>
          <w:tcPr>
            <w:tcW w:w="1227"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BF5FC3">
              <w:rPr>
                <w:rFonts w:ascii="Calibri" w:eastAsia="Times New Roman" w:hAnsi="Calibri" w:cs="Calibri"/>
                <w:b/>
                <w:color w:val="000000"/>
                <w:lang w:eastAsia="en-GB"/>
              </w:rPr>
              <w:t>1</w:t>
            </w:r>
            <w:r>
              <w:rPr>
                <w:rFonts w:ascii="Calibri" w:eastAsia="Times New Roman" w:hAnsi="Calibri" w:cs="Calibri"/>
                <w:b/>
                <w:color w:val="000000"/>
                <w:lang w:eastAsia="en-GB"/>
              </w:rPr>
              <w:t>,</w:t>
            </w:r>
            <w:r w:rsidRPr="00BF5FC3">
              <w:rPr>
                <w:rFonts w:ascii="Calibri" w:eastAsia="Times New Roman" w:hAnsi="Calibri" w:cs="Calibri"/>
                <w:b/>
                <w:color w:val="000000"/>
                <w:lang w:eastAsia="en-GB"/>
              </w:rPr>
              <w:t>638</w:t>
            </w:r>
          </w:p>
        </w:tc>
        <w:tc>
          <w:tcPr>
            <w:tcW w:w="1228" w:type="dxa"/>
            <w:noWrap/>
            <w:hideMark/>
          </w:tcPr>
          <w:p w:rsidR="00BF5FC3" w:rsidRPr="00BF5FC3" w:rsidRDefault="00BF5FC3" w:rsidP="00BF5F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BF5FC3">
              <w:rPr>
                <w:rFonts w:ascii="Calibri" w:eastAsia="Times New Roman" w:hAnsi="Calibri" w:cs="Calibri"/>
                <w:b/>
                <w:color w:val="000000"/>
                <w:lang w:eastAsia="en-GB"/>
              </w:rPr>
              <w:t>100.0%</w:t>
            </w:r>
          </w:p>
        </w:tc>
      </w:tr>
    </w:tbl>
    <w:p w:rsidR="00CA25DC" w:rsidRPr="00AB25BD" w:rsidRDefault="00AB25BD">
      <w:pPr>
        <w:rPr>
          <w:i/>
          <w:sz w:val="20"/>
          <w:szCs w:val="20"/>
        </w:rPr>
      </w:pPr>
      <w:r w:rsidRPr="00AB25BD">
        <w:rPr>
          <w:i/>
          <w:sz w:val="20"/>
          <w:szCs w:val="20"/>
        </w:rPr>
        <w:t xml:space="preserve">Table 1: </w:t>
      </w:r>
      <w:r w:rsidR="00170474">
        <w:rPr>
          <w:i/>
          <w:sz w:val="20"/>
          <w:szCs w:val="20"/>
        </w:rPr>
        <w:t>Communal establishment management and type – usual residents in a communal establishment</w:t>
      </w:r>
      <w:r w:rsidRPr="00AB25BD">
        <w:rPr>
          <w:i/>
          <w:sz w:val="20"/>
          <w:szCs w:val="20"/>
        </w:rPr>
        <w:t>, 2021, Armagh City, Banbridge and Craigavon.   Source: Table MS-</w:t>
      </w:r>
      <w:r w:rsidR="00170474">
        <w:rPr>
          <w:i/>
          <w:sz w:val="20"/>
          <w:szCs w:val="20"/>
        </w:rPr>
        <w:t>F</w:t>
      </w:r>
      <w:r w:rsidR="00803C54">
        <w:rPr>
          <w:i/>
          <w:sz w:val="20"/>
          <w:szCs w:val="20"/>
        </w:rPr>
        <w:t>02</w:t>
      </w:r>
      <w:r w:rsidRPr="00AB25BD">
        <w:rPr>
          <w:i/>
          <w:sz w:val="20"/>
          <w:szCs w:val="20"/>
        </w:rPr>
        <w:t>, Census 2021.</w:t>
      </w:r>
    </w:p>
    <w:p w:rsidR="00F67583" w:rsidRDefault="00F67583" w:rsidP="00563ABC">
      <w:pPr>
        <w:rPr>
          <w:i/>
          <w:sz w:val="20"/>
          <w:szCs w:val="20"/>
        </w:rPr>
      </w:pPr>
    </w:p>
    <w:tbl>
      <w:tblPr>
        <w:tblStyle w:val="GridTable1Light"/>
        <w:tblW w:w="8940" w:type="dxa"/>
        <w:tblLayout w:type="fixed"/>
        <w:tblLook w:val="04A0" w:firstRow="1" w:lastRow="0" w:firstColumn="1" w:lastColumn="0" w:noHBand="0" w:noVBand="1"/>
      </w:tblPr>
      <w:tblGrid>
        <w:gridCol w:w="3720"/>
        <w:gridCol w:w="1740"/>
        <w:gridCol w:w="1740"/>
        <w:gridCol w:w="1740"/>
      </w:tblGrid>
      <w:tr w:rsidR="00680A82" w:rsidRPr="00680A82" w:rsidTr="00680A82">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20" w:type="dxa"/>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 </w:t>
            </w:r>
          </w:p>
        </w:tc>
        <w:tc>
          <w:tcPr>
            <w:tcW w:w="1740" w:type="dxa"/>
            <w:hideMark/>
          </w:tcPr>
          <w:p w:rsidR="00680A82" w:rsidRPr="00680A82" w:rsidRDefault="00680A82" w:rsidP="00680A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bCs w:val="0"/>
                <w:color w:val="000000"/>
                <w:lang w:eastAsia="en-GB"/>
              </w:rPr>
              <w:t>Population</w:t>
            </w:r>
            <w:r w:rsidRPr="00680A82">
              <w:rPr>
                <w:rFonts w:ascii="Calibri" w:eastAsia="Times New Roman" w:hAnsi="Calibri" w:cs="Calibri"/>
                <w:color w:val="000000"/>
                <w:lang w:eastAsia="en-GB"/>
              </w:rPr>
              <w:t xml:space="preserve"> </w:t>
            </w:r>
          </w:p>
        </w:tc>
        <w:tc>
          <w:tcPr>
            <w:tcW w:w="1740" w:type="dxa"/>
            <w:hideMark/>
          </w:tcPr>
          <w:p w:rsidR="00680A82" w:rsidRPr="00680A82" w:rsidRDefault="00680A82" w:rsidP="00680A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bCs w:val="0"/>
                <w:color w:val="000000"/>
                <w:lang w:eastAsia="en-GB"/>
              </w:rPr>
              <w:t>Living in</w:t>
            </w:r>
            <w:r w:rsidRPr="00680A82">
              <w:rPr>
                <w:rFonts w:ascii="Calibri" w:eastAsia="Times New Roman" w:hAnsi="Calibri" w:cs="Calibri"/>
                <w:color w:val="000000"/>
                <w:lang w:eastAsia="en-GB"/>
              </w:rPr>
              <w:t xml:space="preserve"> communal establishments</w:t>
            </w:r>
          </w:p>
        </w:tc>
        <w:tc>
          <w:tcPr>
            <w:tcW w:w="1740" w:type="dxa"/>
            <w:noWrap/>
            <w:hideMark/>
          </w:tcPr>
          <w:p w:rsidR="00680A82" w:rsidRPr="00680A82" w:rsidRDefault="00680A82" w:rsidP="00680A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Northern Ireland</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1,903,175</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26,355</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1.4%</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Antrim and Newtownabbey</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145,661</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2,181</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1.5%</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Armagh City, Banbridge and Craigavon</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218,656</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1,638</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0.7%</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Belfast</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345,418</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9,397</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2.7%</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Causeway Coast and Glens</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141,746</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1,948</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1.4%</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Derry City and Strabane</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150,756</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1,469</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1.0%</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 xml:space="preserve">Fermanagh and </w:t>
            </w:r>
            <w:proofErr w:type="spellStart"/>
            <w:r w:rsidRPr="00680A82">
              <w:rPr>
                <w:rFonts w:ascii="Calibri" w:eastAsia="Times New Roman" w:hAnsi="Calibri" w:cs="Calibri"/>
                <w:color w:val="000000"/>
                <w:lang w:eastAsia="en-GB"/>
              </w:rPr>
              <w:t>Omagh</w:t>
            </w:r>
            <w:proofErr w:type="spellEnd"/>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116,812</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1,256</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1.1%</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Lisburn and Castlereagh</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149,106</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2,512</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1.7%</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Mid and East Antrim</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138,994</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1,212</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0.9%</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Mid Ulster</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150,293</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1,174</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0.8%</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r w:rsidRPr="00680A82">
              <w:rPr>
                <w:rFonts w:ascii="Calibri" w:eastAsia="Times New Roman" w:hAnsi="Calibri" w:cs="Calibri"/>
                <w:color w:val="000000"/>
                <w:lang w:eastAsia="en-GB"/>
              </w:rPr>
              <w:t xml:space="preserve">Newry, </w:t>
            </w:r>
            <w:proofErr w:type="spellStart"/>
            <w:r w:rsidRPr="00680A82">
              <w:rPr>
                <w:rFonts w:ascii="Calibri" w:eastAsia="Times New Roman" w:hAnsi="Calibri" w:cs="Calibri"/>
                <w:color w:val="000000"/>
                <w:lang w:eastAsia="en-GB"/>
              </w:rPr>
              <w:t>Mourne</w:t>
            </w:r>
            <w:proofErr w:type="spellEnd"/>
            <w:r w:rsidRPr="00680A82">
              <w:rPr>
                <w:rFonts w:ascii="Calibri" w:eastAsia="Times New Roman" w:hAnsi="Calibri" w:cs="Calibri"/>
                <w:color w:val="000000"/>
                <w:lang w:eastAsia="en-GB"/>
              </w:rPr>
              <w:t xml:space="preserve"> and Down</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182,074</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1,820</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1.0%</w:t>
            </w:r>
          </w:p>
        </w:tc>
      </w:tr>
      <w:tr w:rsidR="00680A82" w:rsidRPr="00680A82" w:rsidTr="00680A82">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680A82" w:rsidRPr="00680A82" w:rsidRDefault="00680A82" w:rsidP="00680A82">
            <w:pPr>
              <w:rPr>
                <w:rFonts w:ascii="Calibri" w:eastAsia="Times New Roman" w:hAnsi="Calibri" w:cs="Calibri"/>
                <w:color w:val="000000"/>
                <w:lang w:eastAsia="en-GB"/>
              </w:rPr>
            </w:pPr>
            <w:proofErr w:type="spellStart"/>
            <w:r w:rsidRPr="00680A82">
              <w:rPr>
                <w:rFonts w:ascii="Calibri" w:eastAsia="Times New Roman" w:hAnsi="Calibri" w:cs="Calibri"/>
                <w:color w:val="000000"/>
                <w:lang w:eastAsia="en-GB"/>
              </w:rPr>
              <w:t>Ards</w:t>
            </w:r>
            <w:proofErr w:type="spellEnd"/>
            <w:r w:rsidRPr="00680A82">
              <w:rPr>
                <w:rFonts w:ascii="Calibri" w:eastAsia="Times New Roman" w:hAnsi="Calibri" w:cs="Calibri"/>
                <w:color w:val="000000"/>
                <w:lang w:eastAsia="en-GB"/>
              </w:rPr>
              <w:t xml:space="preserve"> and North Down</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163,659</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1,748</w:t>
            </w:r>
          </w:p>
        </w:tc>
        <w:tc>
          <w:tcPr>
            <w:tcW w:w="1740" w:type="dxa"/>
            <w:noWrap/>
            <w:hideMark/>
          </w:tcPr>
          <w:p w:rsidR="00680A82" w:rsidRPr="00680A82" w:rsidRDefault="00680A82" w:rsidP="00680A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A82">
              <w:rPr>
                <w:rFonts w:ascii="Calibri" w:eastAsia="Times New Roman" w:hAnsi="Calibri" w:cs="Calibri"/>
                <w:color w:val="000000"/>
                <w:lang w:eastAsia="en-GB"/>
              </w:rPr>
              <w:t>1.1%</w:t>
            </w:r>
          </w:p>
        </w:tc>
      </w:tr>
    </w:tbl>
    <w:p w:rsidR="008B1057" w:rsidRPr="00AB25BD" w:rsidRDefault="008B1057" w:rsidP="008B1057">
      <w:pPr>
        <w:rPr>
          <w:i/>
          <w:sz w:val="20"/>
          <w:szCs w:val="20"/>
        </w:rPr>
      </w:pPr>
      <w:r w:rsidRPr="00AB25BD">
        <w:rPr>
          <w:i/>
          <w:sz w:val="20"/>
          <w:szCs w:val="20"/>
        </w:rPr>
        <w:t xml:space="preserve">Table </w:t>
      </w:r>
      <w:r>
        <w:rPr>
          <w:i/>
          <w:sz w:val="20"/>
          <w:szCs w:val="20"/>
        </w:rPr>
        <w:t>2</w:t>
      </w:r>
      <w:r w:rsidRPr="00AB25BD">
        <w:rPr>
          <w:i/>
          <w:sz w:val="20"/>
          <w:szCs w:val="20"/>
        </w:rPr>
        <w:t xml:space="preserve">: </w:t>
      </w:r>
      <w:r>
        <w:rPr>
          <w:i/>
          <w:sz w:val="20"/>
          <w:szCs w:val="20"/>
        </w:rPr>
        <w:t>Communal establishment residents by LGD, 2021</w:t>
      </w:r>
      <w:r w:rsidRPr="00AB25BD">
        <w:rPr>
          <w:i/>
          <w:sz w:val="20"/>
          <w:szCs w:val="20"/>
        </w:rPr>
        <w:t xml:space="preserve">.   Source: </w:t>
      </w:r>
      <w:r>
        <w:rPr>
          <w:i/>
          <w:sz w:val="20"/>
          <w:szCs w:val="20"/>
        </w:rPr>
        <w:t xml:space="preserve">Table MS-A01 &amp; </w:t>
      </w:r>
      <w:r w:rsidRPr="00AB25BD">
        <w:rPr>
          <w:i/>
          <w:sz w:val="20"/>
          <w:szCs w:val="20"/>
        </w:rPr>
        <w:t>Table MS-</w:t>
      </w:r>
      <w:r>
        <w:rPr>
          <w:i/>
          <w:sz w:val="20"/>
          <w:szCs w:val="20"/>
        </w:rPr>
        <w:t>F02</w:t>
      </w:r>
      <w:r w:rsidRPr="00AB25BD">
        <w:rPr>
          <w:i/>
          <w:sz w:val="20"/>
          <w:szCs w:val="20"/>
        </w:rPr>
        <w:t>, Census 2021.</w:t>
      </w:r>
    </w:p>
    <w:p w:rsidR="00680A82" w:rsidRDefault="00680A82" w:rsidP="00563ABC">
      <w:pPr>
        <w:rPr>
          <w:i/>
          <w:sz w:val="20"/>
          <w:szCs w:val="20"/>
        </w:rPr>
      </w:pPr>
    </w:p>
    <w:p w:rsidR="008821DD" w:rsidRPr="00913606" w:rsidRDefault="005854DC" w:rsidP="00563ABC">
      <w:r>
        <w:lastRenderedPageBreak/>
        <w:t>Of the 1,638 residents living in communal establishments, almost 60% (969 people) are living in medical and care establishments and their day to day activities are limited a lot</w:t>
      </w:r>
      <w:r>
        <w:rPr>
          <w:rStyle w:val="FootnoteReference"/>
        </w:rPr>
        <w:footnoteReference w:id="1"/>
      </w:r>
      <w:r>
        <w:t xml:space="preserve">.  This is compared to 37% in Northern Ireland overall.  The largest grouping in Northern Ireland overall is residents living in other establishments </w:t>
      </w:r>
      <w:r w:rsidR="00913606">
        <w:t xml:space="preserve">(37.8%) whose day to day activities are not limited.  This grouping accounts for only 10.7% of the residents in communal establishments in Armagh City, Banbridge and Craigavon borough.    </w:t>
      </w:r>
    </w:p>
    <w:tbl>
      <w:tblPr>
        <w:tblStyle w:val="GridTable1Light"/>
        <w:tblW w:w="7792" w:type="dxa"/>
        <w:tblLayout w:type="fixed"/>
        <w:tblLook w:val="04A0" w:firstRow="1" w:lastRow="0" w:firstColumn="1" w:lastColumn="0" w:noHBand="0" w:noVBand="1"/>
      </w:tblPr>
      <w:tblGrid>
        <w:gridCol w:w="3841"/>
        <w:gridCol w:w="1975"/>
        <w:gridCol w:w="1976"/>
      </w:tblGrid>
      <w:tr w:rsidR="008821DD" w:rsidRPr="008821DD" w:rsidTr="008821DD">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color w:val="000000"/>
                <w:lang w:eastAsia="en-GB"/>
              </w:rPr>
            </w:pPr>
            <w:r w:rsidRPr="008821DD">
              <w:rPr>
                <w:rFonts w:ascii="Calibri" w:eastAsia="Times New Roman" w:hAnsi="Calibri" w:cs="Calibri"/>
                <w:color w:val="000000"/>
                <w:lang w:eastAsia="en-GB"/>
              </w:rPr>
              <w:t> </w:t>
            </w:r>
          </w:p>
        </w:tc>
        <w:tc>
          <w:tcPr>
            <w:tcW w:w="1975" w:type="dxa"/>
            <w:hideMark/>
          </w:tcPr>
          <w:p w:rsidR="008821DD" w:rsidRPr="008821DD" w:rsidRDefault="008821DD" w:rsidP="008821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Northern Ireland</w:t>
            </w:r>
          </w:p>
        </w:tc>
        <w:tc>
          <w:tcPr>
            <w:tcW w:w="1976" w:type="dxa"/>
            <w:hideMark/>
          </w:tcPr>
          <w:p w:rsidR="008821DD" w:rsidRPr="008821DD" w:rsidRDefault="008821DD" w:rsidP="008821D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Armagh City, Banbridge and Craigavon</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7792" w:type="dxa"/>
            <w:gridSpan w:val="3"/>
            <w:hideMark/>
          </w:tcPr>
          <w:p w:rsidR="008821DD" w:rsidRPr="008821DD" w:rsidRDefault="008821DD" w:rsidP="008821DD">
            <w:pPr>
              <w:rPr>
                <w:rFonts w:ascii="Calibri" w:eastAsia="Times New Roman" w:hAnsi="Calibri" w:cs="Calibri"/>
                <w:color w:val="000000"/>
                <w:lang w:eastAsia="en-GB"/>
              </w:rPr>
            </w:pPr>
            <w:r w:rsidRPr="008821DD">
              <w:rPr>
                <w:rFonts w:ascii="Calibri" w:eastAsia="Times New Roman" w:hAnsi="Calibri" w:cs="Calibri"/>
                <w:color w:val="000000"/>
                <w:lang w:eastAsia="en-GB"/>
              </w:rPr>
              <w:t>Medical and care establishments</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b w:val="0"/>
                <w:color w:val="000000"/>
                <w:lang w:eastAsia="en-GB"/>
              </w:rPr>
            </w:pPr>
            <w:r w:rsidRPr="008821DD">
              <w:rPr>
                <w:rFonts w:ascii="Calibri" w:eastAsia="Times New Roman" w:hAnsi="Calibri" w:cs="Calibri"/>
                <w:b w:val="0"/>
                <w:color w:val="000000"/>
                <w:lang w:eastAsia="en-GB"/>
              </w:rPr>
              <w:t>Day-to-day activities limited a lot</w:t>
            </w:r>
          </w:p>
        </w:tc>
        <w:tc>
          <w:tcPr>
            <w:tcW w:w="1975"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37.4%</w:t>
            </w:r>
          </w:p>
        </w:tc>
        <w:tc>
          <w:tcPr>
            <w:tcW w:w="1976"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59.2%</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b w:val="0"/>
                <w:color w:val="000000"/>
                <w:lang w:eastAsia="en-GB"/>
              </w:rPr>
            </w:pPr>
            <w:r w:rsidRPr="008821DD">
              <w:rPr>
                <w:rFonts w:ascii="Calibri" w:eastAsia="Times New Roman" w:hAnsi="Calibri" w:cs="Calibri"/>
                <w:b w:val="0"/>
                <w:color w:val="000000"/>
                <w:lang w:eastAsia="en-GB"/>
              </w:rPr>
              <w:t>Day-to-day activities limited a little</w:t>
            </w:r>
          </w:p>
        </w:tc>
        <w:tc>
          <w:tcPr>
            <w:tcW w:w="1975"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12.9%</w:t>
            </w:r>
          </w:p>
        </w:tc>
        <w:tc>
          <w:tcPr>
            <w:tcW w:w="1976"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22.6%</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b w:val="0"/>
                <w:color w:val="000000"/>
                <w:lang w:eastAsia="en-GB"/>
              </w:rPr>
            </w:pPr>
            <w:r w:rsidRPr="008821DD">
              <w:rPr>
                <w:rFonts w:ascii="Calibri" w:eastAsia="Times New Roman" w:hAnsi="Calibri" w:cs="Calibri"/>
                <w:b w:val="0"/>
                <w:color w:val="000000"/>
                <w:lang w:eastAsia="en-GB"/>
              </w:rPr>
              <w:t xml:space="preserve">Day-to-day activities not limited </w:t>
            </w:r>
          </w:p>
        </w:tc>
        <w:tc>
          <w:tcPr>
            <w:tcW w:w="1975"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3.5%</w:t>
            </w:r>
          </w:p>
        </w:tc>
        <w:tc>
          <w:tcPr>
            <w:tcW w:w="1976"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3.4%</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7792" w:type="dxa"/>
            <w:gridSpan w:val="3"/>
            <w:hideMark/>
          </w:tcPr>
          <w:p w:rsidR="008821DD" w:rsidRPr="008821DD" w:rsidRDefault="008821DD" w:rsidP="008821DD">
            <w:pPr>
              <w:rPr>
                <w:rFonts w:ascii="Calibri" w:eastAsia="Times New Roman" w:hAnsi="Calibri" w:cs="Calibri"/>
                <w:color w:val="000000"/>
                <w:lang w:eastAsia="en-GB"/>
              </w:rPr>
            </w:pPr>
            <w:r w:rsidRPr="008821DD">
              <w:rPr>
                <w:rFonts w:ascii="Calibri" w:eastAsia="Times New Roman" w:hAnsi="Calibri" w:cs="Calibri"/>
                <w:color w:val="000000"/>
                <w:lang w:eastAsia="en-GB"/>
              </w:rPr>
              <w:t>Other establishments</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b w:val="0"/>
                <w:color w:val="000000"/>
                <w:lang w:eastAsia="en-GB"/>
              </w:rPr>
            </w:pPr>
            <w:r w:rsidRPr="008821DD">
              <w:rPr>
                <w:rFonts w:ascii="Calibri" w:eastAsia="Times New Roman" w:hAnsi="Calibri" w:cs="Calibri"/>
                <w:b w:val="0"/>
                <w:color w:val="000000"/>
                <w:lang w:eastAsia="en-GB"/>
              </w:rPr>
              <w:t>Day-to-day activities limited a lot</w:t>
            </w:r>
          </w:p>
        </w:tc>
        <w:tc>
          <w:tcPr>
            <w:tcW w:w="1975"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2.9%</w:t>
            </w:r>
          </w:p>
        </w:tc>
        <w:tc>
          <w:tcPr>
            <w:tcW w:w="1976"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1.8%</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b w:val="0"/>
                <w:color w:val="000000"/>
                <w:lang w:eastAsia="en-GB"/>
              </w:rPr>
            </w:pPr>
            <w:r w:rsidRPr="008821DD">
              <w:rPr>
                <w:rFonts w:ascii="Calibri" w:eastAsia="Times New Roman" w:hAnsi="Calibri" w:cs="Calibri"/>
                <w:b w:val="0"/>
                <w:color w:val="000000"/>
                <w:lang w:eastAsia="en-GB"/>
              </w:rPr>
              <w:t>Day-to-day activities limited a little</w:t>
            </w:r>
          </w:p>
        </w:tc>
        <w:tc>
          <w:tcPr>
            <w:tcW w:w="1975"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5.6%</w:t>
            </w:r>
          </w:p>
        </w:tc>
        <w:tc>
          <w:tcPr>
            <w:tcW w:w="1976"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2.3%</w:t>
            </w:r>
          </w:p>
        </w:tc>
      </w:tr>
      <w:tr w:rsidR="008821DD" w:rsidRPr="008821DD" w:rsidTr="008821DD">
        <w:trPr>
          <w:trHeight w:val="288"/>
        </w:trPr>
        <w:tc>
          <w:tcPr>
            <w:cnfStyle w:val="001000000000" w:firstRow="0" w:lastRow="0" w:firstColumn="1" w:lastColumn="0" w:oddVBand="0" w:evenVBand="0" w:oddHBand="0" w:evenHBand="0" w:firstRowFirstColumn="0" w:firstRowLastColumn="0" w:lastRowFirstColumn="0" w:lastRowLastColumn="0"/>
            <w:tcW w:w="3841" w:type="dxa"/>
            <w:hideMark/>
          </w:tcPr>
          <w:p w:rsidR="008821DD" w:rsidRPr="008821DD" w:rsidRDefault="008821DD" w:rsidP="008821DD">
            <w:pPr>
              <w:rPr>
                <w:rFonts w:ascii="Calibri" w:eastAsia="Times New Roman" w:hAnsi="Calibri" w:cs="Calibri"/>
                <w:b w:val="0"/>
                <w:color w:val="000000"/>
                <w:lang w:eastAsia="en-GB"/>
              </w:rPr>
            </w:pPr>
            <w:r w:rsidRPr="008821DD">
              <w:rPr>
                <w:rFonts w:ascii="Calibri" w:eastAsia="Times New Roman" w:hAnsi="Calibri" w:cs="Calibri"/>
                <w:b w:val="0"/>
                <w:color w:val="000000"/>
                <w:lang w:eastAsia="en-GB"/>
              </w:rPr>
              <w:t>Day-to-day activities not limited</w:t>
            </w:r>
          </w:p>
        </w:tc>
        <w:tc>
          <w:tcPr>
            <w:tcW w:w="1975"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37.8%</w:t>
            </w:r>
          </w:p>
        </w:tc>
        <w:tc>
          <w:tcPr>
            <w:tcW w:w="1976" w:type="dxa"/>
            <w:noWrap/>
            <w:hideMark/>
          </w:tcPr>
          <w:p w:rsidR="008821DD" w:rsidRPr="008821DD" w:rsidRDefault="008821DD" w:rsidP="008821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821DD">
              <w:rPr>
                <w:rFonts w:ascii="Calibri" w:eastAsia="Times New Roman" w:hAnsi="Calibri" w:cs="Calibri"/>
                <w:color w:val="000000"/>
                <w:lang w:eastAsia="en-GB"/>
              </w:rPr>
              <w:t>10.7%</w:t>
            </w:r>
          </w:p>
        </w:tc>
      </w:tr>
    </w:tbl>
    <w:p w:rsidR="008821DD" w:rsidRPr="00AB25BD" w:rsidRDefault="008821DD" w:rsidP="008821DD">
      <w:pPr>
        <w:rPr>
          <w:i/>
          <w:sz w:val="20"/>
          <w:szCs w:val="20"/>
        </w:rPr>
      </w:pPr>
      <w:r w:rsidRPr="00AB25BD">
        <w:rPr>
          <w:i/>
          <w:sz w:val="20"/>
          <w:szCs w:val="20"/>
        </w:rPr>
        <w:t xml:space="preserve">Table </w:t>
      </w:r>
      <w:r>
        <w:rPr>
          <w:i/>
          <w:sz w:val="20"/>
          <w:szCs w:val="20"/>
        </w:rPr>
        <w:t>3</w:t>
      </w:r>
      <w:r w:rsidRPr="00AB25BD">
        <w:rPr>
          <w:i/>
          <w:sz w:val="20"/>
          <w:szCs w:val="20"/>
        </w:rPr>
        <w:t xml:space="preserve">: </w:t>
      </w:r>
      <w:r>
        <w:rPr>
          <w:i/>
          <w:sz w:val="20"/>
          <w:szCs w:val="20"/>
        </w:rPr>
        <w:t>Communal establishment residents and long-term health problem or disability, Armagh City, Banbridge and Craigavon borough and Northern Ireland, 2021</w:t>
      </w:r>
      <w:r w:rsidRPr="00AB25BD">
        <w:rPr>
          <w:i/>
          <w:sz w:val="20"/>
          <w:szCs w:val="20"/>
        </w:rPr>
        <w:t>.   Source: Table MS-</w:t>
      </w:r>
      <w:r>
        <w:rPr>
          <w:i/>
          <w:sz w:val="20"/>
          <w:szCs w:val="20"/>
        </w:rPr>
        <w:t>F03</w:t>
      </w:r>
      <w:r w:rsidRPr="00AB25BD">
        <w:rPr>
          <w:i/>
          <w:sz w:val="20"/>
          <w:szCs w:val="20"/>
        </w:rPr>
        <w:t>, Census 2021.</w:t>
      </w:r>
    </w:p>
    <w:p w:rsidR="00C01D48" w:rsidRDefault="005C2E81" w:rsidP="00563ABC">
      <w:pPr>
        <w:rPr>
          <w:b/>
        </w:rPr>
      </w:pPr>
      <w:r w:rsidRPr="005C2E81">
        <w:rPr>
          <w:b/>
        </w:rPr>
        <w:t>Place of Work or Study</w:t>
      </w:r>
    </w:p>
    <w:p w:rsidR="00446722" w:rsidRDefault="005C2E81" w:rsidP="00563ABC">
      <w:r w:rsidRPr="005C2E81">
        <w:t xml:space="preserve">Census 2021 asked questions on place of work or study and method of travel to work or study. </w:t>
      </w:r>
    </w:p>
    <w:p w:rsidR="00C01D48" w:rsidRPr="00C01D48" w:rsidRDefault="00C01D48" w:rsidP="00563ABC">
      <w:pPr>
        <w:rPr>
          <w:b/>
          <w:i/>
        </w:rPr>
      </w:pPr>
      <w:r w:rsidRPr="00C01D48">
        <w:rPr>
          <w:b/>
          <w:i/>
        </w:rPr>
        <w:t xml:space="preserve">Place of Work </w:t>
      </w:r>
    </w:p>
    <w:p w:rsidR="00AA05BF" w:rsidRDefault="00AA05BF" w:rsidP="00563ABC">
      <w:r>
        <w:t xml:space="preserve">There were 97,704 people aged 16 and over (excluding full-time students) who were resident in the borough and in employment.  Of these, 15,795 (16.2%) indicated that they worked mainly at or from home. Of the remainder, 68,206 had a workplace within Northern Ireland and 13,703 either had no fixed place of work or worked outside Northern Ireland. </w:t>
      </w:r>
    </w:p>
    <w:p w:rsidR="0048145F" w:rsidRDefault="0048145F" w:rsidP="00563ABC">
      <w:r>
        <w:t xml:space="preserve">Almost 54% of those in employment worked </w:t>
      </w:r>
      <w:proofErr w:type="spellStart"/>
      <w:r>
        <w:t>within</w:t>
      </w:r>
      <w:proofErr w:type="spellEnd"/>
      <w:r>
        <w:t xml:space="preserve"> Northern Ireland and their workplace was less than 20km from their home while almost 12% had no fixed place of work.  </w:t>
      </w:r>
    </w:p>
    <w:p w:rsidR="00AA05BF" w:rsidRDefault="0048145F" w:rsidP="00563ABC">
      <w:r>
        <w:t xml:space="preserve">There were a total of 2,071 residents who </w:t>
      </w:r>
      <w:r w:rsidR="00AA05BF">
        <w:t xml:space="preserve">worked outside Northern Ireland </w:t>
      </w:r>
      <w:r>
        <w:t>with the majority,</w:t>
      </w:r>
      <w:r w:rsidR="00904652">
        <w:t xml:space="preserve"> a total of</w:t>
      </w:r>
      <w:r>
        <w:t xml:space="preserve"> 1,323 (or 1.35% of the working population) </w:t>
      </w:r>
      <w:r w:rsidR="00AA05BF">
        <w:t>wor</w:t>
      </w:r>
      <w:r w:rsidR="00904652">
        <w:t xml:space="preserve">king in the Republic of Ireland.   </w:t>
      </w:r>
      <w:r w:rsidR="00AA05BF">
        <w:t xml:space="preserve"> </w:t>
      </w:r>
      <w:r w:rsidR="004B6B69">
        <w:t>A total of 529 (0.5%</w:t>
      </w:r>
      <w:r w:rsidR="00C01D48">
        <w:t xml:space="preserve"> of the working population</w:t>
      </w:r>
      <w:r w:rsidR="004B6B69">
        <w:t xml:space="preserve">) residents in employment in the borough were working </w:t>
      </w:r>
      <w:r w:rsidR="00AA05BF">
        <w:t>in England, Scotland or Wales</w:t>
      </w:r>
      <w:r w:rsidR="004B6B69">
        <w:t xml:space="preserve"> with a further 219 (0.2%)</w:t>
      </w:r>
      <w:r w:rsidR="00AA05BF">
        <w:t xml:space="preserve"> working outside the United Kingdom and Ireland. </w:t>
      </w:r>
    </w:p>
    <w:p w:rsidR="00D24D5F" w:rsidRDefault="00C40FE7" w:rsidP="00563ABC">
      <w:r>
        <w:t>Of the working population in the borough, 84% usually travelled to a place of work with the remaining 16% working mainly at or from home.  The most common single method of travel to place of work was ‘driving a car or van’, with 66,573 people (68.2</w:t>
      </w:r>
      <w:r w:rsidR="00735F5D">
        <w:t>%</w:t>
      </w:r>
      <w:r>
        <w:t xml:space="preserve"> of the working population</w:t>
      </w:r>
      <w:r w:rsidR="00735F5D">
        <w:t>)</w:t>
      </w:r>
      <w:r>
        <w:t xml:space="preserve"> using this method.</w:t>
      </w:r>
      <w:r w:rsidR="007B579B">
        <w:t xml:space="preserve"> </w:t>
      </w:r>
      <w:r>
        <w:t xml:space="preserve"> </w:t>
      </w:r>
      <w:r w:rsidR="007B579B">
        <w:t xml:space="preserve">Almost three-quarters </w:t>
      </w:r>
      <w:r w:rsidR="00532671">
        <w:t xml:space="preserve">(74.2%) </w:t>
      </w:r>
      <w:r w:rsidR="007B579B">
        <w:t xml:space="preserve">of the working population </w:t>
      </w:r>
      <w:r w:rsidR="00532671">
        <w:t xml:space="preserve">travel to work by car or van either driving, as a passenger </w:t>
      </w:r>
      <w:r w:rsidR="00735F5D">
        <w:t xml:space="preserve">(5.4%) </w:t>
      </w:r>
      <w:r w:rsidR="00532671">
        <w:t>or by car or van pool shared driving</w:t>
      </w:r>
      <w:r w:rsidR="00735F5D">
        <w:t xml:space="preserve"> (0.7%)</w:t>
      </w:r>
      <w:r w:rsidR="00532671">
        <w:t xml:space="preserve">.  </w:t>
      </w:r>
      <w:r w:rsidR="004B7EA8">
        <w:t>This was more than 6 percentage points above the Northern Ireland average</w:t>
      </w:r>
      <w:r w:rsidR="00735F5D">
        <w:t xml:space="preserve"> (68.2%)</w:t>
      </w:r>
      <w:r w:rsidR="004B7EA8">
        <w:t>.</w:t>
      </w:r>
      <w:r w:rsidR="00735F5D">
        <w:t xml:space="preserve">  Conversely, there was a higher percentage of people in Northern Ireland working mainly at or from home (18.9% compared to </w:t>
      </w:r>
      <w:r w:rsidR="00735F5D">
        <w:lastRenderedPageBreak/>
        <w:t xml:space="preserve">16.2%) as well as a higher percentage travelling to work by bus, minibus or coach (2.8% compared to 1.3%) and on foot (6.5% compared to 4.8%). </w:t>
      </w:r>
    </w:p>
    <w:tbl>
      <w:tblPr>
        <w:tblStyle w:val="GridTable1Light"/>
        <w:tblW w:w="8500" w:type="dxa"/>
        <w:tblLayout w:type="fixed"/>
        <w:tblLook w:val="04A0" w:firstRow="1" w:lastRow="0" w:firstColumn="1" w:lastColumn="0" w:noHBand="0" w:noVBand="1"/>
      </w:tblPr>
      <w:tblGrid>
        <w:gridCol w:w="5807"/>
        <w:gridCol w:w="1346"/>
        <w:gridCol w:w="1347"/>
      </w:tblGrid>
      <w:tr w:rsidR="00446722" w:rsidRPr="00446722" w:rsidTr="00D24D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446722" w:rsidP="00D24D5F">
            <w:pPr>
              <w:rPr>
                <w:rFonts w:ascii="Calibri" w:eastAsia="Times New Roman" w:hAnsi="Calibri" w:cs="Calibri"/>
                <w:color w:val="000000"/>
                <w:lang w:eastAsia="en-GB"/>
              </w:rPr>
            </w:pPr>
            <w:r w:rsidRPr="00446722">
              <w:rPr>
                <w:rFonts w:ascii="Calibri" w:eastAsia="Times New Roman" w:hAnsi="Calibri" w:cs="Calibri"/>
                <w:color w:val="000000"/>
                <w:lang w:eastAsia="en-GB"/>
              </w:rPr>
              <w:t> </w:t>
            </w:r>
          </w:p>
        </w:tc>
        <w:tc>
          <w:tcPr>
            <w:tcW w:w="1346" w:type="dxa"/>
            <w:noWrap/>
            <w:hideMark/>
          </w:tcPr>
          <w:p w:rsidR="00446722" w:rsidRPr="00446722" w:rsidRDefault="00446722" w:rsidP="004467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Population</w:t>
            </w:r>
          </w:p>
        </w:tc>
        <w:tc>
          <w:tcPr>
            <w:tcW w:w="1347" w:type="dxa"/>
            <w:noWrap/>
            <w:hideMark/>
          </w:tcPr>
          <w:p w:rsidR="00446722" w:rsidRPr="00446722" w:rsidRDefault="00446722" w:rsidP="004467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446722" w:rsidP="00D24D5F">
            <w:pPr>
              <w:rPr>
                <w:rFonts w:ascii="Calibri" w:eastAsia="Times New Roman" w:hAnsi="Calibri" w:cs="Calibri"/>
                <w:color w:val="000000"/>
                <w:lang w:eastAsia="en-GB"/>
              </w:rPr>
            </w:pPr>
            <w:r w:rsidRPr="00446722">
              <w:rPr>
                <w:rFonts w:ascii="Calibri" w:eastAsia="Times New Roman" w:hAnsi="Calibri" w:cs="Calibri"/>
                <w:color w:val="000000"/>
                <w:lang w:eastAsia="en-GB"/>
              </w:rPr>
              <w:t>Work mainly at or from home</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15,795</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16.2%</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446722" w:rsidP="00D24D5F">
            <w:pPr>
              <w:rPr>
                <w:rFonts w:ascii="Calibri" w:eastAsia="Times New Roman" w:hAnsi="Calibri" w:cs="Calibri"/>
                <w:color w:val="000000"/>
                <w:lang w:eastAsia="en-GB"/>
              </w:rPr>
            </w:pPr>
            <w:r w:rsidRPr="00446722">
              <w:rPr>
                <w:rFonts w:ascii="Calibri" w:eastAsia="Times New Roman" w:hAnsi="Calibri" w:cs="Calibri"/>
                <w:color w:val="000000"/>
                <w:lang w:eastAsia="en-GB"/>
              </w:rPr>
              <w:t>No fixed place of work</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11,632</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11.9%</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446722" w:rsidP="00D24D5F">
            <w:pPr>
              <w:rPr>
                <w:rFonts w:ascii="Calibri" w:eastAsia="Times New Roman" w:hAnsi="Calibri" w:cs="Calibri"/>
                <w:color w:val="000000"/>
                <w:lang w:eastAsia="en-GB"/>
              </w:rPr>
            </w:pPr>
            <w:r w:rsidRPr="00446722">
              <w:rPr>
                <w:rFonts w:ascii="Calibri" w:eastAsia="Times New Roman" w:hAnsi="Calibri" w:cs="Calibri"/>
                <w:color w:val="000000"/>
                <w:lang w:eastAsia="en-GB"/>
              </w:rPr>
              <w:t xml:space="preserve">Work within Northern Ireland </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46722">
              <w:rPr>
                <w:rFonts w:ascii="Calibri" w:eastAsia="Times New Roman" w:hAnsi="Calibri" w:cs="Calibri"/>
                <w:b/>
                <w:bCs/>
                <w:color w:val="000000"/>
                <w:lang w:eastAsia="en-GB"/>
              </w:rPr>
              <w:t>68,206</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46722">
              <w:rPr>
                <w:rFonts w:ascii="Calibri" w:eastAsia="Times New Roman" w:hAnsi="Calibri" w:cs="Calibri"/>
                <w:b/>
                <w:bCs/>
                <w:color w:val="000000"/>
                <w:lang w:eastAsia="en-GB"/>
              </w:rPr>
              <w:t>69.8%</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Less than 2km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13,051</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13.4%</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2km to less than 5km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12,273</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12.6%</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5km to less than 10km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13,039</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13.4%</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10km to less than 20km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14,358</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14.7%</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20km to less than 30km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8,268</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8.5%</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30km to less than 40km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4,609</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4.7%</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40km to less than 60km</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2,219</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2.3%</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60km and over</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389</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0.4%</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446722" w:rsidP="00D24D5F">
            <w:pPr>
              <w:rPr>
                <w:rFonts w:ascii="Calibri" w:eastAsia="Times New Roman" w:hAnsi="Calibri" w:cs="Calibri"/>
                <w:color w:val="000000"/>
                <w:lang w:eastAsia="en-GB"/>
              </w:rPr>
            </w:pPr>
            <w:r w:rsidRPr="00446722">
              <w:rPr>
                <w:rFonts w:ascii="Calibri" w:eastAsia="Times New Roman" w:hAnsi="Calibri" w:cs="Calibri"/>
                <w:color w:val="000000"/>
                <w:lang w:eastAsia="en-GB"/>
              </w:rPr>
              <w:t xml:space="preserve">Work outside Northern Ireland </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46722">
              <w:rPr>
                <w:rFonts w:ascii="Calibri" w:eastAsia="Times New Roman" w:hAnsi="Calibri" w:cs="Calibri"/>
                <w:b/>
                <w:bCs/>
                <w:color w:val="000000"/>
                <w:lang w:eastAsia="en-GB"/>
              </w:rPr>
              <w:t>2</w:t>
            </w:r>
            <w:r w:rsidR="00AA592A">
              <w:rPr>
                <w:rFonts w:ascii="Calibri" w:eastAsia="Times New Roman" w:hAnsi="Calibri" w:cs="Calibri"/>
                <w:b/>
                <w:bCs/>
                <w:color w:val="000000"/>
                <w:lang w:eastAsia="en-GB"/>
              </w:rPr>
              <w:t>,</w:t>
            </w:r>
            <w:r w:rsidRPr="00446722">
              <w:rPr>
                <w:rFonts w:ascii="Calibri" w:eastAsia="Times New Roman" w:hAnsi="Calibri" w:cs="Calibri"/>
                <w:b/>
                <w:bCs/>
                <w:color w:val="000000"/>
                <w:lang w:eastAsia="en-GB"/>
              </w:rPr>
              <w:t>071</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46722">
              <w:rPr>
                <w:rFonts w:ascii="Calibri" w:eastAsia="Times New Roman" w:hAnsi="Calibri" w:cs="Calibri"/>
                <w:b/>
                <w:bCs/>
                <w:color w:val="000000"/>
                <w:lang w:eastAsia="en-GB"/>
              </w:rPr>
              <w:t>2.1%</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England, Scotland or Wales</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529</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0.5%</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Republic of Ireland</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1,323</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1.4%</w:t>
            </w:r>
          </w:p>
        </w:tc>
      </w:tr>
      <w:tr w:rsidR="00446722" w:rsidRPr="00446722" w:rsidTr="00D24D5F">
        <w:trPr>
          <w:trHeight w:val="3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D24D5F" w:rsidP="00D24D5F">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446722" w:rsidRPr="00446722">
              <w:rPr>
                <w:rFonts w:ascii="Calibri" w:eastAsia="Times New Roman" w:hAnsi="Calibri" w:cs="Calibri"/>
                <w:b w:val="0"/>
                <w:color w:val="000000"/>
                <w:lang w:eastAsia="en-GB"/>
              </w:rPr>
              <w:t>Outside the United Kingdom and Ireland</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219</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46722">
              <w:rPr>
                <w:rFonts w:ascii="Calibri" w:eastAsia="Times New Roman" w:hAnsi="Calibri" w:cs="Calibri"/>
                <w:color w:val="000000"/>
                <w:lang w:eastAsia="en-GB"/>
              </w:rPr>
              <w:t>0.2%</w:t>
            </w:r>
          </w:p>
        </w:tc>
      </w:tr>
      <w:tr w:rsidR="00446722" w:rsidRPr="00446722" w:rsidTr="00D24D5F">
        <w:trPr>
          <w:trHeight w:val="600"/>
        </w:trPr>
        <w:tc>
          <w:tcPr>
            <w:cnfStyle w:val="001000000000" w:firstRow="0" w:lastRow="0" w:firstColumn="1" w:lastColumn="0" w:oddVBand="0" w:evenVBand="0" w:oddHBand="0" w:evenHBand="0" w:firstRowFirstColumn="0" w:firstRowLastColumn="0" w:lastRowFirstColumn="0" w:lastRowLastColumn="0"/>
            <w:tcW w:w="5807" w:type="dxa"/>
            <w:hideMark/>
          </w:tcPr>
          <w:p w:rsidR="00446722" w:rsidRPr="00446722" w:rsidRDefault="00446722" w:rsidP="00D24D5F">
            <w:pPr>
              <w:rPr>
                <w:rFonts w:ascii="Calibri" w:eastAsia="Times New Roman" w:hAnsi="Calibri" w:cs="Calibri"/>
                <w:color w:val="000000"/>
                <w:lang w:eastAsia="en-GB"/>
              </w:rPr>
            </w:pPr>
            <w:r w:rsidRPr="00446722">
              <w:rPr>
                <w:rFonts w:ascii="Calibri" w:eastAsia="Times New Roman" w:hAnsi="Calibri" w:cs="Calibri"/>
                <w:color w:val="000000"/>
                <w:lang w:eastAsia="en-GB"/>
              </w:rPr>
              <w:t>All usual residents aged 16 and over (excluding full-time students) in employment</w:t>
            </w:r>
          </w:p>
        </w:tc>
        <w:tc>
          <w:tcPr>
            <w:tcW w:w="1346"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46722">
              <w:rPr>
                <w:rFonts w:ascii="Calibri" w:eastAsia="Times New Roman" w:hAnsi="Calibri" w:cs="Calibri"/>
                <w:b/>
                <w:bCs/>
                <w:color w:val="000000"/>
                <w:lang w:eastAsia="en-GB"/>
              </w:rPr>
              <w:t>97,704</w:t>
            </w:r>
          </w:p>
        </w:tc>
        <w:tc>
          <w:tcPr>
            <w:tcW w:w="1347" w:type="dxa"/>
            <w:noWrap/>
            <w:hideMark/>
          </w:tcPr>
          <w:p w:rsidR="00446722" w:rsidRPr="00446722" w:rsidRDefault="00446722" w:rsidP="00D24D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46722">
              <w:rPr>
                <w:rFonts w:ascii="Calibri" w:eastAsia="Times New Roman" w:hAnsi="Calibri" w:cs="Calibri"/>
                <w:b/>
                <w:bCs/>
                <w:color w:val="000000"/>
                <w:lang w:eastAsia="en-GB"/>
              </w:rPr>
              <w:t>100.0%</w:t>
            </w:r>
          </w:p>
        </w:tc>
      </w:tr>
    </w:tbl>
    <w:p w:rsidR="00F95181" w:rsidRDefault="00F95181" w:rsidP="00F95181">
      <w:pPr>
        <w:rPr>
          <w:i/>
          <w:sz w:val="20"/>
          <w:szCs w:val="20"/>
        </w:rPr>
      </w:pPr>
      <w:r w:rsidRPr="00AB25BD">
        <w:rPr>
          <w:i/>
          <w:sz w:val="20"/>
          <w:szCs w:val="20"/>
        </w:rPr>
        <w:t xml:space="preserve">Table </w:t>
      </w:r>
      <w:r>
        <w:rPr>
          <w:i/>
          <w:sz w:val="20"/>
          <w:szCs w:val="20"/>
        </w:rPr>
        <w:t>4</w:t>
      </w:r>
      <w:r w:rsidRPr="00AB25BD">
        <w:rPr>
          <w:i/>
          <w:sz w:val="20"/>
          <w:szCs w:val="20"/>
        </w:rPr>
        <w:t xml:space="preserve">: </w:t>
      </w:r>
      <w:r>
        <w:rPr>
          <w:i/>
          <w:sz w:val="20"/>
          <w:szCs w:val="20"/>
        </w:rPr>
        <w:t>Distance to place of work for residents of Armagh City, Banbridge and Craigavon borough, 2021</w:t>
      </w:r>
      <w:r w:rsidRPr="00AB25BD">
        <w:rPr>
          <w:i/>
          <w:sz w:val="20"/>
          <w:szCs w:val="20"/>
        </w:rPr>
        <w:t xml:space="preserve">.   Source: </w:t>
      </w:r>
      <w:r>
        <w:rPr>
          <w:i/>
          <w:sz w:val="20"/>
          <w:szCs w:val="20"/>
        </w:rPr>
        <w:t>Table MS-I03</w:t>
      </w:r>
      <w:r w:rsidRPr="00AB25BD">
        <w:rPr>
          <w:i/>
          <w:sz w:val="20"/>
          <w:szCs w:val="20"/>
        </w:rPr>
        <w:t>, Census 2021.</w:t>
      </w:r>
    </w:p>
    <w:p w:rsidR="002C111C" w:rsidRPr="00AB25BD" w:rsidRDefault="002C111C" w:rsidP="00F95181">
      <w:pPr>
        <w:rPr>
          <w:i/>
          <w:sz w:val="20"/>
          <w:szCs w:val="20"/>
        </w:rPr>
      </w:pPr>
    </w:p>
    <w:tbl>
      <w:tblPr>
        <w:tblStyle w:val="GridTable1Light"/>
        <w:tblW w:w="9313" w:type="dxa"/>
        <w:tblLayout w:type="fixed"/>
        <w:tblLook w:val="04A0" w:firstRow="1" w:lastRow="0" w:firstColumn="1" w:lastColumn="0" w:noHBand="0" w:noVBand="1"/>
      </w:tblPr>
      <w:tblGrid>
        <w:gridCol w:w="3823"/>
        <w:gridCol w:w="1372"/>
        <w:gridCol w:w="1373"/>
        <w:gridCol w:w="1372"/>
        <w:gridCol w:w="1373"/>
      </w:tblGrid>
      <w:tr w:rsidR="002C111C" w:rsidRPr="002C111C" w:rsidTr="00C40FE7">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823" w:type="dxa"/>
            <w:hideMark/>
          </w:tcPr>
          <w:p w:rsidR="002C111C" w:rsidRPr="002C111C" w:rsidRDefault="002C111C" w:rsidP="002C111C">
            <w:pPr>
              <w:rPr>
                <w:rFonts w:ascii="Calibri" w:eastAsia="Times New Roman" w:hAnsi="Calibri" w:cs="Calibri"/>
                <w:color w:val="000000"/>
                <w:lang w:eastAsia="en-GB"/>
              </w:rPr>
            </w:pPr>
            <w:r w:rsidRPr="002C111C">
              <w:rPr>
                <w:rFonts w:ascii="Calibri" w:eastAsia="Times New Roman" w:hAnsi="Calibri" w:cs="Calibri"/>
                <w:color w:val="000000"/>
                <w:lang w:eastAsia="en-GB"/>
              </w:rPr>
              <w:t> </w:t>
            </w:r>
          </w:p>
        </w:tc>
        <w:tc>
          <w:tcPr>
            <w:tcW w:w="2745" w:type="dxa"/>
            <w:gridSpan w:val="2"/>
            <w:hideMark/>
          </w:tcPr>
          <w:p w:rsidR="002C111C" w:rsidRPr="002C111C" w:rsidRDefault="002C111C" w:rsidP="002C111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Northern Ireland</w:t>
            </w:r>
          </w:p>
        </w:tc>
        <w:tc>
          <w:tcPr>
            <w:tcW w:w="2745" w:type="dxa"/>
            <w:gridSpan w:val="2"/>
            <w:hideMark/>
          </w:tcPr>
          <w:p w:rsidR="002C111C" w:rsidRPr="002C111C" w:rsidRDefault="002C111C" w:rsidP="002C111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Armagh City, Banbridge and Craigavon</w:t>
            </w:r>
          </w:p>
        </w:tc>
      </w:tr>
      <w:tr w:rsidR="00C40FE7" w:rsidRPr="002C111C" w:rsidTr="00C40FE7">
        <w:trPr>
          <w:trHeight w:val="576"/>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All usual resid</w:t>
            </w:r>
            <w:r w:rsidRPr="00F27C33">
              <w:rPr>
                <w:rFonts w:ascii="Calibri" w:eastAsia="Times New Roman" w:hAnsi="Calibri" w:cs="Calibri"/>
                <w:bCs w:val="0"/>
                <w:color w:val="000000"/>
                <w:lang w:eastAsia="en-GB"/>
              </w:rPr>
              <w:t>ents aged 16 and over (</w:t>
            </w:r>
            <w:proofErr w:type="spellStart"/>
            <w:r w:rsidRPr="00F27C33">
              <w:rPr>
                <w:rFonts w:ascii="Calibri" w:eastAsia="Times New Roman" w:hAnsi="Calibri" w:cs="Calibri"/>
                <w:bCs w:val="0"/>
                <w:color w:val="000000"/>
                <w:lang w:eastAsia="en-GB"/>
              </w:rPr>
              <w:t>exc</w:t>
            </w:r>
            <w:proofErr w:type="spellEnd"/>
            <w:r w:rsidRPr="002C111C">
              <w:rPr>
                <w:rFonts w:ascii="Calibri" w:eastAsia="Times New Roman" w:hAnsi="Calibri" w:cs="Calibri"/>
                <w:color w:val="000000"/>
                <w:lang w:eastAsia="en-GB"/>
              </w:rPr>
              <w:t xml:space="preserve"> full-time students) in employment</w:t>
            </w:r>
          </w:p>
        </w:tc>
        <w:tc>
          <w:tcPr>
            <w:tcW w:w="2745" w:type="dxa"/>
            <w:gridSpan w:val="2"/>
            <w:noWrap/>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813,772</w:t>
            </w:r>
          </w:p>
        </w:tc>
        <w:tc>
          <w:tcPr>
            <w:tcW w:w="2745" w:type="dxa"/>
            <w:gridSpan w:val="2"/>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97,705</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Work mainly at or from home</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153,521</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18.9%</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15,795</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16.2%</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Driving a car or van</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510,150</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62.7%</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66,573</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68.1%</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Passenger in a car or van</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39,511</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4.9%</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5,285</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5.4%</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Car or van pool shared driving</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5,331</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0.7%</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658</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0.7%</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Bus, minibus or coach (public or private)</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22,567</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2.8%</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1,313</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1.3%</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Taxi</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8,055</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1.0%</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846</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0.9%</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Train</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7,656</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0.9%</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914</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0.9%</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Motorcycle, scooter or moped</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1,464</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0.2%</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185</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0.2%</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Bicycle</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6,474</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0.8%</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668</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0.7%</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On foot</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52,476</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6.5%</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4,707</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4.8%</w:t>
            </w:r>
          </w:p>
        </w:tc>
      </w:tr>
      <w:tr w:rsidR="00C40FE7" w:rsidRPr="002C111C" w:rsidTr="00C40FE7">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C40FE7" w:rsidRPr="002C111C" w:rsidRDefault="00C40FE7" w:rsidP="00C40FE7">
            <w:pPr>
              <w:jc w:val="right"/>
              <w:rPr>
                <w:rFonts w:ascii="Calibri" w:eastAsia="Times New Roman" w:hAnsi="Calibri" w:cs="Calibri"/>
                <w:color w:val="000000"/>
                <w:lang w:eastAsia="en-GB"/>
              </w:rPr>
            </w:pPr>
            <w:r w:rsidRPr="002C111C">
              <w:rPr>
                <w:rFonts w:ascii="Calibri" w:eastAsia="Times New Roman" w:hAnsi="Calibri" w:cs="Calibri"/>
                <w:color w:val="000000"/>
                <w:lang w:eastAsia="en-GB"/>
              </w:rPr>
              <w:t>Other method</w:t>
            </w:r>
          </w:p>
        </w:tc>
        <w:tc>
          <w:tcPr>
            <w:tcW w:w="1372" w:type="dxa"/>
            <w:noWrap/>
          </w:tcPr>
          <w:p w:rsidR="00C40FE7"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6,567</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0.8%</w:t>
            </w:r>
          </w:p>
        </w:tc>
        <w:tc>
          <w:tcPr>
            <w:tcW w:w="1372"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761</w:t>
            </w:r>
          </w:p>
        </w:tc>
        <w:tc>
          <w:tcPr>
            <w:tcW w:w="1373" w:type="dxa"/>
            <w:noWrap/>
            <w:hideMark/>
          </w:tcPr>
          <w:p w:rsidR="00C40FE7" w:rsidRPr="002C111C" w:rsidRDefault="00C40FE7" w:rsidP="00C40F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C111C">
              <w:rPr>
                <w:rFonts w:ascii="Calibri" w:eastAsia="Times New Roman" w:hAnsi="Calibri" w:cs="Calibri"/>
                <w:color w:val="000000"/>
                <w:lang w:eastAsia="en-GB"/>
              </w:rPr>
              <w:t>0.8%</w:t>
            </w:r>
          </w:p>
        </w:tc>
      </w:tr>
    </w:tbl>
    <w:p w:rsidR="002C111C" w:rsidRDefault="002C111C" w:rsidP="002C111C">
      <w:pPr>
        <w:rPr>
          <w:i/>
          <w:sz w:val="20"/>
          <w:szCs w:val="20"/>
        </w:rPr>
      </w:pPr>
      <w:r w:rsidRPr="00AB25BD">
        <w:rPr>
          <w:i/>
          <w:sz w:val="20"/>
          <w:szCs w:val="20"/>
        </w:rPr>
        <w:t xml:space="preserve">Table </w:t>
      </w:r>
      <w:r>
        <w:rPr>
          <w:i/>
          <w:sz w:val="20"/>
          <w:szCs w:val="20"/>
        </w:rPr>
        <w:t>5</w:t>
      </w:r>
      <w:r w:rsidRPr="00AB25BD">
        <w:rPr>
          <w:i/>
          <w:sz w:val="20"/>
          <w:szCs w:val="20"/>
        </w:rPr>
        <w:t xml:space="preserve">: </w:t>
      </w:r>
      <w:r>
        <w:rPr>
          <w:i/>
          <w:sz w:val="20"/>
          <w:szCs w:val="20"/>
        </w:rPr>
        <w:t>Method of travel to work for residents of Armagh City, Banbridge and Craigavon borough and Northern Ireland overall, 2021</w:t>
      </w:r>
      <w:r w:rsidRPr="00AB25BD">
        <w:rPr>
          <w:i/>
          <w:sz w:val="20"/>
          <w:szCs w:val="20"/>
        </w:rPr>
        <w:t xml:space="preserve">.   Source: </w:t>
      </w:r>
      <w:r>
        <w:rPr>
          <w:i/>
          <w:sz w:val="20"/>
          <w:szCs w:val="20"/>
        </w:rPr>
        <w:t>Table MS-I01</w:t>
      </w:r>
      <w:r w:rsidRPr="00AB25BD">
        <w:rPr>
          <w:i/>
          <w:sz w:val="20"/>
          <w:szCs w:val="20"/>
        </w:rPr>
        <w:t>, Census 2021.</w:t>
      </w:r>
    </w:p>
    <w:p w:rsidR="00446722" w:rsidRDefault="00446722" w:rsidP="00563ABC"/>
    <w:p w:rsidR="00C01D48" w:rsidRDefault="00C01D48" w:rsidP="00563ABC"/>
    <w:p w:rsidR="00C01D48" w:rsidRDefault="00C01D48" w:rsidP="00563ABC">
      <w:pPr>
        <w:rPr>
          <w:b/>
          <w:i/>
        </w:rPr>
      </w:pPr>
      <w:r w:rsidRPr="00C01D48">
        <w:rPr>
          <w:b/>
          <w:i/>
        </w:rPr>
        <w:lastRenderedPageBreak/>
        <w:t xml:space="preserve">Place of Study </w:t>
      </w:r>
    </w:p>
    <w:p w:rsidR="00BE6C52" w:rsidRPr="00BE0A6D" w:rsidRDefault="00BE6C52" w:rsidP="00563ABC">
      <w:r>
        <w:t>On Census Day 2021, there were 46,724 people of primary school</w:t>
      </w:r>
      <w:r w:rsidR="0082772F">
        <w:t xml:space="preserve"> age and over in the ‘studying population’</w:t>
      </w:r>
      <w:r w:rsidR="00AA592A">
        <w:t xml:space="preserve"> in Armagh City, Banbridge and Craigavon borough. </w:t>
      </w:r>
      <w:r w:rsidR="0082772F">
        <w:t xml:space="preserve"> </w:t>
      </w:r>
      <w:r w:rsidR="00BE0A6D">
        <w:t xml:space="preserve">Just over three-quarters of the studying population were studying within Northern Ireland and travelled less than 10km to their place of study with the majority (40.8%) having a place of study that was less than 2km from their home.  Almost 3% were studying mainly at or from home while a further 0.9% had no fixed place of study.  A total of 127 people (just 0.3% of the studying population) were studying outside Northern Ireland with the majority (82 people) studying in the Republic of Ireland. </w:t>
      </w:r>
    </w:p>
    <w:tbl>
      <w:tblPr>
        <w:tblStyle w:val="GridTable1Light"/>
        <w:tblW w:w="8926" w:type="dxa"/>
        <w:tblLayout w:type="fixed"/>
        <w:tblLook w:val="04A0" w:firstRow="1" w:lastRow="0" w:firstColumn="1" w:lastColumn="0" w:noHBand="0" w:noVBand="1"/>
      </w:tblPr>
      <w:tblGrid>
        <w:gridCol w:w="4815"/>
        <w:gridCol w:w="2055"/>
        <w:gridCol w:w="2056"/>
      </w:tblGrid>
      <w:tr w:rsidR="00F8437A" w:rsidRPr="00F8437A" w:rsidTr="008277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F8437A" w:rsidP="00F8437A">
            <w:pPr>
              <w:rPr>
                <w:rFonts w:ascii="Calibri" w:eastAsia="Times New Roman" w:hAnsi="Calibri" w:cs="Calibri"/>
                <w:color w:val="000000"/>
                <w:lang w:eastAsia="en-GB"/>
              </w:rPr>
            </w:pPr>
            <w:r w:rsidRPr="00F8437A">
              <w:rPr>
                <w:rFonts w:ascii="Calibri" w:eastAsia="Times New Roman" w:hAnsi="Calibri" w:cs="Calibri"/>
                <w:color w:val="000000"/>
                <w:lang w:eastAsia="en-GB"/>
              </w:rPr>
              <w:t> </w:t>
            </w:r>
          </w:p>
        </w:tc>
        <w:tc>
          <w:tcPr>
            <w:tcW w:w="2055" w:type="dxa"/>
            <w:hideMark/>
          </w:tcPr>
          <w:p w:rsidR="00F8437A" w:rsidRPr="00F8437A" w:rsidRDefault="00F8437A" w:rsidP="00F843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 xml:space="preserve">Population </w:t>
            </w:r>
          </w:p>
        </w:tc>
        <w:tc>
          <w:tcPr>
            <w:tcW w:w="2056" w:type="dxa"/>
            <w:hideMark/>
          </w:tcPr>
          <w:p w:rsidR="00F8437A" w:rsidRPr="00F8437A" w:rsidRDefault="00F8437A" w:rsidP="00F843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 xml:space="preserve">% </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F8437A" w:rsidP="00F8437A">
            <w:pPr>
              <w:rPr>
                <w:rFonts w:ascii="Calibri" w:eastAsia="Times New Roman" w:hAnsi="Calibri" w:cs="Calibri"/>
                <w:color w:val="000000"/>
                <w:lang w:eastAsia="en-GB"/>
              </w:rPr>
            </w:pPr>
            <w:r w:rsidRPr="00F8437A">
              <w:rPr>
                <w:rFonts w:ascii="Calibri" w:eastAsia="Times New Roman" w:hAnsi="Calibri" w:cs="Calibri"/>
                <w:color w:val="000000"/>
                <w:lang w:eastAsia="en-GB"/>
              </w:rPr>
              <w:t>Study mainly at or from home</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1,330</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2.9%</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F8437A" w:rsidP="00F8437A">
            <w:pPr>
              <w:rPr>
                <w:rFonts w:ascii="Calibri" w:eastAsia="Times New Roman" w:hAnsi="Calibri" w:cs="Calibri"/>
                <w:color w:val="000000"/>
                <w:lang w:eastAsia="en-GB"/>
              </w:rPr>
            </w:pPr>
            <w:r w:rsidRPr="00F8437A">
              <w:rPr>
                <w:rFonts w:ascii="Calibri" w:eastAsia="Times New Roman" w:hAnsi="Calibri" w:cs="Calibri"/>
                <w:color w:val="000000"/>
                <w:lang w:eastAsia="en-GB"/>
              </w:rPr>
              <w:t>No fixed place of study</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424</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0.9%</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F8437A" w:rsidP="00F8437A">
            <w:pPr>
              <w:rPr>
                <w:rFonts w:ascii="Calibri" w:eastAsia="Times New Roman" w:hAnsi="Calibri" w:cs="Calibri"/>
                <w:color w:val="000000"/>
                <w:lang w:eastAsia="en-GB"/>
              </w:rPr>
            </w:pPr>
            <w:r w:rsidRPr="00F8437A">
              <w:rPr>
                <w:rFonts w:ascii="Calibri" w:eastAsia="Times New Roman" w:hAnsi="Calibri" w:cs="Calibri"/>
                <w:color w:val="000000"/>
                <w:lang w:eastAsia="en-GB"/>
              </w:rPr>
              <w:t xml:space="preserve">Study with Northern Ireland </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F8437A">
              <w:rPr>
                <w:rFonts w:ascii="Calibri" w:eastAsia="Times New Roman" w:hAnsi="Calibri" w:cs="Calibri"/>
                <w:b/>
                <w:bCs/>
                <w:color w:val="000000"/>
                <w:lang w:eastAsia="en-GB"/>
              </w:rPr>
              <w:t>44,843</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F8437A">
              <w:rPr>
                <w:rFonts w:ascii="Calibri" w:eastAsia="Times New Roman" w:hAnsi="Calibri" w:cs="Calibri"/>
                <w:b/>
                <w:bCs/>
                <w:color w:val="000000"/>
                <w:lang w:eastAsia="en-GB"/>
              </w:rPr>
              <w:t>96.0%</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Less than 2km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19,052</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40.8%</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2km to less than 5km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9,366</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20.1%</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5km to less than 10km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6,713</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14.4%</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10km to less than 20km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5,052</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10.8%</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20km to less than 30km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1,876</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4.0%</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30km to less than 40km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1,348</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2.9%</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40km to less than 60km</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902</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1.9%</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60km and over</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534</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1.1%</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F8437A" w:rsidP="00F8437A">
            <w:pPr>
              <w:rPr>
                <w:rFonts w:ascii="Calibri" w:eastAsia="Times New Roman" w:hAnsi="Calibri" w:cs="Calibri"/>
                <w:color w:val="000000"/>
                <w:lang w:eastAsia="en-GB"/>
              </w:rPr>
            </w:pPr>
            <w:r w:rsidRPr="00F8437A">
              <w:rPr>
                <w:rFonts w:ascii="Calibri" w:eastAsia="Times New Roman" w:hAnsi="Calibri" w:cs="Calibri"/>
                <w:color w:val="000000"/>
                <w:lang w:eastAsia="en-GB"/>
              </w:rPr>
              <w:t xml:space="preserve">Study outside Northern Ireland </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F8437A">
              <w:rPr>
                <w:rFonts w:ascii="Calibri" w:eastAsia="Times New Roman" w:hAnsi="Calibri" w:cs="Calibri"/>
                <w:b/>
                <w:bCs/>
                <w:color w:val="000000"/>
                <w:lang w:eastAsia="en-GB"/>
              </w:rPr>
              <w:t>127</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F8437A">
              <w:rPr>
                <w:rFonts w:ascii="Calibri" w:eastAsia="Times New Roman" w:hAnsi="Calibri" w:cs="Calibri"/>
                <w:b/>
                <w:bCs/>
                <w:color w:val="000000"/>
                <w:lang w:eastAsia="en-GB"/>
              </w:rPr>
              <w:t>0.3%</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England, Scotland or Wales</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31</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0.1%</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Republic of Ireland</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82</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0.2%</w:t>
            </w:r>
          </w:p>
        </w:tc>
      </w:tr>
      <w:tr w:rsidR="00F8437A" w:rsidRPr="00F8437A" w:rsidTr="0082772F">
        <w:trPr>
          <w:trHeight w:val="3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BE6C52" w:rsidP="00F8437A">
            <w:pPr>
              <w:rPr>
                <w:rFonts w:ascii="Calibri" w:eastAsia="Times New Roman" w:hAnsi="Calibri" w:cs="Calibri"/>
                <w:b w:val="0"/>
                <w:color w:val="000000"/>
                <w:lang w:eastAsia="en-GB"/>
              </w:rPr>
            </w:pPr>
            <w:r>
              <w:rPr>
                <w:rFonts w:ascii="Calibri" w:eastAsia="Times New Roman" w:hAnsi="Calibri" w:cs="Calibri"/>
                <w:b w:val="0"/>
                <w:color w:val="000000"/>
                <w:lang w:eastAsia="en-GB"/>
              </w:rPr>
              <w:t xml:space="preserve">    </w:t>
            </w:r>
            <w:r w:rsidR="00F8437A" w:rsidRPr="00F8437A">
              <w:rPr>
                <w:rFonts w:ascii="Calibri" w:eastAsia="Times New Roman" w:hAnsi="Calibri" w:cs="Calibri"/>
                <w:b w:val="0"/>
                <w:color w:val="000000"/>
                <w:lang w:eastAsia="en-GB"/>
              </w:rPr>
              <w:t>Outside the United Kingdom and Ireland</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14</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8437A">
              <w:rPr>
                <w:rFonts w:ascii="Calibri" w:eastAsia="Times New Roman" w:hAnsi="Calibri" w:cs="Calibri"/>
                <w:color w:val="000000"/>
                <w:lang w:eastAsia="en-GB"/>
              </w:rPr>
              <w:t>0.0%</w:t>
            </w:r>
          </w:p>
        </w:tc>
      </w:tr>
      <w:tr w:rsidR="00F8437A" w:rsidRPr="00F8437A" w:rsidTr="0082772F">
        <w:trPr>
          <w:trHeight w:val="600"/>
        </w:trPr>
        <w:tc>
          <w:tcPr>
            <w:cnfStyle w:val="001000000000" w:firstRow="0" w:lastRow="0" w:firstColumn="1" w:lastColumn="0" w:oddVBand="0" w:evenVBand="0" w:oddHBand="0" w:evenHBand="0" w:firstRowFirstColumn="0" w:firstRowLastColumn="0" w:lastRowFirstColumn="0" w:lastRowLastColumn="0"/>
            <w:tcW w:w="4815" w:type="dxa"/>
            <w:hideMark/>
          </w:tcPr>
          <w:p w:rsidR="00F8437A" w:rsidRPr="00F8437A" w:rsidRDefault="00F8437A" w:rsidP="00F8437A">
            <w:pPr>
              <w:rPr>
                <w:rFonts w:ascii="Calibri" w:eastAsia="Times New Roman" w:hAnsi="Calibri" w:cs="Calibri"/>
                <w:color w:val="000000"/>
                <w:lang w:eastAsia="en-GB"/>
              </w:rPr>
            </w:pPr>
            <w:r w:rsidRPr="00F8437A">
              <w:rPr>
                <w:rFonts w:ascii="Calibri" w:eastAsia="Times New Roman" w:hAnsi="Calibri" w:cs="Calibri"/>
                <w:color w:val="000000"/>
                <w:lang w:eastAsia="en-GB"/>
              </w:rPr>
              <w:t>All usual residents of primary school age and over in full-time education</w:t>
            </w:r>
          </w:p>
        </w:tc>
        <w:tc>
          <w:tcPr>
            <w:tcW w:w="2055"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F8437A">
              <w:rPr>
                <w:rFonts w:ascii="Calibri" w:eastAsia="Times New Roman" w:hAnsi="Calibri" w:cs="Calibri"/>
                <w:b/>
                <w:bCs/>
                <w:color w:val="000000"/>
                <w:lang w:eastAsia="en-GB"/>
              </w:rPr>
              <w:t>46,724</w:t>
            </w:r>
          </w:p>
        </w:tc>
        <w:tc>
          <w:tcPr>
            <w:tcW w:w="2056" w:type="dxa"/>
            <w:noWrap/>
            <w:hideMark/>
          </w:tcPr>
          <w:p w:rsidR="00F8437A" w:rsidRPr="00F8437A" w:rsidRDefault="00F8437A" w:rsidP="00F8437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F8437A">
              <w:rPr>
                <w:rFonts w:ascii="Calibri" w:eastAsia="Times New Roman" w:hAnsi="Calibri" w:cs="Calibri"/>
                <w:b/>
                <w:bCs/>
                <w:color w:val="000000"/>
                <w:lang w:eastAsia="en-GB"/>
              </w:rPr>
              <w:t>100%</w:t>
            </w:r>
          </w:p>
        </w:tc>
      </w:tr>
    </w:tbl>
    <w:p w:rsidR="00BE6C52" w:rsidRDefault="00BE6C52" w:rsidP="00BE6C52">
      <w:pPr>
        <w:rPr>
          <w:i/>
          <w:sz w:val="20"/>
          <w:szCs w:val="20"/>
        </w:rPr>
      </w:pPr>
      <w:r w:rsidRPr="00AB25BD">
        <w:rPr>
          <w:i/>
          <w:sz w:val="20"/>
          <w:szCs w:val="20"/>
        </w:rPr>
        <w:t xml:space="preserve">Table </w:t>
      </w:r>
      <w:r>
        <w:rPr>
          <w:i/>
          <w:sz w:val="20"/>
          <w:szCs w:val="20"/>
        </w:rPr>
        <w:t>6</w:t>
      </w:r>
      <w:r w:rsidRPr="00AB25BD">
        <w:rPr>
          <w:i/>
          <w:sz w:val="20"/>
          <w:szCs w:val="20"/>
        </w:rPr>
        <w:t xml:space="preserve">: </w:t>
      </w:r>
      <w:r>
        <w:rPr>
          <w:i/>
          <w:sz w:val="20"/>
          <w:szCs w:val="20"/>
        </w:rPr>
        <w:t>Distance to place of study for residents of primary school age and over in full-time education in Armagh City, Banbridge and Craigavon borough, 2021</w:t>
      </w:r>
      <w:r w:rsidRPr="00AB25BD">
        <w:rPr>
          <w:i/>
          <w:sz w:val="20"/>
          <w:szCs w:val="20"/>
        </w:rPr>
        <w:t xml:space="preserve">.   Source: </w:t>
      </w:r>
      <w:r>
        <w:rPr>
          <w:i/>
          <w:sz w:val="20"/>
          <w:szCs w:val="20"/>
        </w:rPr>
        <w:t>Table MS-I04</w:t>
      </w:r>
      <w:r w:rsidRPr="00AB25BD">
        <w:rPr>
          <w:i/>
          <w:sz w:val="20"/>
          <w:szCs w:val="20"/>
        </w:rPr>
        <w:t>, Census 2021.</w:t>
      </w:r>
    </w:p>
    <w:p w:rsidR="00C01D48" w:rsidRDefault="00700816" w:rsidP="00563ABC">
      <w:r>
        <w:t xml:space="preserve">Figure 1 presents the distance to place of study by LGD for those travelling less than 10km and more than 30km to their place of study.  For those with less than 10km distance to their place of study, Armagh City, Banbridge and Craigavon ranks mid table at 75.2%.  Belfast had the highest percentage of the studying population (87.7%) who had a place of study less than 10km from their house while Fermanagh and </w:t>
      </w:r>
      <w:proofErr w:type="spellStart"/>
      <w:r>
        <w:t>Omagh</w:t>
      </w:r>
      <w:proofErr w:type="spellEnd"/>
      <w:r>
        <w:t xml:space="preserve"> had the lowest percentage (66.1%) with a place of study less than 10km from their house.  </w:t>
      </w:r>
    </w:p>
    <w:p w:rsidR="00700816" w:rsidRDefault="00700816" w:rsidP="00563ABC">
      <w:r>
        <w:t>For those with more than 30km to travel to their place of study, Belfast LGD had the lowest percentage (0.9%) with a place of study which was 30km or more from their home</w:t>
      </w:r>
      <w:r w:rsidR="008F0B80">
        <w:t xml:space="preserve"> while</w:t>
      </w:r>
      <w:r>
        <w:t xml:space="preserve"> Mid Ulster had the highest percentage of students with a place of study which was 30km or more away </w:t>
      </w:r>
      <w:r w:rsidR="008F0B80">
        <w:t xml:space="preserve">at 8.2%. Armagh City, Banbridge and Craigavon borough had the fourth highest percentage of the studying population who travelled more than 30km to their place of study.  </w:t>
      </w:r>
    </w:p>
    <w:p w:rsidR="00700816" w:rsidRDefault="00700816" w:rsidP="00700816">
      <w:pPr>
        <w:rPr>
          <w:i/>
          <w:sz w:val="20"/>
          <w:szCs w:val="20"/>
        </w:rPr>
      </w:pPr>
      <w:r>
        <w:rPr>
          <w:noProof/>
          <w:lang w:eastAsia="en-GB"/>
        </w:rPr>
        <w:lastRenderedPageBreak/>
        <w:drawing>
          <wp:inline distT="0" distB="0" distL="0" distR="0" wp14:anchorId="0AC5A73A" wp14:editId="6472FD2D">
            <wp:extent cx="5619750" cy="33623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00816">
        <w:rPr>
          <w:i/>
          <w:sz w:val="20"/>
          <w:szCs w:val="20"/>
        </w:rPr>
        <w:t xml:space="preserve"> </w:t>
      </w:r>
      <w:r>
        <w:rPr>
          <w:i/>
          <w:sz w:val="20"/>
          <w:szCs w:val="20"/>
        </w:rPr>
        <w:t>Figure 1</w:t>
      </w:r>
      <w:r w:rsidRPr="00AB25BD">
        <w:rPr>
          <w:i/>
          <w:sz w:val="20"/>
          <w:szCs w:val="20"/>
        </w:rPr>
        <w:t xml:space="preserve">: </w:t>
      </w:r>
      <w:r>
        <w:rPr>
          <w:i/>
          <w:sz w:val="20"/>
          <w:szCs w:val="20"/>
        </w:rPr>
        <w:t>Distance to place of study for residents of primary school age and over in full-time education by LGD, 2021</w:t>
      </w:r>
      <w:r w:rsidRPr="00AB25BD">
        <w:rPr>
          <w:i/>
          <w:sz w:val="20"/>
          <w:szCs w:val="20"/>
        </w:rPr>
        <w:t xml:space="preserve">.   Source: </w:t>
      </w:r>
      <w:r>
        <w:rPr>
          <w:i/>
          <w:sz w:val="20"/>
          <w:szCs w:val="20"/>
        </w:rPr>
        <w:t>Table MS-I04</w:t>
      </w:r>
      <w:r w:rsidRPr="00AB25BD">
        <w:rPr>
          <w:i/>
          <w:sz w:val="20"/>
          <w:szCs w:val="20"/>
        </w:rPr>
        <w:t>, Census 2021.</w:t>
      </w:r>
    </w:p>
    <w:p w:rsidR="00A10759" w:rsidRDefault="004125AA" w:rsidP="00563ABC">
      <w:r>
        <w:t xml:space="preserve">As was the case for those travelling to work, the most common single method of travel to place of study was </w:t>
      </w:r>
      <w:r w:rsidR="008C4C81">
        <w:t>by</w:t>
      </w:r>
      <w:r>
        <w:t xml:space="preserve"> car or van,</w:t>
      </w:r>
      <w:r w:rsidR="008C4C81">
        <w:t xml:space="preserve"> either as a passenger, driving, or in a car or van pool shared driving</w:t>
      </w:r>
      <w:r>
        <w:t xml:space="preserve"> with </w:t>
      </w:r>
      <w:r w:rsidR="008C4C81">
        <w:t>a total of 24,492</w:t>
      </w:r>
      <w:r>
        <w:t xml:space="preserve"> people (</w:t>
      </w:r>
      <w:r w:rsidR="008C4C81">
        <w:t>52.4</w:t>
      </w:r>
      <w:r w:rsidR="00A10759">
        <w:t xml:space="preserve">% of the studying population) </w:t>
      </w:r>
      <w:r w:rsidR="008C4C81">
        <w:t>using one of these</w:t>
      </w:r>
      <w:r>
        <w:t xml:space="preserve"> method</w:t>
      </w:r>
      <w:r w:rsidR="008C4C81">
        <w:t>s</w:t>
      </w:r>
      <w:r>
        <w:t xml:space="preserve">.  Twenty per cent of </w:t>
      </w:r>
      <w:r w:rsidR="00A10759">
        <w:t xml:space="preserve">the studying population walked to their place of study while a further 0.5% travelled by bicycle, motorcycle, scooter or moped.  </w:t>
      </w:r>
    </w:p>
    <w:p w:rsidR="004125AA" w:rsidRDefault="004125AA" w:rsidP="00563ABC">
      <w:pPr>
        <w:rPr>
          <w:i/>
          <w:sz w:val="20"/>
          <w:szCs w:val="20"/>
        </w:rPr>
      </w:pPr>
      <w:r>
        <w:rPr>
          <w:noProof/>
          <w:lang w:eastAsia="en-GB"/>
        </w:rPr>
        <w:drawing>
          <wp:inline distT="0" distB="0" distL="0" distR="0" wp14:anchorId="1E4C8B33" wp14:editId="505E4E08">
            <wp:extent cx="5731510" cy="2962275"/>
            <wp:effectExtent l="0" t="0" r="25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125AA">
        <w:rPr>
          <w:i/>
          <w:sz w:val="20"/>
          <w:szCs w:val="20"/>
        </w:rPr>
        <w:t xml:space="preserve"> </w:t>
      </w:r>
      <w:r>
        <w:rPr>
          <w:i/>
          <w:sz w:val="20"/>
          <w:szCs w:val="20"/>
        </w:rPr>
        <w:t>Figure 2</w:t>
      </w:r>
      <w:r w:rsidRPr="00AB25BD">
        <w:rPr>
          <w:i/>
          <w:sz w:val="20"/>
          <w:szCs w:val="20"/>
        </w:rPr>
        <w:t xml:space="preserve">: </w:t>
      </w:r>
      <w:r>
        <w:rPr>
          <w:i/>
          <w:sz w:val="20"/>
          <w:szCs w:val="20"/>
        </w:rPr>
        <w:t>Method of travel to place of study for residents of primary school age and over in full-time education in Armagh City, Banbridge and Craigavon borough, 2021</w:t>
      </w:r>
      <w:r w:rsidRPr="00AB25BD">
        <w:rPr>
          <w:i/>
          <w:sz w:val="20"/>
          <w:szCs w:val="20"/>
        </w:rPr>
        <w:t xml:space="preserve">.   Source: </w:t>
      </w:r>
      <w:r>
        <w:rPr>
          <w:i/>
          <w:sz w:val="20"/>
          <w:szCs w:val="20"/>
        </w:rPr>
        <w:t>Table MS-I04</w:t>
      </w:r>
      <w:r w:rsidRPr="00AB25BD">
        <w:rPr>
          <w:i/>
          <w:sz w:val="20"/>
          <w:szCs w:val="20"/>
        </w:rPr>
        <w:t>, Census 2021.</w:t>
      </w:r>
    </w:p>
    <w:p w:rsidR="00766431" w:rsidRDefault="00766431" w:rsidP="00563ABC">
      <w:pPr>
        <w:rPr>
          <w:i/>
          <w:sz w:val="20"/>
          <w:szCs w:val="20"/>
        </w:rPr>
      </w:pPr>
    </w:p>
    <w:p w:rsidR="00766431" w:rsidRDefault="00766431" w:rsidP="00563ABC">
      <w:pPr>
        <w:rPr>
          <w:i/>
          <w:sz w:val="20"/>
          <w:szCs w:val="20"/>
        </w:rPr>
      </w:pPr>
    </w:p>
    <w:p w:rsidR="00766431" w:rsidRDefault="00766431" w:rsidP="00563ABC">
      <w:pPr>
        <w:rPr>
          <w:b/>
        </w:rPr>
      </w:pPr>
      <w:r w:rsidRPr="00766431">
        <w:rPr>
          <w:b/>
        </w:rPr>
        <w:lastRenderedPageBreak/>
        <w:t>Migration</w:t>
      </w:r>
    </w:p>
    <w:p w:rsidR="00CE44F5" w:rsidRPr="00930926" w:rsidRDefault="00CE44F5" w:rsidP="00563ABC">
      <w:r w:rsidRPr="00930926">
        <w:t xml:space="preserve">The statistics on ‘migration’ included in the 2021 Census are referred to as ‘address one year ago’ statistics as the question asked people to indicate their address one year before census day (21 March 2021).  </w:t>
      </w:r>
    </w:p>
    <w:p w:rsidR="00680788" w:rsidRPr="00680788" w:rsidRDefault="00680788" w:rsidP="00563ABC">
      <w:r w:rsidRPr="00680788">
        <w:t xml:space="preserve">Table 1 shows that in Census 2021, 92.7% of people aged 1 and over in the borough lived at the same address in March 2021 as they did in March 2020.  </w:t>
      </w:r>
      <w:r>
        <w:t xml:space="preserve">Of those aged 1 and over who lived at a different address, the majority lived at an address within the same LGD.  </w:t>
      </w:r>
      <w:r w:rsidR="00586C25">
        <w:t xml:space="preserve">Approximately 1.5% of the population were new to the borough having moved from another LGD within Northern Ireland in the year between March 2020 and March 2021.  </w:t>
      </w:r>
      <w:r>
        <w:t>A total of 2,340 people or 1.08% of all residents aged 1 and over</w:t>
      </w:r>
      <w:r w:rsidR="00586C25">
        <w:t xml:space="preserve"> in the borough</w:t>
      </w:r>
      <w:r>
        <w:t xml:space="preserve"> lived outside Northern Ireland one year before the Census 2021.  </w:t>
      </w:r>
    </w:p>
    <w:tbl>
      <w:tblPr>
        <w:tblStyle w:val="GridTable1Light"/>
        <w:tblW w:w="8060" w:type="dxa"/>
        <w:tblLook w:val="04A0" w:firstRow="1" w:lastRow="0" w:firstColumn="1" w:lastColumn="0" w:noHBand="0" w:noVBand="1"/>
      </w:tblPr>
      <w:tblGrid>
        <w:gridCol w:w="4740"/>
        <w:gridCol w:w="1660"/>
        <w:gridCol w:w="1660"/>
      </w:tblGrid>
      <w:tr w:rsidR="00680788" w:rsidRPr="00680788" w:rsidTr="006807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40" w:type="dxa"/>
            <w:noWrap/>
            <w:hideMark/>
          </w:tcPr>
          <w:p w:rsidR="00680788" w:rsidRPr="00680788" w:rsidRDefault="00680788" w:rsidP="00680788">
            <w:pPr>
              <w:rPr>
                <w:rFonts w:ascii="Calibri" w:eastAsia="Times New Roman" w:hAnsi="Calibri" w:cs="Calibri"/>
                <w:color w:val="000000"/>
                <w:lang w:eastAsia="en-GB"/>
              </w:rPr>
            </w:pPr>
            <w:r w:rsidRPr="00680788">
              <w:rPr>
                <w:rFonts w:ascii="Calibri" w:eastAsia="Times New Roman" w:hAnsi="Calibri" w:cs="Calibri"/>
                <w:color w:val="000000"/>
                <w:lang w:eastAsia="en-GB"/>
              </w:rPr>
              <w:t> </w:t>
            </w:r>
          </w:p>
        </w:tc>
        <w:tc>
          <w:tcPr>
            <w:tcW w:w="1660" w:type="dxa"/>
            <w:noWrap/>
            <w:hideMark/>
          </w:tcPr>
          <w:p w:rsidR="00680788" w:rsidRPr="00680788" w:rsidRDefault="00680788" w:rsidP="006807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 xml:space="preserve">Population </w:t>
            </w:r>
          </w:p>
        </w:tc>
        <w:tc>
          <w:tcPr>
            <w:tcW w:w="1660" w:type="dxa"/>
            <w:noWrap/>
            <w:hideMark/>
          </w:tcPr>
          <w:p w:rsidR="00680788" w:rsidRPr="00680788" w:rsidRDefault="00680788" w:rsidP="006807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w:t>
            </w:r>
          </w:p>
        </w:tc>
      </w:tr>
      <w:tr w:rsidR="00680788" w:rsidRPr="00680788" w:rsidTr="00680788">
        <w:trPr>
          <w:trHeight w:val="288"/>
        </w:trPr>
        <w:tc>
          <w:tcPr>
            <w:cnfStyle w:val="001000000000" w:firstRow="0" w:lastRow="0" w:firstColumn="1" w:lastColumn="0" w:oddVBand="0" w:evenVBand="0" w:oddHBand="0" w:evenHBand="0" w:firstRowFirstColumn="0" w:firstRowLastColumn="0" w:lastRowFirstColumn="0" w:lastRowLastColumn="0"/>
            <w:tcW w:w="4740" w:type="dxa"/>
            <w:hideMark/>
          </w:tcPr>
          <w:p w:rsidR="00680788" w:rsidRPr="00680788" w:rsidRDefault="00680788" w:rsidP="00680788">
            <w:pPr>
              <w:jc w:val="right"/>
              <w:rPr>
                <w:rFonts w:ascii="Calibri" w:eastAsia="Times New Roman" w:hAnsi="Calibri" w:cs="Calibri"/>
                <w:color w:val="000000"/>
                <w:lang w:eastAsia="en-GB"/>
              </w:rPr>
            </w:pPr>
            <w:r w:rsidRPr="00680788">
              <w:rPr>
                <w:rFonts w:ascii="Calibri" w:eastAsia="Times New Roman" w:hAnsi="Calibri" w:cs="Calibri"/>
                <w:color w:val="000000"/>
                <w:lang w:eastAsia="en-GB"/>
              </w:rPr>
              <w:t>Lived at same address one year ago</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80788">
              <w:rPr>
                <w:rFonts w:ascii="Calibri" w:eastAsia="Times New Roman" w:hAnsi="Calibri" w:cs="Calibri"/>
                <w:b/>
                <w:bCs/>
                <w:color w:val="000000"/>
                <w:lang w:eastAsia="en-GB"/>
              </w:rPr>
              <w:t>200,194</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80788">
              <w:rPr>
                <w:rFonts w:ascii="Calibri" w:eastAsia="Times New Roman" w:hAnsi="Calibri" w:cs="Calibri"/>
                <w:b/>
                <w:bCs/>
                <w:color w:val="000000"/>
                <w:lang w:eastAsia="en-GB"/>
              </w:rPr>
              <w:t>92.65%</w:t>
            </w:r>
          </w:p>
        </w:tc>
      </w:tr>
      <w:tr w:rsidR="00680788" w:rsidRPr="00680788" w:rsidTr="00680788">
        <w:trPr>
          <w:trHeight w:val="288"/>
        </w:trPr>
        <w:tc>
          <w:tcPr>
            <w:cnfStyle w:val="001000000000" w:firstRow="0" w:lastRow="0" w:firstColumn="1" w:lastColumn="0" w:oddVBand="0" w:evenVBand="0" w:oddHBand="0" w:evenHBand="0" w:firstRowFirstColumn="0" w:firstRowLastColumn="0" w:lastRowFirstColumn="0" w:lastRowLastColumn="0"/>
            <w:tcW w:w="4740" w:type="dxa"/>
            <w:hideMark/>
          </w:tcPr>
          <w:p w:rsidR="00680788" w:rsidRPr="00680788" w:rsidRDefault="00680788" w:rsidP="00680788">
            <w:pPr>
              <w:jc w:val="right"/>
              <w:rPr>
                <w:rFonts w:ascii="Calibri" w:eastAsia="Times New Roman" w:hAnsi="Calibri" w:cs="Calibri"/>
                <w:color w:val="000000"/>
                <w:lang w:eastAsia="en-GB"/>
              </w:rPr>
            </w:pPr>
            <w:r w:rsidRPr="00680788">
              <w:rPr>
                <w:rFonts w:ascii="Calibri" w:eastAsia="Times New Roman" w:hAnsi="Calibri" w:cs="Calibri"/>
                <w:color w:val="000000"/>
                <w:lang w:eastAsia="en-GB"/>
              </w:rPr>
              <w:t>Lived at a different address on year ago</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80788">
              <w:rPr>
                <w:rFonts w:ascii="Calibri" w:eastAsia="Times New Roman" w:hAnsi="Calibri" w:cs="Calibri"/>
                <w:b/>
                <w:bCs/>
                <w:color w:val="000000"/>
                <w:lang w:eastAsia="en-GB"/>
              </w:rPr>
              <w:t>15,870</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680788">
              <w:rPr>
                <w:rFonts w:ascii="Calibri" w:eastAsia="Times New Roman" w:hAnsi="Calibri" w:cs="Calibri"/>
                <w:b/>
                <w:bCs/>
                <w:color w:val="000000"/>
                <w:lang w:eastAsia="en-GB"/>
              </w:rPr>
              <w:t>7.35%</w:t>
            </w:r>
          </w:p>
        </w:tc>
      </w:tr>
      <w:tr w:rsidR="00680788" w:rsidRPr="00680788" w:rsidTr="00680788">
        <w:trPr>
          <w:trHeight w:val="288"/>
        </w:trPr>
        <w:tc>
          <w:tcPr>
            <w:cnfStyle w:val="001000000000" w:firstRow="0" w:lastRow="0" w:firstColumn="1" w:lastColumn="0" w:oddVBand="0" w:evenVBand="0" w:oddHBand="0" w:evenHBand="0" w:firstRowFirstColumn="0" w:firstRowLastColumn="0" w:lastRowFirstColumn="0" w:lastRowLastColumn="0"/>
            <w:tcW w:w="4740" w:type="dxa"/>
            <w:hideMark/>
          </w:tcPr>
          <w:p w:rsidR="00680788" w:rsidRPr="00680788" w:rsidRDefault="00680788" w:rsidP="00680788">
            <w:pPr>
              <w:jc w:val="right"/>
              <w:rPr>
                <w:rFonts w:ascii="Calibri" w:eastAsia="Times New Roman" w:hAnsi="Calibri" w:cs="Calibri"/>
                <w:b w:val="0"/>
                <w:color w:val="000000"/>
                <w:lang w:eastAsia="en-GB"/>
              </w:rPr>
            </w:pPr>
            <w:r w:rsidRPr="00680788">
              <w:rPr>
                <w:rFonts w:ascii="Calibri" w:eastAsia="Times New Roman" w:hAnsi="Calibri" w:cs="Calibri"/>
                <w:b w:val="0"/>
                <w:color w:val="000000"/>
                <w:lang w:eastAsia="en-GB"/>
              </w:rPr>
              <w:t>Within the Local Government District</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10,351</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4.79%</w:t>
            </w:r>
          </w:p>
        </w:tc>
      </w:tr>
      <w:tr w:rsidR="00680788" w:rsidRPr="00680788" w:rsidTr="00680788">
        <w:trPr>
          <w:trHeight w:val="576"/>
        </w:trPr>
        <w:tc>
          <w:tcPr>
            <w:cnfStyle w:val="001000000000" w:firstRow="0" w:lastRow="0" w:firstColumn="1" w:lastColumn="0" w:oddVBand="0" w:evenVBand="0" w:oddHBand="0" w:evenHBand="0" w:firstRowFirstColumn="0" w:firstRowLastColumn="0" w:lastRowFirstColumn="0" w:lastRowLastColumn="0"/>
            <w:tcW w:w="4740" w:type="dxa"/>
            <w:hideMark/>
          </w:tcPr>
          <w:p w:rsidR="00680788" w:rsidRPr="00680788" w:rsidRDefault="00680788" w:rsidP="00680788">
            <w:pPr>
              <w:jc w:val="right"/>
              <w:rPr>
                <w:rFonts w:ascii="Calibri" w:eastAsia="Times New Roman" w:hAnsi="Calibri" w:cs="Calibri"/>
                <w:b w:val="0"/>
                <w:color w:val="000000"/>
                <w:lang w:eastAsia="en-GB"/>
              </w:rPr>
            </w:pPr>
            <w:r w:rsidRPr="00680788">
              <w:rPr>
                <w:rFonts w:ascii="Calibri" w:eastAsia="Times New Roman" w:hAnsi="Calibri" w:cs="Calibri"/>
                <w:b w:val="0"/>
                <w:color w:val="000000"/>
                <w:lang w:eastAsia="en-GB"/>
              </w:rPr>
              <w:t>Outside the Local Government District but within Northern Ireland</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3,179</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1.47%</w:t>
            </w:r>
          </w:p>
        </w:tc>
      </w:tr>
      <w:tr w:rsidR="00680788" w:rsidRPr="00680788" w:rsidTr="00680788">
        <w:trPr>
          <w:trHeight w:val="288"/>
        </w:trPr>
        <w:tc>
          <w:tcPr>
            <w:cnfStyle w:val="001000000000" w:firstRow="0" w:lastRow="0" w:firstColumn="1" w:lastColumn="0" w:oddVBand="0" w:evenVBand="0" w:oddHBand="0" w:evenHBand="0" w:firstRowFirstColumn="0" w:firstRowLastColumn="0" w:lastRowFirstColumn="0" w:lastRowLastColumn="0"/>
            <w:tcW w:w="4740" w:type="dxa"/>
            <w:hideMark/>
          </w:tcPr>
          <w:p w:rsidR="00680788" w:rsidRPr="00680788" w:rsidRDefault="00680788" w:rsidP="00680788">
            <w:pPr>
              <w:jc w:val="right"/>
              <w:rPr>
                <w:rFonts w:ascii="Calibri" w:eastAsia="Times New Roman" w:hAnsi="Calibri" w:cs="Calibri"/>
                <w:b w:val="0"/>
                <w:color w:val="000000"/>
                <w:lang w:eastAsia="en-GB"/>
              </w:rPr>
            </w:pPr>
            <w:r w:rsidRPr="00680788">
              <w:rPr>
                <w:rFonts w:ascii="Calibri" w:eastAsia="Times New Roman" w:hAnsi="Calibri" w:cs="Calibri"/>
                <w:b w:val="0"/>
                <w:color w:val="000000"/>
                <w:lang w:eastAsia="en-GB"/>
              </w:rPr>
              <w:t>Outside Northern Ireland</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2,340</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80788">
              <w:rPr>
                <w:rFonts w:ascii="Calibri" w:eastAsia="Times New Roman" w:hAnsi="Calibri" w:cs="Calibri"/>
                <w:color w:val="000000"/>
                <w:lang w:eastAsia="en-GB"/>
              </w:rPr>
              <w:t>1.08%</w:t>
            </w:r>
          </w:p>
        </w:tc>
      </w:tr>
      <w:tr w:rsidR="00680788" w:rsidRPr="00680788" w:rsidTr="00680788">
        <w:trPr>
          <w:trHeight w:val="288"/>
        </w:trPr>
        <w:tc>
          <w:tcPr>
            <w:cnfStyle w:val="001000000000" w:firstRow="0" w:lastRow="0" w:firstColumn="1" w:lastColumn="0" w:oddVBand="0" w:evenVBand="0" w:oddHBand="0" w:evenHBand="0" w:firstRowFirstColumn="0" w:firstRowLastColumn="0" w:lastRowFirstColumn="0" w:lastRowLastColumn="0"/>
            <w:tcW w:w="4740" w:type="dxa"/>
            <w:hideMark/>
          </w:tcPr>
          <w:p w:rsidR="00680788" w:rsidRPr="00680788" w:rsidRDefault="00680788" w:rsidP="00680788">
            <w:pPr>
              <w:jc w:val="right"/>
              <w:rPr>
                <w:rFonts w:ascii="Calibri" w:eastAsia="Times New Roman" w:hAnsi="Calibri" w:cs="Calibri"/>
                <w:color w:val="000000"/>
                <w:lang w:eastAsia="en-GB"/>
              </w:rPr>
            </w:pPr>
            <w:r w:rsidRPr="00680788">
              <w:rPr>
                <w:rFonts w:ascii="Calibri" w:eastAsia="Times New Roman" w:hAnsi="Calibri" w:cs="Calibri"/>
                <w:color w:val="000000"/>
                <w:lang w:eastAsia="en-GB"/>
              </w:rPr>
              <w:t>All usual residents aged 1 and over</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680788">
              <w:rPr>
                <w:rFonts w:ascii="Calibri" w:eastAsia="Times New Roman" w:hAnsi="Calibri" w:cs="Calibri"/>
                <w:b/>
                <w:color w:val="000000"/>
                <w:lang w:eastAsia="en-GB"/>
              </w:rPr>
              <w:t>216,064</w:t>
            </w:r>
          </w:p>
        </w:tc>
        <w:tc>
          <w:tcPr>
            <w:tcW w:w="1660" w:type="dxa"/>
            <w:noWrap/>
            <w:hideMark/>
          </w:tcPr>
          <w:p w:rsidR="00680788" w:rsidRPr="00680788" w:rsidRDefault="00680788" w:rsidP="006807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680788">
              <w:rPr>
                <w:rFonts w:ascii="Calibri" w:eastAsia="Times New Roman" w:hAnsi="Calibri" w:cs="Calibri"/>
                <w:b/>
                <w:color w:val="000000"/>
                <w:lang w:eastAsia="en-GB"/>
              </w:rPr>
              <w:t>100%</w:t>
            </w:r>
          </w:p>
        </w:tc>
      </w:tr>
    </w:tbl>
    <w:p w:rsidR="00194E1B" w:rsidRDefault="00194E1B" w:rsidP="00194E1B">
      <w:pPr>
        <w:rPr>
          <w:i/>
          <w:sz w:val="20"/>
          <w:szCs w:val="20"/>
        </w:rPr>
      </w:pPr>
      <w:r w:rsidRPr="00AB25BD">
        <w:rPr>
          <w:i/>
          <w:sz w:val="20"/>
          <w:szCs w:val="20"/>
        </w:rPr>
        <w:t xml:space="preserve">Table </w:t>
      </w:r>
      <w:r>
        <w:rPr>
          <w:i/>
          <w:sz w:val="20"/>
          <w:szCs w:val="20"/>
        </w:rPr>
        <w:t>7</w:t>
      </w:r>
      <w:r w:rsidRPr="00AB25BD">
        <w:rPr>
          <w:i/>
          <w:sz w:val="20"/>
          <w:szCs w:val="20"/>
        </w:rPr>
        <w:t xml:space="preserve">: </w:t>
      </w:r>
      <w:r>
        <w:rPr>
          <w:i/>
          <w:sz w:val="20"/>
          <w:szCs w:val="20"/>
        </w:rPr>
        <w:t>Address one year ago for residents aged 1 and over in Armagh City, Banbridge and Craigavon borough, 2021</w:t>
      </w:r>
      <w:r w:rsidRPr="00AB25BD">
        <w:rPr>
          <w:i/>
          <w:sz w:val="20"/>
          <w:szCs w:val="20"/>
        </w:rPr>
        <w:t xml:space="preserve">.   Source: </w:t>
      </w:r>
      <w:r>
        <w:rPr>
          <w:i/>
          <w:sz w:val="20"/>
          <w:szCs w:val="20"/>
        </w:rPr>
        <w:t>Table MS-K0</w:t>
      </w:r>
      <w:r w:rsidR="00C74422">
        <w:rPr>
          <w:i/>
          <w:sz w:val="20"/>
          <w:szCs w:val="20"/>
        </w:rPr>
        <w:t>1</w:t>
      </w:r>
      <w:r w:rsidRPr="00AB25BD">
        <w:rPr>
          <w:i/>
          <w:sz w:val="20"/>
          <w:szCs w:val="20"/>
        </w:rPr>
        <w:t>, Census 2021.</w:t>
      </w:r>
    </w:p>
    <w:p w:rsidR="00680788" w:rsidRPr="00586C25" w:rsidRDefault="00586C25" w:rsidP="00563ABC">
      <w:r>
        <w:t>O</w:t>
      </w:r>
      <w:r w:rsidR="00194E1B">
        <w:t xml:space="preserve">verall </w:t>
      </w:r>
      <w:r>
        <w:t>in Northern Ireland, 8.3%</w:t>
      </w:r>
      <w:r w:rsidR="00194E1B">
        <w:t xml:space="preserve"> of the population lived at a different address one year before the census. </w:t>
      </w:r>
      <w:r>
        <w:t xml:space="preserve"> There was some variation in this statistic throughout the LGDs in</w:t>
      </w:r>
      <w:r w:rsidR="00194E1B">
        <w:t xml:space="preserve"> Northern Ireland</w:t>
      </w:r>
      <w:r>
        <w:t xml:space="preserve"> with Belfast having the highest percentage of people (12.5%) living at a different address one year ago and Mid Ulster the lowest at 6.5%.</w:t>
      </w:r>
    </w:p>
    <w:tbl>
      <w:tblPr>
        <w:tblStyle w:val="GridTable1Light"/>
        <w:tblW w:w="9222" w:type="dxa"/>
        <w:tblLayout w:type="fixed"/>
        <w:tblLook w:val="04A0" w:firstRow="1" w:lastRow="0" w:firstColumn="1" w:lastColumn="0" w:noHBand="0" w:noVBand="1"/>
      </w:tblPr>
      <w:tblGrid>
        <w:gridCol w:w="2972"/>
        <w:gridCol w:w="1559"/>
        <w:gridCol w:w="1563"/>
        <w:gridCol w:w="1564"/>
        <w:gridCol w:w="1564"/>
      </w:tblGrid>
      <w:tr w:rsidR="00465C65" w:rsidRPr="00465C65" w:rsidTr="00465C65">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72" w:type="dxa"/>
            <w:vMerge w:val="restart"/>
            <w:noWrap/>
            <w:hideMark/>
          </w:tcPr>
          <w:p w:rsidR="00465C65" w:rsidRPr="00465C65" w:rsidRDefault="00465C65" w:rsidP="00465C65">
            <w:pPr>
              <w:jc w:val="center"/>
              <w:rPr>
                <w:rFonts w:ascii="Calibri" w:eastAsia="Times New Roman" w:hAnsi="Calibri" w:cs="Calibri"/>
                <w:color w:val="000000"/>
                <w:lang w:eastAsia="en-GB"/>
              </w:rPr>
            </w:pPr>
            <w:r w:rsidRPr="00465C65">
              <w:rPr>
                <w:rFonts w:ascii="Calibri" w:eastAsia="Times New Roman" w:hAnsi="Calibri" w:cs="Calibri"/>
                <w:color w:val="000000"/>
                <w:lang w:eastAsia="en-GB"/>
              </w:rPr>
              <w:t> </w:t>
            </w:r>
          </w:p>
        </w:tc>
        <w:tc>
          <w:tcPr>
            <w:tcW w:w="1559" w:type="dxa"/>
            <w:vMerge w:val="restart"/>
            <w:hideMark/>
          </w:tcPr>
          <w:p w:rsidR="00465C65" w:rsidRPr="00465C65" w:rsidRDefault="00465C65" w:rsidP="00465C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Lived at same address one year ago</w:t>
            </w:r>
          </w:p>
        </w:tc>
        <w:tc>
          <w:tcPr>
            <w:tcW w:w="4691" w:type="dxa"/>
            <w:gridSpan w:val="3"/>
            <w:noWrap/>
            <w:hideMark/>
          </w:tcPr>
          <w:p w:rsidR="00465C65" w:rsidRPr="00465C65" w:rsidRDefault="00465C65" w:rsidP="00465C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Lived elsewhere one year ago:</w:t>
            </w:r>
          </w:p>
        </w:tc>
      </w:tr>
      <w:tr w:rsidR="00465C65" w:rsidRPr="00465C65" w:rsidTr="00465C65">
        <w:trPr>
          <w:trHeight w:val="816"/>
        </w:trPr>
        <w:tc>
          <w:tcPr>
            <w:cnfStyle w:val="001000000000" w:firstRow="0" w:lastRow="0" w:firstColumn="1" w:lastColumn="0" w:oddVBand="0" w:evenVBand="0" w:oddHBand="0" w:evenHBand="0" w:firstRowFirstColumn="0" w:firstRowLastColumn="0" w:lastRowFirstColumn="0" w:lastRowLastColumn="0"/>
            <w:tcW w:w="2972" w:type="dxa"/>
            <w:vMerge/>
            <w:hideMark/>
          </w:tcPr>
          <w:p w:rsidR="00465C65" w:rsidRPr="00465C65" w:rsidRDefault="00465C65" w:rsidP="00465C65">
            <w:pPr>
              <w:rPr>
                <w:rFonts w:ascii="Calibri" w:eastAsia="Times New Roman" w:hAnsi="Calibri" w:cs="Calibri"/>
                <w:color w:val="000000"/>
                <w:lang w:eastAsia="en-GB"/>
              </w:rPr>
            </w:pPr>
          </w:p>
        </w:tc>
        <w:tc>
          <w:tcPr>
            <w:tcW w:w="1559" w:type="dxa"/>
            <w:vMerge/>
            <w:hideMark/>
          </w:tcPr>
          <w:p w:rsidR="00465C65" w:rsidRPr="00465C65" w:rsidRDefault="00465C65" w:rsidP="00465C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563" w:type="dxa"/>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465C65">
              <w:rPr>
                <w:rFonts w:ascii="Calibri" w:eastAsia="Times New Roman" w:hAnsi="Calibri" w:cs="Calibri"/>
                <w:b/>
                <w:color w:val="000000"/>
                <w:lang w:eastAsia="en-GB"/>
              </w:rPr>
              <w:t>Within the LGD</w:t>
            </w:r>
          </w:p>
        </w:tc>
        <w:tc>
          <w:tcPr>
            <w:tcW w:w="1564" w:type="dxa"/>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465C65">
              <w:rPr>
                <w:rFonts w:ascii="Calibri" w:eastAsia="Times New Roman" w:hAnsi="Calibri" w:cs="Calibri"/>
                <w:b/>
                <w:color w:val="000000"/>
                <w:lang w:eastAsia="en-GB"/>
              </w:rPr>
              <w:t>Outside the LGD but within NI</w:t>
            </w:r>
          </w:p>
        </w:tc>
        <w:tc>
          <w:tcPr>
            <w:tcW w:w="1564" w:type="dxa"/>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465C65">
              <w:rPr>
                <w:rFonts w:ascii="Calibri" w:eastAsia="Times New Roman" w:hAnsi="Calibri" w:cs="Calibri"/>
                <w:b/>
                <w:color w:val="000000"/>
                <w:lang w:eastAsia="en-GB"/>
              </w:rPr>
              <w:t>Outside NI</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Northern Ireland</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91.7%</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4.9%</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2.0%</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1.4%</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Antrim and Newtownabbey</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92.5%</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3.9%</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2.4%</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1.2%</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Armagh City, Banbridge and Craigavon</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92.7%</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4.8%</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1.5%</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1.1%</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Belfast</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87.5%</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6.7%</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3.2%</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2.6%</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Causeway Coast and Glens</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92.2%</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4.8%</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1.9%</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1.1%</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Derry City and Strabane</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92.6%</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5.1%</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1.1%</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1.3%</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 xml:space="preserve">Fermanagh and </w:t>
            </w:r>
            <w:proofErr w:type="spellStart"/>
            <w:r w:rsidRPr="00465C65">
              <w:rPr>
                <w:rFonts w:ascii="Calibri" w:eastAsia="Times New Roman" w:hAnsi="Calibri" w:cs="Calibri"/>
                <w:color w:val="000000"/>
                <w:lang w:eastAsia="en-GB"/>
              </w:rPr>
              <w:t>Omagh</w:t>
            </w:r>
            <w:proofErr w:type="spellEnd"/>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93.4%</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3.9%</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1.1%</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1.5%</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Lisburn and Castlereagh</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91.9%</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3.5%</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3.2%</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1.3%</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Mid and East Antrim</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92.6%</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4.6%</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1.8%</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0.9%</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Mid Ulster</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93.5%</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4.2%</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1.3%</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1.0%</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r w:rsidRPr="00465C65">
              <w:rPr>
                <w:rFonts w:ascii="Calibri" w:eastAsia="Times New Roman" w:hAnsi="Calibri" w:cs="Calibri"/>
                <w:color w:val="000000"/>
                <w:lang w:eastAsia="en-GB"/>
              </w:rPr>
              <w:t xml:space="preserve">Newry, </w:t>
            </w:r>
            <w:proofErr w:type="spellStart"/>
            <w:r w:rsidRPr="00465C65">
              <w:rPr>
                <w:rFonts w:ascii="Calibri" w:eastAsia="Times New Roman" w:hAnsi="Calibri" w:cs="Calibri"/>
                <w:color w:val="000000"/>
                <w:lang w:eastAsia="en-GB"/>
              </w:rPr>
              <w:t>Mourne</w:t>
            </w:r>
            <w:proofErr w:type="spellEnd"/>
            <w:r w:rsidRPr="00465C65">
              <w:rPr>
                <w:rFonts w:ascii="Calibri" w:eastAsia="Times New Roman" w:hAnsi="Calibri" w:cs="Calibri"/>
                <w:color w:val="000000"/>
                <w:lang w:eastAsia="en-GB"/>
              </w:rPr>
              <w:t xml:space="preserve"> and Down</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93.2%</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4.1%</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1.5%</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1.3%</w:t>
            </w:r>
          </w:p>
        </w:tc>
      </w:tr>
      <w:tr w:rsidR="00465C65" w:rsidRPr="00465C65" w:rsidTr="00465C65">
        <w:trPr>
          <w:trHeight w:val="266"/>
        </w:trPr>
        <w:tc>
          <w:tcPr>
            <w:cnfStyle w:val="001000000000" w:firstRow="0" w:lastRow="0" w:firstColumn="1" w:lastColumn="0" w:oddVBand="0" w:evenVBand="0" w:oddHBand="0" w:evenHBand="0" w:firstRowFirstColumn="0" w:firstRowLastColumn="0" w:lastRowFirstColumn="0" w:lastRowLastColumn="0"/>
            <w:tcW w:w="2972" w:type="dxa"/>
            <w:noWrap/>
            <w:hideMark/>
          </w:tcPr>
          <w:p w:rsidR="00465C65" w:rsidRPr="00465C65" w:rsidRDefault="00465C65" w:rsidP="00465C65">
            <w:pPr>
              <w:rPr>
                <w:rFonts w:ascii="Calibri" w:eastAsia="Times New Roman" w:hAnsi="Calibri" w:cs="Calibri"/>
                <w:color w:val="000000"/>
                <w:lang w:eastAsia="en-GB"/>
              </w:rPr>
            </w:pPr>
            <w:proofErr w:type="spellStart"/>
            <w:r w:rsidRPr="00465C65">
              <w:rPr>
                <w:rFonts w:ascii="Calibri" w:eastAsia="Times New Roman" w:hAnsi="Calibri" w:cs="Calibri"/>
                <w:color w:val="000000"/>
                <w:lang w:eastAsia="en-GB"/>
              </w:rPr>
              <w:t>Ards</w:t>
            </w:r>
            <w:proofErr w:type="spellEnd"/>
            <w:r w:rsidRPr="00465C65">
              <w:rPr>
                <w:rFonts w:ascii="Calibri" w:eastAsia="Times New Roman" w:hAnsi="Calibri" w:cs="Calibri"/>
                <w:color w:val="000000"/>
                <w:lang w:eastAsia="en-GB"/>
              </w:rPr>
              <w:t xml:space="preserve"> and North Down</w:t>
            </w:r>
          </w:p>
        </w:tc>
        <w:tc>
          <w:tcPr>
            <w:tcW w:w="1559"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91.6%</w:t>
            </w:r>
          </w:p>
        </w:tc>
        <w:tc>
          <w:tcPr>
            <w:tcW w:w="1563"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5.2%</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1.9%</w:t>
            </w:r>
          </w:p>
        </w:tc>
        <w:tc>
          <w:tcPr>
            <w:tcW w:w="1564" w:type="dxa"/>
            <w:noWrap/>
            <w:hideMark/>
          </w:tcPr>
          <w:p w:rsidR="00465C65" w:rsidRPr="00465C65" w:rsidRDefault="00465C65" w:rsidP="00465C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65C65">
              <w:rPr>
                <w:rFonts w:ascii="Calibri" w:eastAsia="Times New Roman" w:hAnsi="Calibri" w:cs="Calibri"/>
                <w:color w:val="000000"/>
                <w:lang w:eastAsia="en-GB"/>
              </w:rPr>
              <w:t>1.3%</w:t>
            </w:r>
          </w:p>
        </w:tc>
      </w:tr>
    </w:tbl>
    <w:p w:rsidR="00680788" w:rsidRDefault="00194E1B" w:rsidP="00563ABC">
      <w:pPr>
        <w:rPr>
          <w:i/>
          <w:sz w:val="20"/>
          <w:szCs w:val="20"/>
        </w:rPr>
      </w:pPr>
      <w:r w:rsidRPr="00AB25BD">
        <w:rPr>
          <w:i/>
          <w:sz w:val="20"/>
          <w:szCs w:val="20"/>
        </w:rPr>
        <w:t xml:space="preserve">Table </w:t>
      </w:r>
      <w:r>
        <w:rPr>
          <w:i/>
          <w:sz w:val="20"/>
          <w:szCs w:val="20"/>
        </w:rPr>
        <w:t>8</w:t>
      </w:r>
      <w:r w:rsidRPr="00AB25BD">
        <w:rPr>
          <w:i/>
          <w:sz w:val="20"/>
          <w:szCs w:val="20"/>
        </w:rPr>
        <w:t xml:space="preserve">: </w:t>
      </w:r>
      <w:r>
        <w:rPr>
          <w:i/>
          <w:sz w:val="20"/>
          <w:szCs w:val="20"/>
        </w:rPr>
        <w:t>Address one year ago for residents aged 1 and over by LGD, 2021</w:t>
      </w:r>
      <w:r w:rsidRPr="00AB25BD">
        <w:rPr>
          <w:i/>
          <w:sz w:val="20"/>
          <w:szCs w:val="20"/>
        </w:rPr>
        <w:t xml:space="preserve">.   Source: </w:t>
      </w:r>
      <w:r>
        <w:rPr>
          <w:i/>
          <w:sz w:val="20"/>
          <w:szCs w:val="20"/>
        </w:rPr>
        <w:t>Table MS-K0</w:t>
      </w:r>
      <w:r w:rsidR="00C74422">
        <w:rPr>
          <w:i/>
          <w:sz w:val="20"/>
          <w:szCs w:val="20"/>
        </w:rPr>
        <w:t>1</w:t>
      </w:r>
      <w:r w:rsidRPr="00AB25BD">
        <w:rPr>
          <w:i/>
          <w:sz w:val="20"/>
          <w:szCs w:val="20"/>
        </w:rPr>
        <w:t>, Census 2021.</w:t>
      </w:r>
    </w:p>
    <w:p w:rsidR="00586C25" w:rsidRDefault="00586C25" w:rsidP="00563ABC">
      <w:pPr>
        <w:rPr>
          <w:i/>
          <w:sz w:val="20"/>
          <w:szCs w:val="20"/>
        </w:rPr>
      </w:pPr>
    </w:p>
    <w:p w:rsidR="00586C25" w:rsidRDefault="00586C25" w:rsidP="00563ABC">
      <w:pPr>
        <w:rPr>
          <w:i/>
          <w:sz w:val="20"/>
          <w:szCs w:val="20"/>
        </w:rPr>
      </w:pPr>
    </w:p>
    <w:p w:rsidR="00586C25" w:rsidRDefault="00586C25" w:rsidP="00563ABC">
      <w:pPr>
        <w:rPr>
          <w:b/>
        </w:rPr>
      </w:pPr>
      <w:r>
        <w:rPr>
          <w:b/>
        </w:rPr>
        <w:lastRenderedPageBreak/>
        <w:t>Year of Arrival</w:t>
      </w:r>
    </w:p>
    <w:p w:rsidR="00586C25" w:rsidRDefault="00540902" w:rsidP="00563ABC">
      <w:r w:rsidRPr="00540902">
        <w:t>T</w:t>
      </w:r>
      <w:r w:rsidR="00586C25" w:rsidRPr="00540902">
        <w:t xml:space="preserve">hose persons who </w:t>
      </w:r>
      <w:r w:rsidRPr="00540902">
        <w:t xml:space="preserve">indicated on the questionnaire that they </w:t>
      </w:r>
      <w:r w:rsidR="00586C25" w:rsidRPr="00540902">
        <w:t xml:space="preserve">were </w:t>
      </w:r>
      <w:r w:rsidRPr="00540902">
        <w:t>born outside of Northern Ireland, were then asked to a question on ‘year of arrival’.</w:t>
      </w:r>
    </w:p>
    <w:p w:rsidR="00540902" w:rsidRDefault="00C74422" w:rsidP="00563ABC">
      <w:r>
        <w:t xml:space="preserve">On Census day 2021, the population of Armagh City, Banbridge and Craigavon was estimated at 218,656 persons of which, a total of 31,733 (14.5%) were born outside of Northern Ireland.  Figure 3 presents the percentage of those born outside Northern Ireland by decade of arrival.  Almost 43% arrived in Northern Ireland in the decade to 2021 with 30% having arrived between </w:t>
      </w:r>
      <w:r w:rsidR="002345E0">
        <w:t xml:space="preserve">2001 and </w:t>
      </w:r>
      <w:r>
        <w:t>2010.  A total of 8,561</w:t>
      </w:r>
      <w:r w:rsidR="00835EAD">
        <w:t xml:space="preserve"> people (27%) arrived before 2001.  </w:t>
      </w:r>
    </w:p>
    <w:p w:rsidR="00540902" w:rsidRDefault="00540902" w:rsidP="00540902">
      <w:pPr>
        <w:rPr>
          <w:i/>
          <w:sz w:val="20"/>
          <w:szCs w:val="20"/>
        </w:rPr>
      </w:pPr>
      <w:r>
        <w:rPr>
          <w:noProof/>
          <w:lang w:eastAsia="en-GB"/>
        </w:rPr>
        <w:drawing>
          <wp:inline distT="0" distB="0" distL="0" distR="0" wp14:anchorId="303E5D1C" wp14:editId="46F72224">
            <wp:extent cx="5913120" cy="274320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i/>
          <w:sz w:val="20"/>
          <w:szCs w:val="20"/>
        </w:rPr>
        <w:t>Figure 3</w:t>
      </w:r>
      <w:r w:rsidRPr="00AB25BD">
        <w:rPr>
          <w:i/>
          <w:sz w:val="20"/>
          <w:szCs w:val="20"/>
        </w:rPr>
        <w:t xml:space="preserve">: </w:t>
      </w:r>
      <w:r w:rsidR="00C74422">
        <w:rPr>
          <w:i/>
          <w:sz w:val="20"/>
          <w:szCs w:val="20"/>
        </w:rPr>
        <w:t>Year of arrival to Northern Ireland for residents of Armagh City, Banbridge and Craigavon borough</w:t>
      </w:r>
      <w:r>
        <w:rPr>
          <w:i/>
          <w:sz w:val="20"/>
          <w:szCs w:val="20"/>
        </w:rPr>
        <w:t>, 2021</w:t>
      </w:r>
      <w:r w:rsidRPr="00AB25BD">
        <w:rPr>
          <w:i/>
          <w:sz w:val="20"/>
          <w:szCs w:val="20"/>
        </w:rPr>
        <w:t xml:space="preserve">.   Source: </w:t>
      </w:r>
      <w:r>
        <w:rPr>
          <w:i/>
          <w:sz w:val="20"/>
          <w:szCs w:val="20"/>
        </w:rPr>
        <w:t>Table MS-K0</w:t>
      </w:r>
      <w:r w:rsidR="00C74422">
        <w:rPr>
          <w:i/>
          <w:sz w:val="20"/>
          <w:szCs w:val="20"/>
        </w:rPr>
        <w:t>2</w:t>
      </w:r>
      <w:r w:rsidRPr="00AB25BD">
        <w:rPr>
          <w:i/>
          <w:sz w:val="20"/>
          <w:szCs w:val="20"/>
        </w:rPr>
        <w:t>, Census 2021.</w:t>
      </w:r>
    </w:p>
    <w:p w:rsidR="00CB4202" w:rsidRPr="00540902" w:rsidRDefault="00CB4202" w:rsidP="00540902">
      <w:r>
        <w:t>O</w:t>
      </w:r>
      <w:r w:rsidR="002345E0">
        <w:t xml:space="preserve">f those persons born outside Northern Ireland </w:t>
      </w:r>
      <w:r>
        <w:t xml:space="preserve">and now living in the Armagh City, Banbridge and Craigavon borough, approximately 73% </w:t>
      </w:r>
      <w:r w:rsidR="002345E0">
        <w:t>arrived in Northern Ireland during that last twenty years.  Fig</w:t>
      </w:r>
      <w:r>
        <w:t xml:space="preserve">ure 4 shows the number who arrived each year between 2001 and 2020.  </w:t>
      </w:r>
    </w:p>
    <w:p w:rsidR="00540902" w:rsidRDefault="00095BD5" w:rsidP="00563ABC">
      <w:pPr>
        <w:rPr>
          <w:i/>
          <w:sz w:val="20"/>
          <w:szCs w:val="20"/>
        </w:rPr>
      </w:pPr>
      <w:r>
        <w:rPr>
          <w:noProof/>
          <w:lang w:eastAsia="en-GB"/>
        </w:rPr>
        <w:drawing>
          <wp:inline distT="0" distB="0" distL="0" distR="0" wp14:anchorId="4BE38DB3" wp14:editId="25B11280">
            <wp:extent cx="5890260" cy="2743200"/>
            <wp:effectExtent l="0" t="0" r="152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95BD5">
        <w:rPr>
          <w:i/>
          <w:sz w:val="20"/>
          <w:szCs w:val="20"/>
        </w:rPr>
        <w:t xml:space="preserve"> </w:t>
      </w:r>
      <w:r>
        <w:rPr>
          <w:i/>
          <w:sz w:val="20"/>
          <w:szCs w:val="20"/>
        </w:rPr>
        <w:t>Figure 3</w:t>
      </w:r>
      <w:r w:rsidRPr="00AB25BD">
        <w:rPr>
          <w:i/>
          <w:sz w:val="20"/>
          <w:szCs w:val="20"/>
        </w:rPr>
        <w:t xml:space="preserve">: </w:t>
      </w:r>
      <w:r>
        <w:rPr>
          <w:i/>
          <w:sz w:val="20"/>
          <w:szCs w:val="20"/>
        </w:rPr>
        <w:t>Year of arrival to Northern Ireland for residents of Armagh City, Banbridge and Craigavon borough, 2021</w:t>
      </w:r>
      <w:r w:rsidRPr="00AB25BD">
        <w:rPr>
          <w:i/>
          <w:sz w:val="20"/>
          <w:szCs w:val="20"/>
        </w:rPr>
        <w:t xml:space="preserve">.   Source: </w:t>
      </w:r>
      <w:r>
        <w:rPr>
          <w:i/>
          <w:sz w:val="20"/>
          <w:szCs w:val="20"/>
        </w:rPr>
        <w:t>Table MS-K02</w:t>
      </w:r>
      <w:r w:rsidRPr="00AB25BD">
        <w:rPr>
          <w:i/>
          <w:sz w:val="20"/>
          <w:szCs w:val="20"/>
        </w:rPr>
        <w:t>, Census 2021.</w:t>
      </w:r>
    </w:p>
    <w:p w:rsidR="00CB4202" w:rsidRDefault="00CB4202" w:rsidP="00563ABC">
      <w:r>
        <w:lastRenderedPageBreak/>
        <w:t>There was a steady increase between 2001 and 2006 when the number arriving increased from 370 in 2001 to 1,463</w:t>
      </w:r>
      <w:r w:rsidR="002C7B3B">
        <w:t xml:space="preserve"> in 2006</w:t>
      </w:r>
      <w:r>
        <w:t xml:space="preserve">.  By 2009 numbers had dropped again with numbers reaching a low of 751.  </w:t>
      </w:r>
      <w:r w:rsidR="00BA3B47">
        <w:t xml:space="preserve">The number of people </w:t>
      </w:r>
      <w:r>
        <w:t>arriving increased steadily between 2013 and 2017</w:t>
      </w:r>
      <w:r w:rsidR="00AD3916">
        <w:t xml:space="preserve"> when it reached a peak of 1,646.   A total of 268 people living in the borough re</w:t>
      </w:r>
      <w:bookmarkStart w:id="0" w:name="_GoBack"/>
      <w:bookmarkEnd w:id="0"/>
      <w:r w:rsidR="00AD3916">
        <w:t xml:space="preserve">ported they had arrived in Northern Ireland in the first couple of months of 2021. </w:t>
      </w:r>
    </w:p>
    <w:p w:rsidR="00BA3B47" w:rsidRDefault="009F3399" w:rsidP="00563ABC">
      <w:r>
        <w:t>Figure 4 presents the percentage of those born outside of Northern Ireland by decade of arrival for each LGD.  More than 50% of people living in Belfast who were born outside of Northern Ireland arrived her</w:t>
      </w:r>
      <w:r w:rsidR="00383AC9">
        <w:t>e</w:t>
      </w:r>
      <w:r>
        <w:t xml:space="preserve"> within the last decade.  </w:t>
      </w:r>
      <w:r w:rsidR="00383AC9">
        <w:t xml:space="preserve">In five of the eleven LGDs, a higher percentage of people arrived before 2001 than in the two decades since.  More than 50% of people living in Derry and Strabane who were born outside Northern Ireland arrived before 2001 compared to 28.5% who arrived between 2010 and 2021.  </w:t>
      </w:r>
    </w:p>
    <w:p w:rsidR="00BA3B47" w:rsidRDefault="00BA3B47" w:rsidP="00563ABC">
      <w:r>
        <w:rPr>
          <w:noProof/>
          <w:lang w:eastAsia="en-GB"/>
        </w:rPr>
        <w:drawing>
          <wp:inline distT="0" distB="0" distL="0" distR="0" wp14:anchorId="2DC8224A" wp14:editId="72C75685">
            <wp:extent cx="5737860" cy="2743200"/>
            <wp:effectExtent l="0" t="0" r="152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F3399">
        <w:rPr>
          <w:i/>
          <w:sz w:val="20"/>
          <w:szCs w:val="20"/>
        </w:rPr>
        <w:t>Figure 4</w:t>
      </w:r>
      <w:r w:rsidR="009F3399" w:rsidRPr="00AB25BD">
        <w:rPr>
          <w:i/>
          <w:sz w:val="20"/>
          <w:szCs w:val="20"/>
        </w:rPr>
        <w:t xml:space="preserve">: </w:t>
      </w:r>
      <w:r w:rsidR="009F3399">
        <w:rPr>
          <w:i/>
          <w:sz w:val="20"/>
          <w:szCs w:val="20"/>
        </w:rPr>
        <w:t>Year of arrival to Northern Ireland by LGD, 2021</w:t>
      </w:r>
      <w:r w:rsidR="009F3399" w:rsidRPr="00AB25BD">
        <w:rPr>
          <w:i/>
          <w:sz w:val="20"/>
          <w:szCs w:val="20"/>
        </w:rPr>
        <w:t xml:space="preserve">.   Source: </w:t>
      </w:r>
      <w:r w:rsidR="009F3399">
        <w:rPr>
          <w:i/>
          <w:sz w:val="20"/>
          <w:szCs w:val="20"/>
        </w:rPr>
        <w:t>Table MS-K02</w:t>
      </w:r>
      <w:r w:rsidR="009F3399" w:rsidRPr="00AB25BD">
        <w:rPr>
          <w:i/>
          <w:sz w:val="20"/>
          <w:szCs w:val="20"/>
        </w:rPr>
        <w:t>, Census 2021.</w:t>
      </w:r>
    </w:p>
    <w:p w:rsidR="00BA3B47" w:rsidRPr="00CB4202" w:rsidRDefault="00BA3B47" w:rsidP="00563ABC"/>
    <w:sectPr w:rsidR="00BA3B47" w:rsidRPr="00CB42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9D" w:rsidRDefault="00532B9D" w:rsidP="00982CA2">
      <w:pPr>
        <w:spacing w:after="0" w:line="240" w:lineRule="auto"/>
      </w:pPr>
      <w:r>
        <w:separator/>
      </w:r>
    </w:p>
  </w:endnote>
  <w:endnote w:type="continuationSeparator" w:id="0">
    <w:p w:rsidR="00532B9D" w:rsidRDefault="00532B9D" w:rsidP="0098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9D" w:rsidRDefault="00532B9D" w:rsidP="00982CA2">
      <w:pPr>
        <w:spacing w:after="0" w:line="240" w:lineRule="auto"/>
      </w:pPr>
      <w:r>
        <w:separator/>
      </w:r>
    </w:p>
  </w:footnote>
  <w:footnote w:type="continuationSeparator" w:id="0">
    <w:p w:rsidR="00532B9D" w:rsidRDefault="00532B9D" w:rsidP="00982CA2">
      <w:pPr>
        <w:spacing w:after="0" w:line="240" w:lineRule="auto"/>
      </w:pPr>
      <w:r>
        <w:continuationSeparator/>
      </w:r>
    </w:p>
  </w:footnote>
  <w:footnote w:id="1">
    <w:p w:rsidR="00532B9D" w:rsidRDefault="00532B9D">
      <w:pPr>
        <w:pStyle w:val="FootnoteText"/>
      </w:pPr>
      <w:r w:rsidRPr="00913606">
        <w:rPr>
          <w:rStyle w:val="FootnoteReference"/>
        </w:rPr>
        <w:footnoteRef/>
      </w:r>
      <w:r w:rsidRPr="00913606">
        <w:t xml:space="preserve"> </w:t>
      </w:r>
      <w:r w:rsidRPr="00913606">
        <w:rPr>
          <w:rFonts w:ascii="Calibri" w:hAnsi="Calibri" w:cs="Calibri"/>
          <w:shd w:val="clear" w:color="auto" w:fill="FFFFFF"/>
        </w:rPr>
        <w:t>'Day-to-day activities limited' covers any health problem or disability (including problems related to old age) which has lasted or is expected to last for at least 12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B2D"/>
    <w:multiLevelType w:val="hybridMultilevel"/>
    <w:tmpl w:val="A702AB62"/>
    <w:lvl w:ilvl="0" w:tplc="5E74FB26">
      <w:start w:val="5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032E7"/>
    <w:multiLevelType w:val="hybridMultilevel"/>
    <w:tmpl w:val="C5D07070"/>
    <w:lvl w:ilvl="0" w:tplc="F582232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90E2B"/>
    <w:multiLevelType w:val="hybridMultilevel"/>
    <w:tmpl w:val="85AED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B9"/>
    <w:rsid w:val="00012202"/>
    <w:rsid w:val="000226F4"/>
    <w:rsid w:val="000250DF"/>
    <w:rsid w:val="00031E55"/>
    <w:rsid w:val="00034894"/>
    <w:rsid w:val="00062E72"/>
    <w:rsid w:val="00067331"/>
    <w:rsid w:val="0007444A"/>
    <w:rsid w:val="000928F2"/>
    <w:rsid w:val="00095BD5"/>
    <w:rsid w:val="000B460C"/>
    <w:rsid w:val="000B7691"/>
    <w:rsid w:val="000B7A5D"/>
    <w:rsid w:val="000D3EA9"/>
    <w:rsid w:val="00100176"/>
    <w:rsid w:val="00106B87"/>
    <w:rsid w:val="00114801"/>
    <w:rsid w:val="001167F9"/>
    <w:rsid w:val="001363C6"/>
    <w:rsid w:val="00170474"/>
    <w:rsid w:val="00182D1A"/>
    <w:rsid w:val="00194E1B"/>
    <w:rsid w:val="001958C8"/>
    <w:rsid w:val="001E38BF"/>
    <w:rsid w:val="001E6F51"/>
    <w:rsid w:val="00200674"/>
    <w:rsid w:val="00221403"/>
    <w:rsid w:val="002345E0"/>
    <w:rsid w:val="002367C6"/>
    <w:rsid w:val="00237750"/>
    <w:rsid w:val="00245313"/>
    <w:rsid w:val="002515D5"/>
    <w:rsid w:val="00254F15"/>
    <w:rsid w:val="00274837"/>
    <w:rsid w:val="002925B9"/>
    <w:rsid w:val="002B3F09"/>
    <w:rsid w:val="002C111C"/>
    <w:rsid w:val="002C4762"/>
    <w:rsid w:val="002C7B3B"/>
    <w:rsid w:val="002E4605"/>
    <w:rsid w:val="002E4F6C"/>
    <w:rsid w:val="002F47B3"/>
    <w:rsid w:val="003061A9"/>
    <w:rsid w:val="00336032"/>
    <w:rsid w:val="00355317"/>
    <w:rsid w:val="003837CE"/>
    <w:rsid w:val="00383AC9"/>
    <w:rsid w:val="003A4713"/>
    <w:rsid w:val="003D45F8"/>
    <w:rsid w:val="003D4C09"/>
    <w:rsid w:val="003E248C"/>
    <w:rsid w:val="00411010"/>
    <w:rsid w:val="004125AA"/>
    <w:rsid w:val="00446722"/>
    <w:rsid w:val="00465C65"/>
    <w:rsid w:val="004676AB"/>
    <w:rsid w:val="0048145F"/>
    <w:rsid w:val="00484106"/>
    <w:rsid w:val="004A199B"/>
    <w:rsid w:val="004A1CBC"/>
    <w:rsid w:val="004A742F"/>
    <w:rsid w:val="004B6B69"/>
    <w:rsid w:val="004B7EA8"/>
    <w:rsid w:val="004C56C6"/>
    <w:rsid w:val="004E70F5"/>
    <w:rsid w:val="005317C8"/>
    <w:rsid w:val="0053246A"/>
    <w:rsid w:val="00532671"/>
    <w:rsid w:val="00532B9D"/>
    <w:rsid w:val="00540902"/>
    <w:rsid w:val="00541C05"/>
    <w:rsid w:val="00563ABC"/>
    <w:rsid w:val="00583785"/>
    <w:rsid w:val="005854DC"/>
    <w:rsid w:val="0058579F"/>
    <w:rsid w:val="00586C25"/>
    <w:rsid w:val="005908BF"/>
    <w:rsid w:val="005C1063"/>
    <w:rsid w:val="005C2E81"/>
    <w:rsid w:val="005D5B1B"/>
    <w:rsid w:val="00616E54"/>
    <w:rsid w:val="00645284"/>
    <w:rsid w:val="006716E1"/>
    <w:rsid w:val="006717D2"/>
    <w:rsid w:val="00680788"/>
    <w:rsid w:val="00680A82"/>
    <w:rsid w:val="006853FD"/>
    <w:rsid w:val="006A79AA"/>
    <w:rsid w:val="006C084C"/>
    <w:rsid w:val="006E5DBC"/>
    <w:rsid w:val="006F3F9B"/>
    <w:rsid w:val="00700816"/>
    <w:rsid w:val="00702F8E"/>
    <w:rsid w:val="00711A90"/>
    <w:rsid w:val="00735F5D"/>
    <w:rsid w:val="00746C80"/>
    <w:rsid w:val="00757F95"/>
    <w:rsid w:val="00765064"/>
    <w:rsid w:val="00766431"/>
    <w:rsid w:val="00770F56"/>
    <w:rsid w:val="00772B71"/>
    <w:rsid w:val="007A5BD9"/>
    <w:rsid w:val="007B579B"/>
    <w:rsid w:val="007D27D6"/>
    <w:rsid w:val="007D78A8"/>
    <w:rsid w:val="007E60A1"/>
    <w:rsid w:val="007F7277"/>
    <w:rsid w:val="00803C54"/>
    <w:rsid w:val="00803E4C"/>
    <w:rsid w:val="00806AD2"/>
    <w:rsid w:val="00807D85"/>
    <w:rsid w:val="0082772F"/>
    <w:rsid w:val="00835EAD"/>
    <w:rsid w:val="0084252B"/>
    <w:rsid w:val="00845974"/>
    <w:rsid w:val="008679D4"/>
    <w:rsid w:val="008821DD"/>
    <w:rsid w:val="00890115"/>
    <w:rsid w:val="008B1057"/>
    <w:rsid w:val="008C4C81"/>
    <w:rsid w:val="008D3297"/>
    <w:rsid w:val="008E7AD9"/>
    <w:rsid w:val="008F0B80"/>
    <w:rsid w:val="00904652"/>
    <w:rsid w:val="00913606"/>
    <w:rsid w:val="0091450C"/>
    <w:rsid w:val="00930926"/>
    <w:rsid w:val="009517AA"/>
    <w:rsid w:val="00956BB0"/>
    <w:rsid w:val="0096375A"/>
    <w:rsid w:val="00982CA2"/>
    <w:rsid w:val="009A3C56"/>
    <w:rsid w:val="009A4484"/>
    <w:rsid w:val="009B165D"/>
    <w:rsid w:val="009C6CEB"/>
    <w:rsid w:val="009F3399"/>
    <w:rsid w:val="00A10759"/>
    <w:rsid w:val="00A465C8"/>
    <w:rsid w:val="00A7265A"/>
    <w:rsid w:val="00AA05BF"/>
    <w:rsid w:val="00AA592A"/>
    <w:rsid w:val="00AB25BD"/>
    <w:rsid w:val="00AD3916"/>
    <w:rsid w:val="00AE3A3D"/>
    <w:rsid w:val="00B14F1D"/>
    <w:rsid w:val="00B24B8D"/>
    <w:rsid w:val="00B329E2"/>
    <w:rsid w:val="00B36C89"/>
    <w:rsid w:val="00B4103B"/>
    <w:rsid w:val="00B429A9"/>
    <w:rsid w:val="00B751A6"/>
    <w:rsid w:val="00BA3B47"/>
    <w:rsid w:val="00BA69B1"/>
    <w:rsid w:val="00BC6AC7"/>
    <w:rsid w:val="00BE0A6D"/>
    <w:rsid w:val="00BE6C52"/>
    <w:rsid w:val="00BF022F"/>
    <w:rsid w:val="00BF5FC3"/>
    <w:rsid w:val="00C01D48"/>
    <w:rsid w:val="00C20484"/>
    <w:rsid w:val="00C40FE7"/>
    <w:rsid w:val="00C42D18"/>
    <w:rsid w:val="00C65286"/>
    <w:rsid w:val="00C721AA"/>
    <w:rsid w:val="00C74422"/>
    <w:rsid w:val="00C9395D"/>
    <w:rsid w:val="00C97EAC"/>
    <w:rsid w:val="00CA25DC"/>
    <w:rsid w:val="00CB4202"/>
    <w:rsid w:val="00CE44F5"/>
    <w:rsid w:val="00CF63F0"/>
    <w:rsid w:val="00D11A57"/>
    <w:rsid w:val="00D24D5F"/>
    <w:rsid w:val="00D50265"/>
    <w:rsid w:val="00D61A30"/>
    <w:rsid w:val="00D70663"/>
    <w:rsid w:val="00DC793C"/>
    <w:rsid w:val="00DE6100"/>
    <w:rsid w:val="00DF2D17"/>
    <w:rsid w:val="00E04F39"/>
    <w:rsid w:val="00E3799C"/>
    <w:rsid w:val="00EA213E"/>
    <w:rsid w:val="00EA4BB7"/>
    <w:rsid w:val="00EB286E"/>
    <w:rsid w:val="00EB6BFE"/>
    <w:rsid w:val="00EC15E1"/>
    <w:rsid w:val="00EC6F3D"/>
    <w:rsid w:val="00EE0ECF"/>
    <w:rsid w:val="00F117E2"/>
    <w:rsid w:val="00F153F3"/>
    <w:rsid w:val="00F27C33"/>
    <w:rsid w:val="00F67583"/>
    <w:rsid w:val="00F8437A"/>
    <w:rsid w:val="00F95181"/>
    <w:rsid w:val="00FB2952"/>
    <w:rsid w:val="00FC3CE0"/>
    <w:rsid w:val="00FD2935"/>
    <w:rsid w:val="00FD4BA3"/>
    <w:rsid w:val="00FF25CE"/>
    <w:rsid w:val="00FF2F30"/>
    <w:rsid w:val="00FF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8405"/>
  <w15:chartTrackingRefBased/>
  <w15:docId w15:val="{1EEA2C8C-1FED-4360-934E-BEA7FD90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AB2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82CA2"/>
    <w:pPr>
      <w:ind w:left="720"/>
      <w:contextualSpacing/>
    </w:pPr>
  </w:style>
  <w:style w:type="paragraph" w:styleId="FootnoteText">
    <w:name w:val="footnote text"/>
    <w:basedOn w:val="Normal"/>
    <w:link w:val="FootnoteTextChar"/>
    <w:uiPriority w:val="99"/>
    <w:semiHidden/>
    <w:unhideWhenUsed/>
    <w:rsid w:val="00982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A2"/>
    <w:rPr>
      <w:sz w:val="20"/>
      <w:szCs w:val="20"/>
    </w:rPr>
  </w:style>
  <w:style w:type="character" w:styleId="FootnoteReference">
    <w:name w:val="footnote reference"/>
    <w:basedOn w:val="DefaultParagraphFont"/>
    <w:uiPriority w:val="99"/>
    <w:semiHidden/>
    <w:unhideWhenUsed/>
    <w:rsid w:val="00982CA2"/>
    <w:rPr>
      <w:vertAlign w:val="superscript"/>
    </w:rPr>
  </w:style>
  <w:style w:type="character" w:styleId="Hyperlink">
    <w:name w:val="Hyperlink"/>
    <w:basedOn w:val="DefaultParagraphFont"/>
    <w:uiPriority w:val="99"/>
    <w:semiHidden/>
    <w:unhideWhenUsed/>
    <w:rsid w:val="00982CA2"/>
    <w:rPr>
      <w:color w:val="0000FF"/>
      <w:u w:val="single"/>
    </w:rPr>
  </w:style>
  <w:style w:type="paragraph" w:styleId="BalloonText">
    <w:name w:val="Balloon Text"/>
    <w:basedOn w:val="Normal"/>
    <w:link w:val="BalloonTextChar"/>
    <w:uiPriority w:val="99"/>
    <w:semiHidden/>
    <w:unhideWhenUsed/>
    <w:rsid w:val="002C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894">
      <w:bodyDiv w:val="1"/>
      <w:marLeft w:val="0"/>
      <w:marRight w:val="0"/>
      <w:marTop w:val="0"/>
      <w:marBottom w:val="0"/>
      <w:divBdr>
        <w:top w:val="none" w:sz="0" w:space="0" w:color="auto"/>
        <w:left w:val="none" w:sz="0" w:space="0" w:color="auto"/>
        <w:bottom w:val="none" w:sz="0" w:space="0" w:color="auto"/>
        <w:right w:val="none" w:sz="0" w:space="0" w:color="auto"/>
      </w:divBdr>
    </w:div>
    <w:div w:id="42602664">
      <w:bodyDiv w:val="1"/>
      <w:marLeft w:val="0"/>
      <w:marRight w:val="0"/>
      <w:marTop w:val="0"/>
      <w:marBottom w:val="0"/>
      <w:divBdr>
        <w:top w:val="none" w:sz="0" w:space="0" w:color="auto"/>
        <w:left w:val="none" w:sz="0" w:space="0" w:color="auto"/>
        <w:bottom w:val="none" w:sz="0" w:space="0" w:color="auto"/>
        <w:right w:val="none" w:sz="0" w:space="0" w:color="auto"/>
      </w:divBdr>
    </w:div>
    <w:div w:id="71859463">
      <w:bodyDiv w:val="1"/>
      <w:marLeft w:val="0"/>
      <w:marRight w:val="0"/>
      <w:marTop w:val="0"/>
      <w:marBottom w:val="0"/>
      <w:divBdr>
        <w:top w:val="none" w:sz="0" w:space="0" w:color="auto"/>
        <w:left w:val="none" w:sz="0" w:space="0" w:color="auto"/>
        <w:bottom w:val="none" w:sz="0" w:space="0" w:color="auto"/>
        <w:right w:val="none" w:sz="0" w:space="0" w:color="auto"/>
      </w:divBdr>
    </w:div>
    <w:div w:id="173810432">
      <w:bodyDiv w:val="1"/>
      <w:marLeft w:val="0"/>
      <w:marRight w:val="0"/>
      <w:marTop w:val="0"/>
      <w:marBottom w:val="0"/>
      <w:divBdr>
        <w:top w:val="none" w:sz="0" w:space="0" w:color="auto"/>
        <w:left w:val="none" w:sz="0" w:space="0" w:color="auto"/>
        <w:bottom w:val="none" w:sz="0" w:space="0" w:color="auto"/>
        <w:right w:val="none" w:sz="0" w:space="0" w:color="auto"/>
      </w:divBdr>
    </w:div>
    <w:div w:id="293752092">
      <w:bodyDiv w:val="1"/>
      <w:marLeft w:val="0"/>
      <w:marRight w:val="0"/>
      <w:marTop w:val="0"/>
      <w:marBottom w:val="0"/>
      <w:divBdr>
        <w:top w:val="none" w:sz="0" w:space="0" w:color="auto"/>
        <w:left w:val="none" w:sz="0" w:space="0" w:color="auto"/>
        <w:bottom w:val="none" w:sz="0" w:space="0" w:color="auto"/>
        <w:right w:val="none" w:sz="0" w:space="0" w:color="auto"/>
      </w:divBdr>
    </w:div>
    <w:div w:id="337773527">
      <w:bodyDiv w:val="1"/>
      <w:marLeft w:val="0"/>
      <w:marRight w:val="0"/>
      <w:marTop w:val="0"/>
      <w:marBottom w:val="0"/>
      <w:divBdr>
        <w:top w:val="none" w:sz="0" w:space="0" w:color="auto"/>
        <w:left w:val="none" w:sz="0" w:space="0" w:color="auto"/>
        <w:bottom w:val="none" w:sz="0" w:space="0" w:color="auto"/>
        <w:right w:val="none" w:sz="0" w:space="0" w:color="auto"/>
      </w:divBdr>
    </w:div>
    <w:div w:id="544096490">
      <w:bodyDiv w:val="1"/>
      <w:marLeft w:val="0"/>
      <w:marRight w:val="0"/>
      <w:marTop w:val="0"/>
      <w:marBottom w:val="0"/>
      <w:divBdr>
        <w:top w:val="none" w:sz="0" w:space="0" w:color="auto"/>
        <w:left w:val="none" w:sz="0" w:space="0" w:color="auto"/>
        <w:bottom w:val="none" w:sz="0" w:space="0" w:color="auto"/>
        <w:right w:val="none" w:sz="0" w:space="0" w:color="auto"/>
      </w:divBdr>
    </w:div>
    <w:div w:id="576979157">
      <w:bodyDiv w:val="1"/>
      <w:marLeft w:val="0"/>
      <w:marRight w:val="0"/>
      <w:marTop w:val="0"/>
      <w:marBottom w:val="0"/>
      <w:divBdr>
        <w:top w:val="none" w:sz="0" w:space="0" w:color="auto"/>
        <w:left w:val="none" w:sz="0" w:space="0" w:color="auto"/>
        <w:bottom w:val="none" w:sz="0" w:space="0" w:color="auto"/>
        <w:right w:val="none" w:sz="0" w:space="0" w:color="auto"/>
      </w:divBdr>
    </w:div>
    <w:div w:id="704133972">
      <w:bodyDiv w:val="1"/>
      <w:marLeft w:val="0"/>
      <w:marRight w:val="0"/>
      <w:marTop w:val="0"/>
      <w:marBottom w:val="0"/>
      <w:divBdr>
        <w:top w:val="none" w:sz="0" w:space="0" w:color="auto"/>
        <w:left w:val="none" w:sz="0" w:space="0" w:color="auto"/>
        <w:bottom w:val="none" w:sz="0" w:space="0" w:color="auto"/>
        <w:right w:val="none" w:sz="0" w:space="0" w:color="auto"/>
      </w:divBdr>
    </w:div>
    <w:div w:id="709647083">
      <w:bodyDiv w:val="1"/>
      <w:marLeft w:val="0"/>
      <w:marRight w:val="0"/>
      <w:marTop w:val="0"/>
      <w:marBottom w:val="0"/>
      <w:divBdr>
        <w:top w:val="none" w:sz="0" w:space="0" w:color="auto"/>
        <w:left w:val="none" w:sz="0" w:space="0" w:color="auto"/>
        <w:bottom w:val="none" w:sz="0" w:space="0" w:color="auto"/>
        <w:right w:val="none" w:sz="0" w:space="0" w:color="auto"/>
      </w:divBdr>
    </w:div>
    <w:div w:id="757753622">
      <w:bodyDiv w:val="1"/>
      <w:marLeft w:val="0"/>
      <w:marRight w:val="0"/>
      <w:marTop w:val="0"/>
      <w:marBottom w:val="0"/>
      <w:divBdr>
        <w:top w:val="none" w:sz="0" w:space="0" w:color="auto"/>
        <w:left w:val="none" w:sz="0" w:space="0" w:color="auto"/>
        <w:bottom w:val="none" w:sz="0" w:space="0" w:color="auto"/>
        <w:right w:val="none" w:sz="0" w:space="0" w:color="auto"/>
      </w:divBdr>
    </w:div>
    <w:div w:id="800422340">
      <w:bodyDiv w:val="1"/>
      <w:marLeft w:val="0"/>
      <w:marRight w:val="0"/>
      <w:marTop w:val="0"/>
      <w:marBottom w:val="0"/>
      <w:divBdr>
        <w:top w:val="none" w:sz="0" w:space="0" w:color="auto"/>
        <w:left w:val="none" w:sz="0" w:space="0" w:color="auto"/>
        <w:bottom w:val="none" w:sz="0" w:space="0" w:color="auto"/>
        <w:right w:val="none" w:sz="0" w:space="0" w:color="auto"/>
      </w:divBdr>
    </w:div>
    <w:div w:id="865799534">
      <w:bodyDiv w:val="1"/>
      <w:marLeft w:val="0"/>
      <w:marRight w:val="0"/>
      <w:marTop w:val="0"/>
      <w:marBottom w:val="0"/>
      <w:divBdr>
        <w:top w:val="none" w:sz="0" w:space="0" w:color="auto"/>
        <w:left w:val="none" w:sz="0" w:space="0" w:color="auto"/>
        <w:bottom w:val="none" w:sz="0" w:space="0" w:color="auto"/>
        <w:right w:val="none" w:sz="0" w:space="0" w:color="auto"/>
      </w:divBdr>
    </w:div>
    <w:div w:id="874850958">
      <w:bodyDiv w:val="1"/>
      <w:marLeft w:val="0"/>
      <w:marRight w:val="0"/>
      <w:marTop w:val="0"/>
      <w:marBottom w:val="0"/>
      <w:divBdr>
        <w:top w:val="none" w:sz="0" w:space="0" w:color="auto"/>
        <w:left w:val="none" w:sz="0" w:space="0" w:color="auto"/>
        <w:bottom w:val="none" w:sz="0" w:space="0" w:color="auto"/>
        <w:right w:val="none" w:sz="0" w:space="0" w:color="auto"/>
      </w:divBdr>
    </w:div>
    <w:div w:id="891382608">
      <w:bodyDiv w:val="1"/>
      <w:marLeft w:val="0"/>
      <w:marRight w:val="0"/>
      <w:marTop w:val="0"/>
      <w:marBottom w:val="0"/>
      <w:divBdr>
        <w:top w:val="none" w:sz="0" w:space="0" w:color="auto"/>
        <w:left w:val="none" w:sz="0" w:space="0" w:color="auto"/>
        <w:bottom w:val="none" w:sz="0" w:space="0" w:color="auto"/>
        <w:right w:val="none" w:sz="0" w:space="0" w:color="auto"/>
      </w:divBdr>
    </w:div>
    <w:div w:id="930820453">
      <w:bodyDiv w:val="1"/>
      <w:marLeft w:val="0"/>
      <w:marRight w:val="0"/>
      <w:marTop w:val="0"/>
      <w:marBottom w:val="0"/>
      <w:divBdr>
        <w:top w:val="none" w:sz="0" w:space="0" w:color="auto"/>
        <w:left w:val="none" w:sz="0" w:space="0" w:color="auto"/>
        <w:bottom w:val="none" w:sz="0" w:space="0" w:color="auto"/>
        <w:right w:val="none" w:sz="0" w:space="0" w:color="auto"/>
      </w:divBdr>
    </w:div>
    <w:div w:id="990452259">
      <w:bodyDiv w:val="1"/>
      <w:marLeft w:val="0"/>
      <w:marRight w:val="0"/>
      <w:marTop w:val="0"/>
      <w:marBottom w:val="0"/>
      <w:divBdr>
        <w:top w:val="none" w:sz="0" w:space="0" w:color="auto"/>
        <w:left w:val="none" w:sz="0" w:space="0" w:color="auto"/>
        <w:bottom w:val="none" w:sz="0" w:space="0" w:color="auto"/>
        <w:right w:val="none" w:sz="0" w:space="0" w:color="auto"/>
      </w:divBdr>
    </w:div>
    <w:div w:id="993946530">
      <w:bodyDiv w:val="1"/>
      <w:marLeft w:val="0"/>
      <w:marRight w:val="0"/>
      <w:marTop w:val="0"/>
      <w:marBottom w:val="0"/>
      <w:divBdr>
        <w:top w:val="none" w:sz="0" w:space="0" w:color="auto"/>
        <w:left w:val="none" w:sz="0" w:space="0" w:color="auto"/>
        <w:bottom w:val="none" w:sz="0" w:space="0" w:color="auto"/>
        <w:right w:val="none" w:sz="0" w:space="0" w:color="auto"/>
      </w:divBdr>
    </w:div>
    <w:div w:id="1120956556">
      <w:bodyDiv w:val="1"/>
      <w:marLeft w:val="0"/>
      <w:marRight w:val="0"/>
      <w:marTop w:val="0"/>
      <w:marBottom w:val="0"/>
      <w:divBdr>
        <w:top w:val="none" w:sz="0" w:space="0" w:color="auto"/>
        <w:left w:val="none" w:sz="0" w:space="0" w:color="auto"/>
        <w:bottom w:val="none" w:sz="0" w:space="0" w:color="auto"/>
        <w:right w:val="none" w:sz="0" w:space="0" w:color="auto"/>
      </w:divBdr>
    </w:div>
    <w:div w:id="1126657752">
      <w:bodyDiv w:val="1"/>
      <w:marLeft w:val="0"/>
      <w:marRight w:val="0"/>
      <w:marTop w:val="0"/>
      <w:marBottom w:val="0"/>
      <w:divBdr>
        <w:top w:val="none" w:sz="0" w:space="0" w:color="auto"/>
        <w:left w:val="none" w:sz="0" w:space="0" w:color="auto"/>
        <w:bottom w:val="none" w:sz="0" w:space="0" w:color="auto"/>
        <w:right w:val="none" w:sz="0" w:space="0" w:color="auto"/>
      </w:divBdr>
    </w:div>
    <w:div w:id="1132594530">
      <w:bodyDiv w:val="1"/>
      <w:marLeft w:val="0"/>
      <w:marRight w:val="0"/>
      <w:marTop w:val="0"/>
      <w:marBottom w:val="0"/>
      <w:divBdr>
        <w:top w:val="none" w:sz="0" w:space="0" w:color="auto"/>
        <w:left w:val="none" w:sz="0" w:space="0" w:color="auto"/>
        <w:bottom w:val="none" w:sz="0" w:space="0" w:color="auto"/>
        <w:right w:val="none" w:sz="0" w:space="0" w:color="auto"/>
      </w:divBdr>
    </w:div>
    <w:div w:id="1290089566">
      <w:bodyDiv w:val="1"/>
      <w:marLeft w:val="0"/>
      <w:marRight w:val="0"/>
      <w:marTop w:val="0"/>
      <w:marBottom w:val="0"/>
      <w:divBdr>
        <w:top w:val="none" w:sz="0" w:space="0" w:color="auto"/>
        <w:left w:val="none" w:sz="0" w:space="0" w:color="auto"/>
        <w:bottom w:val="none" w:sz="0" w:space="0" w:color="auto"/>
        <w:right w:val="none" w:sz="0" w:space="0" w:color="auto"/>
      </w:divBdr>
    </w:div>
    <w:div w:id="1340810524">
      <w:bodyDiv w:val="1"/>
      <w:marLeft w:val="0"/>
      <w:marRight w:val="0"/>
      <w:marTop w:val="0"/>
      <w:marBottom w:val="0"/>
      <w:divBdr>
        <w:top w:val="none" w:sz="0" w:space="0" w:color="auto"/>
        <w:left w:val="none" w:sz="0" w:space="0" w:color="auto"/>
        <w:bottom w:val="none" w:sz="0" w:space="0" w:color="auto"/>
        <w:right w:val="none" w:sz="0" w:space="0" w:color="auto"/>
      </w:divBdr>
    </w:div>
    <w:div w:id="1381900202">
      <w:bodyDiv w:val="1"/>
      <w:marLeft w:val="0"/>
      <w:marRight w:val="0"/>
      <w:marTop w:val="0"/>
      <w:marBottom w:val="0"/>
      <w:divBdr>
        <w:top w:val="none" w:sz="0" w:space="0" w:color="auto"/>
        <w:left w:val="none" w:sz="0" w:space="0" w:color="auto"/>
        <w:bottom w:val="none" w:sz="0" w:space="0" w:color="auto"/>
        <w:right w:val="none" w:sz="0" w:space="0" w:color="auto"/>
      </w:divBdr>
    </w:div>
    <w:div w:id="1382704151">
      <w:bodyDiv w:val="1"/>
      <w:marLeft w:val="0"/>
      <w:marRight w:val="0"/>
      <w:marTop w:val="0"/>
      <w:marBottom w:val="0"/>
      <w:divBdr>
        <w:top w:val="none" w:sz="0" w:space="0" w:color="auto"/>
        <w:left w:val="none" w:sz="0" w:space="0" w:color="auto"/>
        <w:bottom w:val="none" w:sz="0" w:space="0" w:color="auto"/>
        <w:right w:val="none" w:sz="0" w:space="0" w:color="auto"/>
      </w:divBdr>
    </w:div>
    <w:div w:id="1391878591">
      <w:bodyDiv w:val="1"/>
      <w:marLeft w:val="0"/>
      <w:marRight w:val="0"/>
      <w:marTop w:val="0"/>
      <w:marBottom w:val="0"/>
      <w:divBdr>
        <w:top w:val="none" w:sz="0" w:space="0" w:color="auto"/>
        <w:left w:val="none" w:sz="0" w:space="0" w:color="auto"/>
        <w:bottom w:val="none" w:sz="0" w:space="0" w:color="auto"/>
        <w:right w:val="none" w:sz="0" w:space="0" w:color="auto"/>
      </w:divBdr>
    </w:div>
    <w:div w:id="1407996583">
      <w:bodyDiv w:val="1"/>
      <w:marLeft w:val="0"/>
      <w:marRight w:val="0"/>
      <w:marTop w:val="0"/>
      <w:marBottom w:val="0"/>
      <w:divBdr>
        <w:top w:val="none" w:sz="0" w:space="0" w:color="auto"/>
        <w:left w:val="none" w:sz="0" w:space="0" w:color="auto"/>
        <w:bottom w:val="none" w:sz="0" w:space="0" w:color="auto"/>
        <w:right w:val="none" w:sz="0" w:space="0" w:color="auto"/>
      </w:divBdr>
    </w:div>
    <w:div w:id="1468087466">
      <w:bodyDiv w:val="1"/>
      <w:marLeft w:val="0"/>
      <w:marRight w:val="0"/>
      <w:marTop w:val="0"/>
      <w:marBottom w:val="0"/>
      <w:divBdr>
        <w:top w:val="none" w:sz="0" w:space="0" w:color="auto"/>
        <w:left w:val="none" w:sz="0" w:space="0" w:color="auto"/>
        <w:bottom w:val="none" w:sz="0" w:space="0" w:color="auto"/>
        <w:right w:val="none" w:sz="0" w:space="0" w:color="auto"/>
      </w:divBdr>
    </w:div>
    <w:div w:id="1473672066">
      <w:bodyDiv w:val="1"/>
      <w:marLeft w:val="0"/>
      <w:marRight w:val="0"/>
      <w:marTop w:val="0"/>
      <w:marBottom w:val="0"/>
      <w:divBdr>
        <w:top w:val="none" w:sz="0" w:space="0" w:color="auto"/>
        <w:left w:val="none" w:sz="0" w:space="0" w:color="auto"/>
        <w:bottom w:val="none" w:sz="0" w:space="0" w:color="auto"/>
        <w:right w:val="none" w:sz="0" w:space="0" w:color="auto"/>
      </w:divBdr>
    </w:div>
    <w:div w:id="1498308209">
      <w:bodyDiv w:val="1"/>
      <w:marLeft w:val="0"/>
      <w:marRight w:val="0"/>
      <w:marTop w:val="0"/>
      <w:marBottom w:val="0"/>
      <w:divBdr>
        <w:top w:val="none" w:sz="0" w:space="0" w:color="auto"/>
        <w:left w:val="none" w:sz="0" w:space="0" w:color="auto"/>
        <w:bottom w:val="none" w:sz="0" w:space="0" w:color="auto"/>
        <w:right w:val="none" w:sz="0" w:space="0" w:color="auto"/>
      </w:divBdr>
    </w:div>
    <w:div w:id="1543636062">
      <w:bodyDiv w:val="1"/>
      <w:marLeft w:val="0"/>
      <w:marRight w:val="0"/>
      <w:marTop w:val="0"/>
      <w:marBottom w:val="0"/>
      <w:divBdr>
        <w:top w:val="none" w:sz="0" w:space="0" w:color="auto"/>
        <w:left w:val="none" w:sz="0" w:space="0" w:color="auto"/>
        <w:bottom w:val="none" w:sz="0" w:space="0" w:color="auto"/>
        <w:right w:val="none" w:sz="0" w:space="0" w:color="auto"/>
      </w:divBdr>
    </w:div>
    <w:div w:id="1544322186">
      <w:bodyDiv w:val="1"/>
      <w:marLeft w:val="0"/>
      <w:marRight w:val="0"/>
      <w:marTop w:val="0"/>
      <w:marBottom w:val="0"/>
      <w:divBdr>
        <w:top w:val="none" w:sz="0" w:space="0" w:color="auto"/>
        <w:left w:val="none" w:sz="0" w:space="0" w:color="auto"/>
        <w:bottom w:val="none" w:sz="0" w:space="0" w:color="auto"/>
        <w:right w:val="none" w:sz="0" w:space="0" w:color="auto"/>
      </w:divBdr>
    </w:div>
    <w:div w:id="1567690558">
      <w:bodyDiv w:val="1"/>
      <w:marLeft w:val="0"/>
      <w:marRight w:val="0"/>
      <w:marTop w:val="0"/>
      <w:marBottom w:val="0"/>
      <w:divBdr>
        <w:top w:val="none" w:sz="0" w:space="0" w:color="auto"/>
        <w:left w:val="none" w:sz="0" w:space="0" w:color="auto"/>
        <w:bottom w:val="none" w:sz="0" w:space="0" w:color="auto"/>
        <w:right w:val="none" w:sz="0" w:space="0" w:color="auto"/>
      </w:divBdr>
    </w:div>
    <w:div w:id="1646425688">
      <w:bodyDiv w:val="1"/>
      <w:marLeft w:val="0"/>
      <w:marRight w:val="0"/>
      <w:marTop w:val="0"/>
      <w:marBottom w:val="0"/>
      <w:divBdr>
        <w:top w:val="none" w:sz="0" w:space="0" w:color="auto"/>
        <w:left w:val="none" w:sz="0" w:space="0" w:color="auto"/>
        <w:bottom w:val="none" w:sz="0" w:space="0" w:color="auto"/>
        <w:right w:val="none" w:sz="0" w:space="0" w:color="auto"/>
      </w:divBdr>
    </w:div>
    <w:div w:id="1788624396">
      <w:bodyDiv w:val="1"/>
      <w:marLeft w:val="0"/>
      <w:marRight w:val="0"/>
      <w:marTop w:val="0"/>
      <w:marBottom w:val="0"/>
      <w:divBdr>
        <w:top w:val="none" w:sz="0" w:space="0" w:color="auto"/>
        <w:left w:val="none" w:sz="0" w:space="0" w:color="auto"/>
        <w:bottom w:val="none" w:sz="0" w:space="0" w:color="auto"/>
        <w:right w:val="none" w:sz="0" w:space="0" w:color="auto"/>
      </w:divBdr>
    </w:div>
    <w:div w:id="1922592742">
      <w:bodyDiv w:val="1"/>
      <w:marLeft w:val="0"/>
      <w:marRight w:val="0"/>
      <w:marTop w:val="0"/>
      <w:marBottom w:val="0"/>
      <w:divBdr>
        <w:top w:val="none" w:sz="0" w:space="0" w:color="auto"/>
        <w:left w:val="none" w:sz="0" w:space="0" w:color="auto"/>
        <w:bottom w:val="none" w:sz="0" w:space="0" w:color="auto"/>
        <w:right w:val="none" w:sz="0" w:space="0" w:color="auto"/>
      </w:divBdr>
    </w:div>
    <w:div w:id="1952281888">
      <w:bodyDiv w:val="1"/>
      <w:marLeft w:val="0"/>
      <w:marRight w:val="0"/>
      <w:marTop w:val="0"/>
      <w:marBottom w:val="0"/>
      <w:divBdr>
        <w:top w:val="none" w:sz="0" w:space="0" w:color="auto"/>
        <w:left w:val="none" w:sz="0" w:space="0" w:color="auto"/>
        <w:bottom w:val="none" w:sz="0" w:space="0" w:color="auto"/>
        <w:right w:val="none" w:sz="0" w:space="0" w:color="auto"/>
      </w:divBdr>
    </w:div>
    <w:div w:id="2011054325">
      <w:bodyDiv w:val="1"/>
      <w:marLeft w:val="0"/>
      <w:marRight w:val="0"/>
      <w:marTop w:val="0"/>
      <w:marBottom w:val="0"/>
      <w:divBdr>
        <w:top w:val="none" w:sz="0" w:space="0" w:color="auto"/>
        <w:left w:val="none" w:sz="0" w:space="0" w:color="auto"/>
        <w:bottom w:val="none" w:sz="0" w:space="0" w:color="auto"/>
        <w:right w:val="none" w:sz="0" w:space="0" w:color="auto"/>
      </w:divBdr>
    </w:div>
    <w:div w:id="2050759135">
      <w:bodyDiv w:val="1"/>
      <w:marLeft w:val="0"/>
      <w:marRight w:val="0"/>
      <w:marTop w:val="0"/>
      <w:marBottom w:val="0"/>
      <w:divBdr>
        <w:top w:val="none" w:sz="0" w:space="0" w:color="auto"/>
        <w:left w:val="none" w:sz="0" w:space="0" w:color="auto"/>
        <w:bottom w:val="none" w:sz="0" w:space="0" w:color="auto"/>
        <w:right w:val="none" w:sz="0" w:space="0" w:color="auto"/>
      </w:divBdr>
    </w:div>
    <w:div w:id="21027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All%20other%20top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All%20other%20top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All%20other%20top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All%20other%20top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All%20other%20topic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Sheet3!$B$17</c:f>
              <c:strCache>
                <c:ptCount val="1"/>
                <c:pt idx="0">
                  <c:v>Less than 10km from their home</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Sheet3!$A$18:$A$29</c:f>
              <c:strCache>
                <c:ptCount val="12"/>
                <c:pt idx="0">
                  <c:v>Fermanagh and Omagh</c:v>
                </c:pt>
                <c:pt idx="1">
                  <c:v>Causeway Coast and Glens</c:v>
                </c:pt>
                <c:pt idx="2">
                  <c:v>Newry, Mourne and Down</c:v>
                </c:pt>
                <c:pt idx="3">
                  <c:v>Mid Ulster</c:v>
                </c:pt>
                <c:pt idx="4">
                  <c:v>Ards and North Down</c:v>
                </c:pt>
                <c:pt idx="5">
                  <c:v>Antrim and Newtownabbey</c:v>
                </c:pt>
                <c:pt idx="6">
                  <c:v>Armagh City, Banbridge and Craigavon</c:v>
                </c:pt>
                <c:pt idx="7">
                  <c:v>Mid and East Antrim</c:v>
                </c:pt>
                <c:pt idx="8">
                  <c:v>Northern Ireland</c:v>
                </c:pt>
                <c:pt idx="9">
                  <c:v>Lisburn and Castlereagh</c:v>
                </c:pt>
                <c:pt idx="10">
                  <c:v>Derry City and Strabane</c:v>
                </c:pt>
                <c:pt idx="11">
                  <c:v>Belfast</c:v>
                </c:pt>
              </c:strCache>
            </c:strRef>
          </c:cat>
          <c:val>
            <c:numRef>
              <c:f>Sheet3!$B$18:$B$29</c:f>
              <c:numCache>
                <c:formatCode>0.00%</c:formatCode>
                <c:ptCount val="12"/>
                <c:pt idx="0">
                  <c:v>0.66049999999999998</c:v>
                </c:pt>
                <c:pt idx="1">
                  <c:v>0.6946</c:v>
                </c:pt>
                <c:pt idx="2">
                  <c:v>0.71039999999999992</c:v>
                </c:pt>
                <c:pt idx="3">
                  <c:v>0.72889999999999999</c:v>
                </c:pt>
                <c:pt idx="4">
                  <c:v>0.74059999999999993</c:v>
                </c:pt>
                <c:pt idx="5">
                  <c:v>0.75149999999999995</c:v>
                </c:pt>
                <c:pt idx="6">
                  <c:v>0.752</c:v>
                </c:pt>
                <c:pt idx="7">
                  <c:v>0.75380000000000003</c:v>
                </c:pt>
                <c:pt idx="8">
                  <c:v>0.76729999999999998</c:v>
                </c:pt>
                <c:pt idx="9">
                  <c:v>0.77639999999999998</c:v>
                </c:pt>
                <c:pt idx="10">
                  <c:v>0.81500000000000006</c:v>
                </c:pt>
                <c:pt idx="11">
                  <c:v>0.87700000000000011</c:v>
                </c:pt>
              </c:numCache>
            </c:numRef>
          </c:val>
          <c:extLst>
            <c:ext xmlns:c16="http://schemas.microsoft.com/office/drawing/2014/chart" uri="{C3380CC4-5D6E-409C-BE32-E72D297353CC}">
              <c16:uniqueId val="{00000000-91EB-442D-A226-4B73DA54A433}"/>
            </c:ext>
          </c:extLst>
        </c:ser>
        <c:ser>
          <c:idx val="1"/>
          <c:order val="1"/>
          <c:tx>
            <c:strRef>
              <c:f>Sheet3!$C$17</c:f>
              <c:strCache>
                <c:ptCount val="1"/>
                <c:pt idx="0">
                  <c:v>More than 30km from their home </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Sheet3!$A$18:$A$29</c:f>
              <c:strCache>
                <c:ptCount val="12"/>
                <c:pt idx="0">
                  <c:v>Fermanagh and Omagh</c:v>
                </c:pt>
                <c:pt idx="1">
                  <c:v>Causeway Coast and Glens</c:v>
                </c:pt>
                <c:pt idx="2">
                  <c:v>Newry, Mourne and Down</c:v>
                </c:pt>
                <c:pt idx="3">
                  <c:v>Mid Ulster</c:v>
                </c:pt>
                <c:pt idx="4">
                  <c:v>Ards and North Down</c:v>
                </c:pt>
                <c:pt idx="5">
                  <c:v>Antrim and Newtownabbey</c:v>
                </c:pt>
                <c:pt idx="6">
                  <c:v>Armagh City, Banbridge and Craigavon</c:v>
                </c:pt>
                <c:pt idx="7">
                  <c:v>Mid and East Antrim</c:v>
                </c:pt>
                <c:pt idx="8">
                  <c:v>Northern Ireland</c:v>
                </c:pt>
                <c:pt idx="9">
                  <c:v>Lisburn and Castlereagh</c:v>
                </c:pt>
                <c:pt idx="10">
                  <c:v>Derry City and Strabane</c:v>
                </c:pt>
                <c:pt idx="11">
                  <c:v>Belfast</c:v>
                </c:pt>
              </c:strCache>
            </c:strRef>
          </c:cat>
          <c:val>
            <c:numRef>
              <c:f>Sheet3!$C$18:$C$29</c:f>
              <c:numCache>
                <c:formatCode>0.00%</c:formatCode>
                <c:ptCount val="12"/>
                <c:pt idx="0">
                  <c:v>7.7699999999999991E-2</c:v>
                </c:pt>
                <c:pt idx="1">
                  <c:v>5.8999999999999997E-2</c:v>
                </c:pt>
                <c:pt idx="2">
                  <c:v>6.8500000000000005E-2</c:v>
                </c:pt>
                <c:pt idx="3">
                  <c:v>8.1600000000000006E-2</c:v>
                </c:pt>
                <c:pt idx="4">
                  <c:v>1.38E-2</c:v>
                </c:pt>
                <c:pt idx="5">
                  <c:v>1.9200000000000002E-2</c:v>
                </c:pt>
                <c:pt idx="6">
                  <c:v>5.96E-2</c:v>
                </c:pt>
                <c:pt idx="7">
                  <c:v>5.7499999999999996E-2</c:v>
                </c:pt>
                <c:pt idx="8">
                  <c:v>4.1700000000000001E-2</c:v>
                </c:pt>
                <c:pt idx="9">
                  <c:v>1.3100000000000001E-2</c:v>
                </c:pt>
                <c:pt idx="10">
                  <c:v>4.1000000000000002E-2</c:v>
                </c:pt>
                <c:pt idx="11">
                  <c:v>8.6999999999999994E-3</c:v>
                </c:pt>
              </c:numCache>
            </c:numRef>
          </c:val>
          <c:extLst>
            <c:ext xmlns:c16="http://schemas.microsoft.com/office/drawing/2014/chart" uri="{C3380CC4-5D6E-409C-BE32-E72D297353CC}">
              <c16:uniqueId val="{00000001-91EB-442D-A226-4B73DA54A433}"/>
            </c:ext>
          </c:extLst>
        </c:ser>
        <c:dLbls>
          <c:showLegendKey val="0"/>
          <c:showVal val="0"/>
          <c:showCatName val="0"/>
          <c:showSerName val="0"/>
          <c:showPercent val="0"/>
          <c:showBubbleSize val="0"/>
        </c:dLbls>
        <c:gapWidth val="80"/>
        <c:overlap val="100"/>
        <c:axId val="354722175"/>
        <c:axId val="354720511"/>
      </c:barChart>
      <c:catAx>
        <c:axId val="354722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720511"/>
        <c:crosses val="autoZero"/>
        <c:auto val="1"/>
        <c:lblAlgn val="ctr"/>
        <c:lblOffset val="100"/>
        <c:noMultiLvlLbl val="0"/>
      </c:catAx>
      <c:valAx>
        <c:axId val="354720511"/>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7221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Sheet2!$A$29</c:f>
              <c:strCache>
                <c:ptCount val="1"/>
                <c:pt idx="0">
                  <c:v>Armagh City, Banbridge and Craigavon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51-4D71-8D0D-58599D3800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51-4D71-8D0D-58599D3800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51-4D71-8D0D-58599D3800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51-4D71-8D0D-58599D3800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151-4D71-8D0D-58599D3800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151-4D71-8D0D-58599D3800A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151-4D71-8D0D-58599D3800A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151-4D71-8D0D-58599D3800A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151-4D71-8D0D-58599D3800A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151-4D71-8D0D-58599D3800A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151-4D71-8D0D-58599D3800AE}"/>
              </c:ext>
            </c:extLst>
          </c:dPt>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151-4D71-8D0D-58599D3800AE}"/>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151-4D71-8D0D-58599D3800AE}"/>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151-4D71-8D0D-58599D3800AE}"/>
                </c:ext>
              </c:extLst>
            </c:dLbl>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4151-4D71-8D0D-58599D3800A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Sheet2!$B$28:$L$28</c:f>
              <c:strCache>
                <c:ptCount val="11"/>
                <c:pt idx="0">
                  <c:v>Study mainly at or from home</c:v>
                </c:pt>
                <c:pt idx="1">
                  <c:v>Driving a car or van</c:v>
                </c:pt>
                <c:pt idx="2">
                  <c:v>Passenger in a car or van</c:v>
                </c:pt>
                <c:pt idx="3">
                  <c:v>Car or van pool shared driving</c:v>
                </c:pt>
                <c:pt idx="4">
                  <c:v>Bus, minibus or coach (public or private)</c:v>
                </c:pt>
                <c:pt idx="5">
                  <c:v>Taxi</c:v>
                </c:pt>
                <c:pt idx="6">
                  <c:v>Train</c:v>
                </c:pt>
                <c:pt idx="7">
                  <c:v>Motorcycle, scooter or moped</c:v>
                </c:pt>
                <c:pt idx="8">
                  <c:v>Bicycle</c:v>
                </c:pt>
                <c:pt idx="9">
                  <c:v>On foot</c:v>
                </c:pt>
                <c:pt idx="10">
                  <c:v>Other method</c:v>
                </c:pt>
              </c:strCache>
            </c:strRef>
          </c:cat>
          <c:val>
            <c:numRef>
              <c:f>Sheet2!$B$29:$L$29</c:f>
              <c:numCache>
                <c:formatCode>0.00%</c:formatCode>
                <c:ptCount val="11"/>
                <c:pt idx="0">
                  <c:v>2.8500000000000001E-2</c:v>
                </c:pt>
                <c:pt idx="1">
                  <c:v>5.1400000000000001E-2</c:v>
                </c:pt>
                <c:pt idx="2">
                  <c:v>0.4713</c:v>
                </c:pt>
                <c:pt idx="3">
                  <c:v>1.5E-3</c:v>
                </c:pt>
                <c:pt idx="4">
                  <c:v>0.2122</c:v>
                </c:pt>
                <c:pt idx="5">
                  <c:v>1.23E-2</c:v>
                </c:pt>
                <c:pt idx="6">
                  <c:v>1.23E-2</c:v>
                </c:pt>
                <c:pt idx="7">
                  <c:v>2.0000000000000001E-4</c:v>
                </c:pt>
                <c:pt idx="8">
                  <c:v>4.7999999999999996E-3</c:v>
                </c:pt>
                <c:pt idx="9">
                  <c:v>0.2001</c:v>
                </c:pt>
                <c:pt idx="10">
                  <c:v>5.4999999999999997E-3</c:v>
                </c:pt>
              </c:numCache>
            </c:numRef>
          </c:val>
          <c:extLst>
            <c:ext xmlns:c16="http://schemas.microsoft.com/office/drawing/2014/chart" uri="{C3380CC4-5D6E-409C-BE32-E72D297353CC}">
              <c16:uniqueId val="{00000016-4151-4D71-8D0D-58599D3800A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690303295421407"/>
          <c:y val="3.7902085156022162E-2"/>
          <c:w val="0.30198585593467481"/>
          <c:h val="0.933455088947214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Sheet8!$A$15</c:f>
              <c:strCache>
                <c:ptCount val="1"/>
                <c:pt idx="0">
                  <c:v>Armagh City, Banbridge and Craigavon</c:v>
                </c:pt>
              </c:strCache>
            </c:strRef>
          </c:tx>
          <c:spPr>
            <a:solidFill>
              <a:schemeClr val="accent1"/>
            </a:solidFill>
            <a:ln>
              <a:noFill/>
            </a:ln>
            <a:effectLst/>
          </c:spPr>
          <c:invertIfNegative val="0"/>
          <c:cat>
            <c:multiLvlStrRef>
              <c:f>Sheet8!$B$13:$I$14</c:f>
              <c:multiLvlStrCache>
                <c:ptCount val="8"/>
                <c:lvl>
                  <c:pt idx="0">
                    <c:v> Before 1951</c:v>
                  </c:pt>
                  <c:pt idx="1">
                    <c:v>1951-1960</c:v>
                  </c:pt>
                  <c:pt idx="2">
                    <c:v>1961-1970</c:v>
                  </c:pt>
                  <c:pt idx="3">
                    <c:v>1971-1980</c:v>
                  </c:pt>
                  <c:pt idx="4">
                    <c:v>1981-1990</c:v>
                  </c:pt>
                  <c:pt idx="5">
                    <c:v>1991-2000</c:v>
                  </c:pt>
                  <c:pt idx="6">
                    <c:v>2001-2010</c:v>
                  </c:pt>
                  <c:pt idx="7">
                    <c:v>2011-2020</c:v>
                  </c:pt>
                </c:lvl>
                <c:lvl>
                  <c:pt idx="0">
                    <c:v>Decade of Arrival </c:v>
                  </c:pt>
                </c:lvl>
              </c:multiLvlStrCache>
            </c:multiLvlStrRef>
          </c:cat>
          <c:val>
            <c:numRef>
              <c:f>Sheet8!$B$15:$I$15</c:f>
              <c:numCache>
                <c:formatCode>0.0%</c:formatCode>
                <c:ptCount val="8"/>
                <c:pt idx="0">
                  <c:v>1.5346799861343081E-2</c:v>
                </c:pt>
                <c:pt idx="1">
                  <c:v>2.0325843758863014E-2</c:v>
                </c:pt>
                <c:pt idx="2">
                  <c:v>4.7994201619764913E-2</c:v>
                </c:pt>
                <c:pt idx="3">
                  <c:v>5.083036586518766E-2</c:v>
                </c:pt>
                <c:pt idx="4">
                  <c:v>5.5620332146346076E-2</c:v>
                </c:pt>
                <c:pt idx="5">
                  <c:v>7.9664702360318917E-2</c:v>
                </c:pt>
                <c:pt idx="6">
                  <c:v>0.30413134591749913</c:v>
                </c:pt>
                <c:pt idx="7">
                  <c:v>0.42608640847067719</c:v>
                </c:pt>
              </c:numCache>
            </c:numRef>
          </c:val>
          <c:extLst>
            <c:ext xmlns:c16="http://schemas.microsoft.com/office/drawing/2014/chart" uri="{C3380CC4-5D6E-409C-BE32-E72D297353CC}">
              <c16:uniqueId val="{00000000-E89B-4A94-AF74-C32F563A1202}"/>
            </c:ext>
          </c:extLst>
        </c:ser>
        <c:dLbls>
          <c:showLegendKey val="0"/>
          <c:showVal val="0"/>
          <c:showCatName val="0"/>
          <c:showSerName val="0"/>
          <c:showPercent val="0"/>
          <c:showBubbleSize val="0"/>
        </c:dLbls>
        <c:gapWidth val="100"/>
        <c:overlap val="-27"/>
        <c:axId val="1731617200"/>
        <c:axId val="1731621776"/>
      </c:barChart>
      <c:catAx>
        <c:axId val="173161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621776"/>
        <c:crosses val="autoZero"/>
        <c:auto val="1"/>
        <c:lblAlgn val="ctr"/>
        <c:lblOffset val="100"/>
        <c:noMultiLvlLbl val="0"/>
      </c:catAx>
      <c:valAx>
        <c:axId val="1731621776"/>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61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50481189851271E-2"/>
          <c:y val="4.6296296296296294E-2"/>
          <c:w val="0.88538845144356959"/>
          <c:h val="0.79685914260717405"/>
        </c:manualLayout>
      </c:layout>
      <c:lineChart>
        <c:grouping val="standard"/>
        <c:varyColors val="0"/>
        <c:ser>
          <c:idx val="0"/>
          <c:order val="0"/>
          <c:tx>
            <c:strRef>
              <c:f>Sheet8!$A$37</c:f>
              <c:strCache>
                <c:ptCount val="1"/>
                <c:pt idx="0">
                  <c:v>Armagh City, Banbridge and Craigavon</c:v>
                </c:pt>
              </c:strCache>
            </c:strRef>
          </c:tx>
          <c:spPr>
            <a:ln w="28575" cap="rnd">
              <a:solidFill>
                <a:schemeClr val="accent1"/>
              </a:solidFill>
              <a:round/>
            </a:ln>
            <a:effectLst/>
          </c:spPr>
          <c:marker>
            <c:symbol val="none"/>
          </c:marker>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ECC-49F9-A29A-46130FEBF081}"/>
                </c:ext>
              </c:extLst>
            </c:dLbl>
            <c:dLbl>
              <c:idx val="5"/>
              <c:layout>
                <c:manualLayout>
                  <c:x val="-5.0000000000000051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ECC-49F9-A29A-46130FEBF081}"/>
                </c:ext>
              </c:extLst>
            </c:dLbl>
            <c:dLbl>
              <c:idx val="16"/>
              <c:layout>
                <c:manualLayout>
                  <c:x val="-2.2222222222222223E-2"/>
                  <c:y val="-4.16666666666666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ECC-49F9-A29A-46130FEBF081}"/>
                </c:ext>
              </c:extLst>
            </c:dLbl>
            <c:dLbl>
              <c:idx val="19"/>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ECC-49F9-A29A-46130FEBF0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Sheet8!$B$36:$U$36</c:f>
              <c:numCache>
                <c:formatCode>0</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Sheet8!$B$37:$U$37</c:f>
              <c:numCache>
                <c:formatCode>#,##0</c:formatCode>
                <c:ptCount val="20"/>
                <c:pt idx="0">
                  <c:v>370</c:v>
                </c:pt>
                <c:pt idx="1">
                  <c:v>443</c:v>
                </c:pt>
                <c:pt idx="2">
                  <c:v>647</c:v>
                </c:pt>
                <c:pt idx="3">
                  <c:v>1161</c:v>
                </c:pt>
                <c:pt idx="4">
                  <c:v>1426</c:v>
                </c:pt>
                <c:pt idx="5">
                  <c:v>1463</c:v>
                </c:pt>
                <c:pt idx="6">
                  <c:v>1388</c:v>
                </c:pt>
                <c:pt idx="7">
                  <c:v>1013</c:v>
                </c:pt>
                <c:pt idx="8">
                  <c:v>751</c:v>
                </c:pt>
                <c:pt idx="9">
                  <c:v>989</c:v>
                </c:pt>
                <c:pt idx="10">
                  <c:v>857</c:v>
                </c:pt>
                <c:pt idx="11">
                  <c:v>1029</c:v>
                </c:pt>
                <c:pt idx="12">
                  <c:v>999</c:v>
                </c:pt>
                <c:pt idx="13">
                  <c:v>1205</c:v>
                </c:pt>
                <c:pt idx="14">
                  <c:v>1387</c:v>
                </c:pt>
                <c:pt idx="15">
                  <c:v>1499</c:v>
                </c:pt>
                <c:pt idx="16">
                  <c:v>1646</c:v>
                </c:pt>
                <c:pt idx="17">
                  <c:v>1609</c:v>
                </c:pt>
                <c:pt idx="18">
                  <c:v>1542</c:v>
                </c:pt>
                <c:pt idx="19">
                  <c:v>1480</c:v>
                </c:pt>
              </c:numCache>
            </c:numRef>
          </c:val>
          <c:smooth val="0"/>
          <c:extLst>
            <c:ext xmlns:c16="http://schemas.microsoft.com/office/drawing/2014/chart" uri="{C3380CC4-5D6E-409C-BE32-E72D297353CC}">
              <c16:uniqueId val="{00000004-6ECC-49F9-A29A-46130FEBF081}"/>
            </c:ext>
          </c:extLst>
        </c:ser>
        <c:dLbls>
          <c:showLegendKey val="0"/>
          <c:showVal val="0"/>
          <c:showCatName val="0"/>
          <c:showSerName val="0"/>
          <c:showPercent val="0"/>
          <c:showBubbleSize val="0"/>
        </c:dLbls>
        <c:smooth val="0"/>
        <c:axId val="2108264432"/>
        <c:axId val="2108280240"/>
      </c:lineChart>
      <c:catAx>
        <c:axId val="210826443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280240"/>
        <c:crosses val="autoZero"/>
        <c:auto val="1"/>
        <c:lblAlgn val="ctr"/>
        <c:lblOffset val="100"/>
        <c:noMultiLvlLbl val="0"/>
      </c:catAx>
      <c:valAx>
        <c:axId val="2108280240"/>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26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Sheet8!$B$80</c:f>
              <c:strCache>
                <c:ptCount val="1"/>
                <c:pt idx="0">
                  <c:v>Before 2001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Sheet8!$A$81:$A$91</c:f>
              <c:strCache>
                <c:ptCount val="11"/>
                <c:pt idx="0">
                  <c:v>Mid Ulster</c:v>
                </c:pt>
                <c:pt idx="1">
                  <c:v>Belfast</c:v>
                </c:pt>
                <c:pt idx="2">
                  <c:v>Armagh City, Banbridge and Craigavon</c:v>
                </c:pt>
                <c:pt idx="3">
                  <c:v>Antrim and Newtownabbey</c:v>
                </c:pt>
                <c:pt idx="4">
                  <c:v>Mid and East Antrim</c:v>
                </c:pt>
                <c:pt idx="5">
                  <c:v>Lisburn and Castlereagh</c:v>
                </c:pt>
                <c:pt idx="6">
                  <c:v>Newry, Mourne and Down</c:v>
                </c:pt>
                <c:pt idx="7">
                  <c:v>Fermanagh and Omagh</c:v>
                </c:pt>
                <c:pt idx="8">
                  <c:v>Causeway Coast and Glens</c:v>
                </c:pt>
                <c:pt idx="9">
                  <c:v>Ards and North Down</c:v>
                </c:pt>
                <c:pt idx="10">
                  <c:v>Derry City and Strabane</c:v>
                </c:pt>
              </c:strCache>
            </c:strRef>
          </c:cat>
          <c:val>
            <c:numRef>
              <c:f>Sheet8!$B$81:$B$91</c:f>
              <c:numCache>
                <c:formatCode>0.0%</c:formatCode>
                <c:ptCount val="11"/>
                <c:pt idx="0">
                  <c:v>0.21481587894459608</c:v>
                </c:pt>
                <c:pt idx="1">
                  <c:v>0.23696852369685237</c:v>
                </c:pt>
                <c:pt idx="2">
                  <c:v>0.26978224561182368</c:v>
                </c:pt>
                <c:pt idx="3">
                  <c:v>0.34916348693865573</c:v>
                </c:pt>
                <c:pt idx="4">
                  <c:v>0.35453591057864509</c:v>
                </c:pt>
                <c:pt idx="5">
                  <c:v>0.36319662429887306</c:v>
                </c:pt>
                <c:pt idx="6">
                  <c:v>0.37768081340303788</c:v>
                </c:pt>
                <c:pt idx="7">
                  <c:v>0.38376487843402718</c:v>
                </c:pt>
                <c:pt idx="8">
                  <c:v>0.41921097770154375</c:v>
                </c:pt>
                <c:pt idx="9">
                  <c:v>0.43222542010955345</c:v>
                </c:pt>
                <c:pt idx="10">
                  <c:v>0.51676372476960475</c:v>
                </c:pt>
              </c:numCache>
            </c:numRef>
          </c:val>
          <c:extLst>
            <c:ext xmlns:c16="http://schemas.microsoft.com/office/drawing/2014/chart" uri="{C3380CC4-5D6E-409C-BE32-E72D297353CC}">
              <c16:uniqueId val="{00000000-1AC5-40F4-8099-976A003868A8}"/>
            </c:ext>
          </c:extLst>
        </c:ser>
        <c:ser>
          <c:idx val="1"/>
          <c:order val="1"/>
          <c:tx>
            <c:strRef>
              <c:f>Sheet8!$C$80</c:f>
              <c:strCache>
                <c:ptCount val="1"/>
                <c:pt idx="0">
                  <c:v>2001-2010</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Sheet8!$A$81:$A$91</c:f>
              <c:strCache>
                <c:ptCount val="11"/>
                <c:pt idx="0">
                  <c:v>Mid Ulster</c:v>
                </c:pt>
                <c:pt idx="1">
                  <c:v>Belfast</c:v>
                </c:pt>
                <c:pt idx="2">
                  <c:v>Armagh City, Banbridge and Craigavon</c:v>
                </c:pt>
                <c:pt idx="3">
                  <c:v>Antrim and Newtownabbey</c:v>
                </c:pt>
                <c:pt idx="4">
                  <c:v>Mid and East Antrim</c:v>
                </c:pt>
                <c:pt idx="5">
                  <c:v>Lisburn and Castlereagh</c:v>
                </c:pt>
                <c:pt idx="6">
                  <c:v>Newry, Mourne and Down</c:v>
                </c:pt>
                <c:pt idx="7">
                  <c:v>Fermanagh and Omagh</c:v>
                </c:pt>
                <c:pt idx="8">
                  <c:v>Causeway Coast and Glens</c:v>
                </c:pt>
                <c:pt idx="9">
                  <c:v>Ards and North Down</c:v>
                </c:pt>
                <c:pt idx="10">
                  <c:v>Derry City and Strabane</c:v>
                </c:pt>
              </c:strCache>
            </c:strRef>
          </c:cat>
          <c:val>
            <c:numRef>
              <c:f>Sheet8!$C$81:$C$91</c:f>
              <c:numCache>
                <c:formatCode>0.0%</c:formatCode>
                <c:ptCount val="11"/>
                <c:pt idx="0">
                  <c:v>0.35253555523631663</c:v>
                </c:pt>
                <c:pt idx="1">
                  <c:v>0.22313042231304223</c:v>
                </c:pt>
                <c:pt idx="2">
                  <c:v>0.30413134591749913</c:v>
                </c:pt>
                <c:pt idx="3">
                  <c:v>0.26844731435280306</c:v>
                </c:pt>
                <c:pt idx="4">
                  <c:v>0.24646452170691038</c:v>
                </c:pt>
                <c:pt idx="5">
                  <c:v>0.26907837184171257</c:v>
                </c:pt>
                <c:pt idx="6">
                  <c:v>0.26316222780224757</c:v>
                </c:pt>
                <c:pt idx="7">
                  <c:v>0.26439893947086368</c:v>
                </c:pt>
                <c:pt idx="8">
                  <c:v>0.25804459691252146</c:v>
                </c:pt>
                <c:pt idx="9">
                  <c:v>0.21998885897316869</c:v>
                </c:pt>
                <c:pt idx="10">
                  <c:v>0.19822468479674338</c:v>
                </c:pt>
              </c:numCache>
            </c:numRef>
          </c:val>
          <c:extLst>
            <c:ext xmlns:c16="http://schemas.microsoft.com/office/drawing/2014/chart" uri="{C3380CC4-5D6E-409C-BE32-E72D297353CC}">
              <c16:uniqueId val="{00000001-1AC5-40F4-8099-976A003868A8}"/>
            </c:ext>
          </c:extLst>
        </c:ser>
        <c:ser>
          <c:idx val="2"/>
          <c:order val="2"/>
          <c:tx>
            <c:strRef>
              <c:f>Sheet8!$D$80</c:f>
              <c:strCache>
                <c:ptCount val="1"/>
                <c:pt idx="0">
                  <c:v>2010-2021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Sheet8!$A$81:$A$91</c:f>
              <c:strCache>
                <c:ptCount val="11"/>
                <c:pt idx="0">
                  <c:v>Mid Ulster</c:v>
                </c:pt>
                <c:pt idx="1">
                  <c:v>Belfast</c:v>
                </c:pt>
                <c:pt idx="2">
                  <c:v>Armagh City, Banbridge and Craigavon</c:v>
                </c:pt>
                <c:pt idx="3">
                  <c:v>Antrim and Newtownabbey</c:v>
                </c:pt>
                <c:pt idx="4">
                  <c:v>Mid and East Antrim</c:v>
                </c:pt>
                <c:pt idx="5">
                  <c:v>Lisburn and Castlereagh</c:v>
                </c:pt>
                <c:pt idx="6">
                  <c:v>Newry, Mourne and Down</c:v>
                </c:pt>
                <c:pt idx="7">
                  <c:v>Fermanagh and Omagh</c:v>
                </c:pt>
                <c:pt idx="8">
                  <c:v>Causeway Coast and Glens</c:v>
                </c:pt>
                <c:pt idx="9">
                  <c:v>Ards and North Down</c:v>
                </c:pt>
                <c:pt idx="10">
                  <c:v>Derry City and Strabane</c:v>
                </c:pt>
              </c:strCache>
            </c:strRef>
          </c:cat>
          <c:val>
            <c:numRef>
              <c:f>Sheet8!$D$81:$D$91</c:f>
              <c:numCache>
                <c:formatCode>0.0%</c:formatCode>
                <c:ptCount val="11"/>
                <c:pt idx="0">
                  <c:v>0.43264856581908728</c:v>
                </c:pt>
                <c:pt idx="1">
                  <c:v>0.53990105399010535</c:v>
                </c:pt>
                <c:pt idx="2">
                  <c:v>0.42608640847067719</c:v>
                </c:pt>
                <c:pt idx="3">
                  <c:v>0.38238919870854121</c:v>
                </c:pt>
                <c:pt idx="4">
                  <c:v>0.3989995677144445</c:v>
                </c:pt>
                <c:pt idx="5">
                  <c:v>0.36772500385941442</c:v>
                </c:pt>
                <c:pt idx="6">
                  <c:v>0.35915695879471454</c:v>
                </c:pt>
                <c:pt idx="7">
                  <c:v>0.35183618209510914</c:v>
                </c:pt>
                <c:pt idx="8">
                  <c:v>0.32274442538593484</c:v>
                </c:pt>
                <c:pt idx="9">
                  <c:v>0.34778572091727789</c:v>
                </c:pt>
                <c:pt idx="10">
                  <c:v>0.28501159043365182</c:v>
                </c:pt>
              </c:numCache>
            </c:numRef>
          </c:val>
          <c:extLst>
            <c:ext xmlns:c16="http://schemas.microsoft.com/office/drawing/2014/chart" uri="{C3380CC4-5D6E-409C-BE32-E72D297353CC}">
              <c16:uniqueId val="{00000002-1AC5-40F4-8099-976A003868A8}"/>
            </c:ext>
          </c:extLst>
        </c:ser>
        <c:dLbls>
          <c:showLegendKey val="0"/>
          <c:showVal val="0"/>
          <c:showCatName val="0"/>
          <c:showSerName val="0"/>
          <c:showPercent val="0"/>
          <c:showBubbleSize val="0"/>
        </c:dLbls>
        <c:gapWidth val="80"/>
        <c:overlap val="100"/>
        <c:axId val="216382272"/>
        <c:axId val="216381856"/>
      </c:barChart>
      <c:catAx>
        <c:axId val="21638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381856"/>
        <c:crosses val="autoZero"/>
        <c:auto val="1"/>
        <c:lblAlgn val="ctr"/>
        <c:lblOffset val="100"/>
        <c:noMultiLvlLbl val="0"/>
      </c:catAx>
      <c:valAx>
        <c:axId val="21638185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382272"/>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656D-67CE-443D-90C4-3359EEA4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9</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28</cp:revision>
  <cp:lastPrinted>2023-03-28T15:48:00Z</cp:lastPrinted>
  <dcterms:created xsi:type="dcterms:W3CDTF">2023-04-03T10:25:00Z</dcterms:created>
  <dcterms:modified xsi:type="dcterms:W3CDTF">2023-04-06T08:57:00Z</dcterms:modified>
</cp:coreProperties>
</file>