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B9" w:rsidRPr="00ED1AAE" w:rsidRDefault="002925B9" w:rsidP="002925B9">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Armagh, Banbridge and Craigavon Borough </w:t>
      </w:r>
    </w:p>
    <w:p w:rsidR="002925B9" w:rsidRDefault="002925B9" w:rsidP="002925B9">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Census 2021 </w:t>
      </w:r>
    </w:p>
    <w:p w:rsidR="001167F9" w:rsidRPr="001167F9" w:rsidRDefault="001167F9" w:rsidP="002925B9">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67F9">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Report 5: Household Relationships &amp; Sexual Orientation</w:t>
      </w:r>
    </w:p>
    <w:p w:rsidR="002925B9" w:rsidRPr="001167F9" w:rsidRDefault="002925B9" w:rsidP="002925B9">
      <w:pPr>
        <w:jc w:val="center"/>
        <w:rPr>
          <w:rFonts w:cstheme="minorHAnsi"/>
          <w:b/>
          <w:sz w:val="24"/>
          <w:szCs w:val="24"/>
        </w:rPr>
      </w:pPr>
      <w:r w:rsidRPr="001167F9">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67F9">
        <w:rPr>
          <w:rFonts w:cstheme="minorHAnsi"/>
          <w:b/>
          <w:sz w:val="24"/>
          <w:szCs w:val="24"/>
        </w:rPr>
        <w:t>Third Phase of main statistics (March 2023)</w:t>
      </w:r>
    </w:p>
    <w:p w:rsidR="002925B9" w:rsidRPr="002925B9" w:rsidRDefault="002925B9" w:rsidP="002925B9">
      <w:pPr>
        <w:rPr>
          <w:rFonts w:cstheme="minorHAnsi"/>
        </w:rPr>
      </w:pPr>
      <w:r w:rsidRPr="00033A84">
        <w:rPr>
          <w:rFonts w:cstheme="minorHAnsi"/>
        </w:rPr>
        <w:t xml:space="preserve">The </w:t>
      </w:r>
      <w:r>
        <w:rPr>
          <w:rFonts w:cstheme="minorHAnsi"/>
        </w:rPr>
        <w:t xml:space="preserve">third phase of main statistics </w:t>
      </w:r>
      <w:r w:rsidRPr="00033A84">
        <w:rPr>
          <w:rFonts w:cstheme="minorHAnsi"/>
        </w:rPr>
        <w:t>from Census 2021 w</w:t>
      </w:r>
      <w:r>
        <w:rPr>
          <w:rFonts w:cstheme="minorHAnsi"/>
        </w:rPr>
        <w:t>as</w:t>
      </w:r>
      <w:r w:rsidRPr="00033A84">
        <w:rPr>
          <w:rFonts w:cstheme="minorHAnsi"/>
        </w:rPr>
        <w:t xml:space="preserve"> published </w:t>
      </w:r>
      <w:r>
        <w:rPr>
          <w:rFonts w:cstheme="minorHAnsi"/>
        </w:rPr>
        <w:t xml:space="preserve">21 March 2023 and </w:t>
      </w:r>
      <w:r>
        <w:t xml:space="preserve">provides key statistics for a number of census topics such </w:t>
      </w:r>
      <w:r w:rsidRPr="002925B9">
        <w:t>as</w:t>
      </w:r>
      <w:r w:rsidRPr="002925B9">
        <w:rPr>
          <w:rFonts w:cstheme="minorHAnsi"/>
        </w:rPr>
        <w:t xml:space="preserve"> marital and civil partnership status, household composition and living arrangements, sexual orientation, qualifications, labour market, travel to work or study, communal establishments, and migration</w:t>
      </w:r>
      <w:r>
        <w:rPr>
          <w:rFonts w:cstheme="minorHAnsi"/>
        </w:rPr>
        <w:t xml:space="preserve">, </w:t>
      </w:r>
      <w:r w:rsidRPr="002925B9">
        <w:rPr>
          <w:rFonts w:cstheme="minorHAnsi"/>
        </w:rPr>
        <w:t xml:space="preserve">at Northern Ireland and Local Government District levels (LGD).  </w:t>
      </w:r>
    </w:p>
    <w:p w:rsidR="002925B9" w:rsidRPr="002925B9" w:rsidRDefault="002925B9" w:rsidP="002925B9">
      <w:pPr>
        <w:rPr>
          <w:b/>
        </w:rPr>
      </w:pPr>
      <w:r>
        <w:rPr>
          <w:b/>
        </w:rPr>
        <w:t xml:space="preserve">Household Relationships </w:t>
      </w:r>
      <w:r w:rsidR="001167F9">
        <w:rPr>
          <w:b/>
        </w:rPr>
        <w:t>&amp; Sexual Orientation</w:t>
      </w:r>
    </w:p>
    <w:p w:rsidR="00CA25DC" w:rsidRPr="001167F9" w:rsidRDefault="00CA25DC" w:rsidP="00CA25DC">
      <w:r w:rsidRPr="00CA25DC">
        <w:rPr>
          <w:rFonts w:cstheme="minorHAnsi"/>
        </w:rPr>
        <w:t xml:space="preserve">This </w:t>
      </w:r>
      <w:r w:rsidR="001167F9">
        <w:rPr>
          <w:rFonts w:cstheme="minorHAnsi"/>
        </w:rPr>
        <w:t xml:space="preserve">summary report will provide census information on </w:t>
      </w:r>
      <w:r>
        <w:rPr>
          <w:rFonts w:cstheme="minorHAnsi"/>
        </w:rPr>
        <w:t>the</w:t>
      </w:r>
      <w:r w:rsidRPr="00CA25DC">
        <w:rPr>
          <w:rFonts w:cstheme="minorHAnsi"/>
        </w:rPr>
        <w:t xml:space="preserve"> number of dependent children, household c</w:t>
      </w:r>
      <w:r w:rsidR="001167F9">
        <w:rPr>
          <w:rFonts w:cstheme="minorHAnsi"/>
        </w:rPr>
        <w:t xml:space="preserve">omposition, living arrangements, </w:t>
      </w:r>
      <w:r w:rsidRPr="00CA25DC">
        <w:rPr>
          <w:rFonts w:cstheme="minorHAnsi"/>
        </w:rPr>
        <w:t>marital and civil partnership status</w:t>
      </w:r>
      <w:r w:rsidR="001167F9">
        <w:rPr>
          <w:rFonts w:cstheme="minorHAnsi"/>
        </w:rPr>
        <w:t xml:space="preserve"> and sexual orientation</w:t>
      </w:r>
      <w:r w:rsidRPr="00CA25DC">
        <w:rPr>
          <w:rFonts w:cstheme="minorHAnsi"/>
        </w:rPr>
        <w:t>.</w:t>
      </w:r>
      <w:r w:rsidR="001167F9" w:rsidRPr="001167F9">
        <w:t xml:space="preserve"> </w:t>
      </w:r>
      <w:r w:rsidR="001167F9">
        <w:t xml:space="preserve">The report will provide information for </w:t>
      </w:r>
      <w:r w:rsidR="001167F9" w:rsidRPr="00C4477F">
        <w:rPr>
          <w:b/>
        </w:rPr>
        <w:t>Armagh City, Banbridge and Craigavon Borough</w:t>
      </w:r>
      <w:r w:rsidR="001167F9">
        <w:t xml:space="preserve"> for 2021.  Where information is available, comparisons will be made with the 2011 census results to see how things have changed in the 10 year period since the last census. Some comparatives with other LGD’s will also be included.  </w:t>
      </w:r>
    </w:p>
    <w:p w:rsidR="003061A9" w:rsidRPr="003061A9" w:rsidRDefault="003061A9" w:rsidP="00CA25DC">
      <w:pPr>
        <w:rPr>
          <w:rFonts w:cstheme="minorHAnsi"/>
          <w:b/>
          <w:i/>
        </w:rPr>
      </w:pPr>
      <w:r w:rsidRPr="003061A9">
        <w:rPr>
          <w:rFonts w:cstheme="minorHAnsi"/>
          <w:b/>
          <w:i/>
        </w:rPr>
        <w:t>Dependent Children</w:t>
      </w:r>
    </w:p>
    <w:p w:rsidR="008E7AD9" w:rsidRDefault="00AB25BD">
      <w:r>
        <w:t xml:space="preserve">On Census Day 2021, in Armagh City, Banbridge and Craigavon borough approximately 52% of households had no children with a further 16% having no dependent children (all children in household are non-dependent).   In Northern Ireland overall, 55% of households had no children and almost 16% had no dependent children.  </w:t>
      </w:r>
      <w:r w:rsidR="003061A9">
        <w:t xml:space="preserve">Approximately 32% of households in the borough had 1 or more dependent children with 63% of those having 2 or more dependent children.  </w:t>
      </w:r>
    </w:p>
    <w:tbl>
      <w:tblPr>
        <w:tblStyle w:val="GridTable1Light"/>
        <w:tblW w:w="6360" w:type="dxa"/>
        <w:tblLook w:val="04A0" w:firstRow="1" w:lastRow="0" w:firstColumn="1" w:lastColumn="0" w:noHBand="0" w:noVBand="1"/>
      </w:tblPr>
      <w:tblGrid>
        <w:gridCol w:w="1680"/>
        <w:gridCol w:w="1560"/>
        <w:gridCol w:w="1560"/>
        <w:gridCol w:w="1560"/>
      </w:tblGrid>
      <w:tr w:rsidR="00AB25BD" w:rsidRPr="00AB25BD" w:rsidTr="00AB25BD">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240" w:type="dxa"/>
            <w:gridSpan w:val="2"/>
            <w:hideMark/>
          </w:tcPr>
          <w:p w:rsidR="00AB25BD" w:rsidRPr="00AB25BD" w:rsidRDefault="00AB25BD" w:rsidP="00AB25BD">
            <w:pPr>
              <w:jc w:val="center"/>
              <w:rPr>
                <w:rFonts w:ascii="Calibri" w:eastAsia="Times New Roman" w:hAnsi="Calibri" w:cs="Calibri"/>
                <w:color w:val="000000"/>
                <w:lang w:eastAsia="en-GB"/>
              </w:rPr>
            </w:pPr>
            <w:r w:rsidRPr="00AB25BD">
              <w:rPr>
                <w:rFonts w:ascii="Calibri" w:eastAsia="Times New Roman" w:hAnsi="Calibri" w:cs="Calibri"/>
                <w:color w:val="000000"/>
                <w:lang w:eastAsia="en-GB"/>
              </w:rPr>
              <w:t> </w:t>
            </w:r>
          </w:p>
        </w:tc>
        <w:tc>
          <w:tcPr>
            <w:tcW w:w="1560" w:type="dxa"/>
            <w:hideMark/>
          </w:tcPr>
          <w:p w:rsidR="00AB25BD" w:rsidRPr="00AB25BD" w:rsidRDefault="00AB25BD" w:rsidP="00AB25B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Armagh City, Banbridge and Craigavon</w:t>
            </w:r>
          </w:p>
        </w:tc>
        <w:tc>
          <w:tcPr>
            <w:tcW w:w="1560" w:type="dxa"/>
            <w:hideMark/>
          </w:tcPr>
          <w:p w:rsidR="00AB25BD" w:rsidRPr="00AB25BD" w:rsidRDefault="00AB25BD" w:rsidP="00AB25B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Northern Ireland</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3240" w:type="dxa"/>
            <w:gridSpan w:val="2"/>
            <w:hideMark/>
          </w:tcPr>
          <w:p w:rsidR="00AB25BD" w:rsidRPr="00AB25BD" w:rsidRDefault="00AB25BD" w:rsidP="00AB25BD">
            <w:pPr>
              <w:rPr>
                <w:rFonts w:ascii="Calibri" w:eastAsia="Times New Roman" w:hAnsi="Calibri" w:cs="Calibri"/>
                <w:color w:val="000000"/>
                <w:lang w:eastAsia="en-GB"/>
              </w:rPr>
            </w:pPr>
            <w:r w:rsidRPr="00AB25BD">
              <w:rPr>
                <w:rFonts w:ascii="Calibri" w:eastAsia="Times New Roman" w:hAnsi="Calibri" w:cs="Calibri"/>
                <w:color w:val="000000"/>
                <w:lang w:eastAsia="en-GB"/>
              </w:rPr>
              <w:t>All households</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84,642</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768,809</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3240" w:type="dxa"/>
            <w:gridSpan w:val="2"/>
            <w:hideMark/>
          </w:tcPr>
          <w:p w:rsidR="00AB25BD" w:rsidRPr="00AB25BD" w:rsidRDefault="00AB25BD" w:rsidP="00AB25BD">
            <w:pPr>
              <w:rPr>
                <w:rFonts w:ascii="Calibri" w:eastAsia="Times New Roman" w:hAnsi="Calibri" w:cs="Calibri"/>
                <w:color w:val="000000"/>
                <w:lang w:eastAsia="en-GB"/>
              </w:rPr>
            </w:pPr>
            <w:r w:rsidRPr="00AB25BD">
              <w:rPr>
                <w:rFonts w:ascii="Calibri" w:eastAsia="Times New Roman" w:hAnsi="Calibri" w:cs="Calibri"/>
                <w:color w:val="000000"/>
                <w:lang w:eastAsia="en-GB"/>
              </w:rPr>
              <w:t xml:space="preserve">No children </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51.97%</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55.14%</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3240" w:type="dxa"/>
            <w:gridSpan w:val="2"/>
            <w:hideMark/>
          </w:tcPr>
          <w:p w:rsidR="00AB25BD" w:rsidRPr="00AB25BD" w:rsidRDefault="00AB25BD" w:rsidP="00AB25BD">
            <w:pPr>
              <w:rPr>
                <w:rFonts w:ascii="Calibri" w:eastAsia="Times New Roman" w:hAnsi="Calibri" w:cs="Calibri"/>
                <w:color w:val="000000"/>
                <w:lang w:eastAsia="en-GB"/>
              </w:rPr>
            </w:pPr>
            <w:r w:rsidRPr="00AB25BD">
              <w:rPr>
                <w:rFonts w:ascii="Calibri" w:eastAsia="Times New Roman" w:hAnsi="Calibri" w:cs="Calibri"/>
                <w:color w:val="000000"/>
                <w:lang w:eastAsia="en-GB"/>
              </w:rPr>
              <w:t>No dependent children</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15.91%</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15.65%</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rsidR="00AB25BD" w:rsidRPr="00AB25BD" w:rsidRDefault="00AB25BD" w:rsidP="00AB25BD">
            <w:pPr>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Pr="00AB25BD">
              <w:rPr>
                <w:rFonts w:ascii="Calibri" w:eastAsia="Times New Roman" w:hAnsi="Calibri" w:cs="Calibri"/>
                <w:color w:val="000000"/>
                <w:lang w:eastAsia="en-GB"/>
              </w:rPr>
              <w:t xml:space="preserve"> dependent child</w:t>
            </w: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0-4</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3.85%</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3.54%</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hideMark/>
          </w:tcPr>
          <w:p w:rsidR="00AB25BD" w:rsidRPr="00AB25BD" w:rsidRDefault="00AB25BD" w:rsidP="00AB25BD">
            <w:pPr>
              <w:jc w:val="center"/>
              <w:rPr>
                <w:rFonts w:ascii="Calibri" w:eastAsia="Times New Roman" w:hAnsi="Calibri" w:cs="Calibri"/>
                <w:color w:val="000000"/>
                <w:lang w:eastAsia="en-GB"/>
              </w:rPr>
            </w:pP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5-11</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2.80%</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2.75%</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hideMark/>
          </w:tcPr>
          <w:p w:rsidR="00AB25BD" w:rsidRPr="00AB25BD" w:rsidRDefault="00AB25BD" w:rsidP="00AB25BD">
            <w:pPr>
              <w:jc w:val="center"/>
              <w:rPr>
                <w:rFonts w:ascii="Calibri" w:eastAsia="Times New Roman" w:hAnsi="Calibri" w:cs="Calibri"/>
                <w:color w:val="000000"/>
                <w:lang w:eastAsia="en-GB"/>
              </w:rPr>
            </w:pP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12-18</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5.28%</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5.10%</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rsidR="00AB25BD" w:rsidRPr="00AB25BD" w:rsidRDefault="00AB25BD" w:rsidP="00AB25BD">
            <w:pPr>
              <w:jc w:val="center"/>
              <w:rPr>
                <w:rFonts w:ascii="Calibri" w:eastAsia="Times New Roman" w:hAnsi="Calibri" w:cs="Calibri"/>
                <w:color w:val="000000"/>
                <w:lang w:eastAsia="en-GB"/>
              </w:rPr>
            </w:pPr>
            <w:r>
              <w:rPr>
                <w:rFonts w:ascii="Calibri" w:eastAsia="Times New Roman" w:hAnsi="Calibri" w:cs="Calibri"/>
                <w:color w:val="000000"/>
                <w:lang w:eastAsia="en-GB"/>
              </w:rPr>
              <w:t>2</w:t>
            </w:r>
            <w:r w:rsidRPr="00AB25BD">
              <w:rPr>
                <w:rFonts w:ascii="Calibri" w:eastAsia="Times New Roman" w:hAnsi="Calibri" w:cs="Calibri"/>
                <w:color w:val="000000"/>
                <w:lang w:eastAsia="en-GB"/>
              </w:rPr>
              <w:t xml:space="preserve"> dependent children</w:t>
            </w: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0-4</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4.75%</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4.24%</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hideMark/>
          </w:tcPr>
          <w:p w:rsidR="00AB25BD" w:rsidRPr="00AB25BD" w:rsidRDefault="00AB25BD" w:rsidP="00AB25BD">
            <w:pPr>
              <w:jc w:val="center"/>
              <w:rPr>
                <w:rFonts w:ascii="Calibri" w:eastAsia="Times New Roman" w:hAnsi="Calibri" w:cs="Calibri"/>
                <w:color w:val="000000"/>
                <w:lang w:eastAsia="en-GB"/>
              </w:rPr>
            </w:pP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5-11</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5.26%</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4.75%</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hideMark/>
          </w:tcPr>
          <w:p w:rsidR="00AB25BD" w:rsidRPr="00AB25BD" w:rsidRDefault="00AB25BD" w:rsidP="00AB25BD">
            <w:pPr>
              <w:jc w:val="center"/>
              <w:rPr>
                <w:rFonts w:ascii="Calibri" w:eastAsia="Times New Roman" w:hAnsi="Calibri" w:cs="Calibri"/>
                <w:color w:val="000000"/>
                <w:lang w:eastAsia="en-GB"/>
              </w:rPr>
            </w:pP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12-18</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2.73%</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2.41%</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rsidR="00AB25BD" w:rsidRPr="00AB25BD" w:rsidRDefault="00AB25BD" w:rsidP="00AB25BD">
            <w:pPr>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Pr="00AB25BD">
              <w:rPr>
                <w:rFonts w:ascii="Calibri" w:eastAsia="Times New Roman" w:hAnsi="Calibri" w:cs="Calibri"/>
                <w:color w:val="000000"/>
                <w:lang w:eastAsia="en-GB"/>
              </w:rPr>
              <w:t xml:space="preserve"> dependent children</w:t>
            </w: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0-4</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3.65%</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3.14%</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hideMark/>
          </w:tcPr>
          <w:p w:rsidR="00AB25BD" w:rsidRPr="00AB25BD" w:rsidRDefault="00AB25BD" w:rsidP="00AB25BD">
            <w:pPr>
              <w:rPr>
                <w:rFonts w:ascii="Calibri" w:eastAsia="Times New Roman" w:hAnsi="Calibri" w:cs="Calibri"/>
                <w:color w:val="000000"/>
                <w:lang w:eastAsia="en-GB"/>
              </w:rPr>
            </w:pP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5-11</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3.30%</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2.82%</w:t>
            </w:r>
          </w:p>
        </w:tc>
      </w:tr>
      <w:tr w:rsidR="00AB25BD" w:rsidRPr="00AB25BD" w:rsidTr="00AB25BD">
        <w:trPr>
          <w:trHeight w:val="300"/>
        </w:trPr>
        <w:tc>
          <w:tcPr>
            <w:cnfStyle w:val="001000000000" w:firstRow="0" w:lastRow="0" w:firstColumn="1" w:lastColumn="0" w:oddVBand="0" w:evenVBand="0" w:oddHBand="0" w:evenHBand="0" w:firstRowFirstColumn="0" w:firstRowLastColumn="0" w:lastRowFirstColumn="0" w:lastRowLastColumn="0"/>
            <w:tcW w:w="1680" w:type="dxa"/>
            <w:vMerge/>
            <w:hideMark/>
          </w:tcPr>
          <w:p w:rsidR="00AB25BD" w:rsidRPr="00AB25BD" w:rsidRDefault="00AB25BD" w:rsidP="00AB25BD">
            <w:pPr>
              <w:rPr>
                <w:rFonts w:ascii="Calibri" w:eastAsia="Times New Roman" w:hAnsi="Calibri" w:cs="Calibri"/>
                <w:color w:val="000000"/>
                <w:lang w:eastAsia="en-GB"/>
              </w:rPr>
            </w:pPr>
          </w:p>
        </w:tc>
        <w:tc>
          <w:tcPr>
            <w:tcW w:w="1560" w:type="dxa"/>
            <w:noWrap/>
            <w:hideMark/>
          </w:tcPr>
          <w:p w:rsidR="00AB25BD" w:rsidRPr="00AB25BD" w:rsidRDefault="00AB25BD" w:rsidP="00AB25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Age 12-18</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0.51%</w:t>
            </w:r>
          </w:p>
        </w:tc>
        <w:tc>
          <w:tcPr>
            <w:tcW w:w="1560" w:type="dxa"/>
            <w:noWrap/>
            <w:hideMark/>
          </w:tcPr>
          <w:p w:rsidR="00AB25BD" w:rsidRPr="00AB25BD" w:rsidRDefault="00AB25BD" w:rsidP="00AB25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B25BD">
              <w:rPr>
                <w:rFonts w:ascii="Calibri" w:eastAsia="Times New Roman" w:hAnsi="Calibri" w:cs="Calibri"/>
                <w:color w:val="000000"/>
                <w:lang w:eastAsia="en-GB"/>
              </w:rPr>
              <w:t>0.46%</w:t>
            </w:r>
          </w:p>
        </w:tc>
      </w:tr>
    </w:tbl>
    <w:p w:rsidR="00CA25DC" w:rsidRPr="00AB25BD" w:rsidRDefault="00AB25BD">
      <w:pPr>
        <w:rPr>
          <w:i/>
          <w:sz w:val="20"/>
          <w:szCs w:val="20"/>
        </w:rPr>
      </w:pPr>
      <w:r w:rsidRPr="00AB25BD">
        <w:rPr>
          <w:i/>
          <w:sz w:val="20"/>
          <w:szCs w:val="20"/>
        </w:rPr>
        <w:t>Table 1: Number of dependent children – households, 2021, Armagh City, Banbridge and Craigavon and Northern Ireland.   Source: Table MS-A24, Census 2021.</w:t>
      </w:r>
    </w:p>
    <w:p w:rsidR="003061A9" w:rsidRDefault="00114801">
      <w:pPr>
        <w:rPr>
          <w:b/>
          <w:i/>
        </w:rPr>
      </w:pPr>
      <w:r w:rsidRPr="00114801">
        <w:rPr>
          <w:b/>
          <w:i/>
        </w:rPr>
        <w:lastRenderedPageBreak/>
        <w:t>Household Composition</w:t>
      </w:r>
    </w:p>
    <w:p w:rsidR="005C1063" w:rsidRPr="000B460C" w:rsidRDefault="00012202">
      <w:r>
        <w:t>On Census Day 2021 there were an estimated 84,643 households in Armagh City, Banbridge and Craigavon borough.  Table 2 below shows the composition of these households.  Single family households</w:t>
      </w:r>
      <w:r w:rsidR="000B460C">
        <w:t>,</w:t>
      </w:r>
      <w:r>
        <w:t xml:space="preserve"> either married or in a civil partnership with children accounted for the largest </w:t>
      </w:r>
      <w:r w:rsidR="000B460C">
        <w:t xml:space="preserve">proportion of households at 28.7% while those with no children accounted for a further 9.7% of the total households in the borough.  One person households were the next biggest grouping accounting for a total of 23,407 households or 27.7% of the total.   Lone parent families both with dependent and non-dependent children accounted for 13.2% (11,152) of the total households.  Of these, a total of 9,582 (86%) were female lone parent households compared to 1,570 (14%) male lone parent households. </w:t>
      </w:r>
    </w:p>
    <w:tbl>
      <w:tblPr>
        <w:tblStyle w:val="GridTable1Light"/>
        <w:tblW w:w="8642" w:type="dxa"/>
        <w:tblLayout w:type="fixed"/>
        <w:tblLook w:val="04A0" w:firstRow="1" w:lastRow="0" w:firstColumn="1" w:lastColumn="0" w:noHBand="0" w:noVBand="1"/>
      </w:tblPr>
      <w:tblGrid>
        <w:gridCol w:w="5240"/>
        <w:gridCol w:w="1701"/>
        <w:gridCol w:w="1701"/>
      </w:tblGrid>
      <w:tr w:rsidR="00FF25CE" w:rsidRPr="00FF25CE" w:rsidTr="00FF25CE">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color w:val="000000"/>
                <w:lang w:eastAsia="en-GB"/>
              </w:rPr>
            </w:pPr>
            <w:r w:rsidRPr="00FF25CE">
              <w:rPr>
                <w:rFonts w:ascii="Calibri" w:eastAsia="Times New Roman" w:hAnsi="Calibri" w:cs="Calibri"/>
                <w:color w:val="000000"/>
                <w:lang w:eastAsia="en-GB"/>
              </w:rPr>
              <w:t> </w:t>
            </w:r>
          </w:p>
        </w:tc>
        <w:tc>
          <w:tcPr>
            <w:tcW w:w="3402" w:type="dxa"/>
            <w:gridSpan w:val="2"/>
            <w:hideMark/>
          </w:tcPr>
          <w:p w:rsidR="00FF25CE" w:rsidRPr="00FF25CE" w:rsidRDefault="00FF25CE" w:rsidP="00FF25C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Armagh City, Banbridge and Craigavon</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color w:val="000000"/>
                <w:lang w:eastAsia="en-GB"/>
              </w:rPr>
            </w:pPr>
            <w:r w:rsidRPr="00FF25CE">
              <w:rPr>
                <w:rFonts w:ascii="Calibri" w:eastAsia="Times New Roman" w:hAnsi="Calibri" w:cs="Calibri"/>
                <w:color w:val="000000"/>
                <w:lang w:eastAsia="en-GB"/>
              </w:rPr>
              <w:t> </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F25CE">
              <w:rPr>
                <w:rFonts w:ascii="Calibri" w:eastAsia="Times New Roman" w:hAnsi="Calibri" w:cs="Calibri"/>
                <w:b/>
                <w:color w:val="000000"/>
                <w:lang w:eastAsia="en-GB"/>
              </w:rPr>
              <w:t>Number</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F25CE">
              <w:rPr>
                <w:rFonts w:ascii="Calibri" w:eastAsia="Times New Roman" w:hAnsi="Calibri" w:cs="Calibri"/>
                <w:b/>
                <w:color w:val="000000"/>
                <w:lang w:eastAsia="en-GB"/>
              </w:rPr>
              <w:t>%</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color w:val="000000"/>
                <w:lang w:eastAsia="en-GB"/>
              </w:rPr>
            </w:pPr>
            <w:r w:rsidRPr="00FF25CE">
              <w:rPr>
                <w:rFonts w:ascii="Calibri" w:eastAsia="Times New Roman" w:hAnsi="Calibri" w:cs="Calibri"/>
                <w:color w:val="000000"/>
                <w:lang w:eastAsia="en-GB"/>
              </w:rPr>
              <w:t xml:space="preserve">One person households </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23,407</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27.65%</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color w:val="000000"/>
                <w:lang w:eastAsia="en-GB"/>
              </w:rPr>
            </w:pPr>
            <w:r w:rsidRPr="005C1063">
              <w:rPr>
                <w:rFonts w:ascii="Calibri" w:eastAsia="Times New Roman" w:hAnsi="Calibri" w:cs="Calibri"/>
                <w:color w:val="000000"/>
                <w:lang w:eastAsia="en-GB"/>
              </w:rPr>
              <w:t xml:space="preserve">Single Family Household: </w:t>
            </w:r>
            <w:r w:rsidRPr="00FF25CE">
              <w:rPr>
                <w:rFonts w:ascii="Calibri" w:eastAsia="Times New Roman" w:hAnsi="Calibri" w:cs="Calibri"/>
                <w:color w:val="000000"/>
                <w:lang w:eastAsia="en-GB"/>
              </w:rPr>
              <w:t>All aged 66+</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6,703</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7.92%</w:t>
            </w:r>
          </w:p>
        </w:tc>
      </w:tr>
      <w:tr w:rsidR="00FF25CE" w:rsidRPr="00FF25CE" w:rsidTr="00FF25CE">
        <w:trPr>
          <w:trHeight w:val="277"/>
        </w:trPr>
        <w:tc>
          <w:tcPr>
            <w:cnfStyle w:val="001000000000" w:firstRow="0" w:lastRow="0" w:firstColumn="1" w:lastColumn="0" w:oddVBand="0" w:evenVBand="0" w:oddHBand="0" w:evenHBand="0" w:firstRowFirstColumn="0" w:firstRowLastColumn="0" w:lastRowFirstColumn="0" w:lastRowLastColumn="0"/>
            <w:tcW w:w="8642" w:type="dxa"/>
            <w:gridSpan w:val="3"/>
            <w:noWrap/>
            <w:hideMark/>
          </w:tcPr>
          <w:p w:rsidR="00FF25CE" w:rsidRPr="00FF25CE" w:rsidRDefault="00FF25CE" w:rsidP="00FF25CE">
            <w:pPr>
              <w:rPr>
                <w:rFonts w:ascii="Calibri" w:eastAsia="Times New Roman" w:hAnsi="Calibri" w:cs="Calibri"/>
                <w:i/>
                <w:color w:val="000000"/>
                <w:lang w:eastAsia="en-GB"/>
              </w:rPr>
            </w:pPr>
            <w:r>
              <w:rPr>
                <w:rFonts w:ascii="Calibri" w:eastAsia="Times New Roman" w:hAnsi="Calibri" w:cs="Calibri"/>
                <w:i/>
                <w:color w:val="000000"/>
                <w:lang w:eastAsia="en-GB"/>
              </w:rPr>
              <w:t xml:space="preserve">Single Family Household: </w:t>
            </w:r>
            <w:r w:rsidRPr="00FF25CE">
              <w:rPr>
                <w:rFonts w:ascii="Calibri" w:eastAsia="Times New Roman" w:hAnsi="Calibri" w:cs="Calibri"/>
                <w:i/>
                <w:color w:val="000000"/>
                <w:lang w:eastAsia="en-GB"/>
              </w:rPr>
              <w:t>Married or civil partnership</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Pr>
                <w:rFonts w:ascii="Calibri" w:eastAsia="Times New Roman" w:hAnsi="Calibri" w:cs="Calibri"/>
                <w:b w:val="0"/>
                <w:color w:val="000000"/>
                <w:lang w:eastAsia="en-GB"/>
              </w:rPr>
              <w:t>N</w:t>
            </w:r>
            <w:r w:rsidRPr="00FF25CE">
              <w:rPr>
                <w:rFonts w:ascii="Calibri" w:eastAsia="Times New Roman" w:hAnsi="Calibri" w:cs="Calibri"/>
                <w:b w:val="0"/>
                <w:color w:val="000000"/>
                <w:lang w:eastAsia="en-GB"/>
              </w:rPr>
              <w:t>o children</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8,171</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9.65%</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Pr>
                <w:rFonts w:ascii="Calibri" w:eastAsia="Times New Roman" w:hAnsi="Calibri" w:cs="Calibri"/>
                <w:b w:val="0"/>
                <w:color w:val="000000"/>
                <w:lang w:eastAsia="en-GB"/>
              </w:rPr>
              <w:t>W</w:t>
            </w:r>
            <w:r w:rsidRPr="00FF25CE">
              <w:rPr>
                <w:rFonts w:ascii="Calibri" w:eastAsia="Times New Roman" w:hAnsi="Calibri" w:cs="Calibri"/>
                <w:b w:val="0"/>
                <w:color w:val="000000"/>
                <w:lang w:eastAsia="en-GB"/>
              </w:rPr>
              <w:t xml:space="preserve">ith children </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24,315</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28.73%</w:t>
            </w:r>
          </w:p>
        </w:tc>
      </w:tr>
      <w:tr w:rsidR="00FF25CE" w:rsidRPr="00FF25CE" w:rsidTr="00FF25CE">
        <w:trPr>
          <w:trHeight w:val="277"/>
        </w:trPr>
        <w:tc>
          <w:tcPr>
            <w:cnfStyle w:val="001000000000" w:firstRow="0" w:lastRow="0" w:firstColumn="1" w:lastColumn="0" w:oddVBand="0" w:evenVBand="0" w:oddHBand="0" w:evenHBand="0" w:firstRowFirstColumn="0" w:firstRowLastColumn="0" w:lastRowFirstColumn="0" w:lastRowLastColumn="0"/>
            <w:tcW w:w="8642" w:type="dxa"/>
            <w:gridSpan w:val="3"/>
            <w:noWrap/>
            <w:hideMark/>
          </w:tcPr>
          <w:p w:rsidR="00FF25CE" w:rsidRPr="00FF25CE" w:rsidRDefault="00FF25CE" w:rsidP="00FF25CE">
            <w:pPr>
              <w:rPr>
                <w:rFonts w:ascii="Calibri" w:eastAsia="Times New Roman" w:hAnsi="Calibri" w:cs="Calibri"/>
                <w:i/>
                <w:color w:val="000000"/>
                <w:lang w:eastAsia="en-GB"/>
              </w:rPr>
            </w:pPr>
            <w:r>
              <w:rPr>
                <w:rFonts w:ascii="Calibri" w:eastAsia="Times New Roman" w:hAnsi="Calibri" w:cs="Calibri"/>
                <w:i/>
                <w:color w:val="000000"/>
                <w:lang w:eastAsia="en-GB"/>
              </w:rPr>
              <w:t xml:space="preserve">Single Family Household: </w:t>
            </w:r>
            <w:r w:rsidRPr="00FF25CE">
              <w:rPr>
                <w:rFonts w:ascii="Calibri" w:eastAsia="Times New Roman" w:hAnsi="Calibri" w:cs="Calibri"/>
                <w:i/>
                <w:color w:val="000000"/>
                <w:lang w:eastAsia="en-GB"/>
              </w:rPr>
              <w:t>Cohabiting couple</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Pr>
                <w:rFonts w:ascii="Calibri" w:eastAsia="Times New Roman" w:hAnsi="Calibri" w:cs="Calibri"/>
                <w:b w:val="0"/>
                <w:color w:val="000000"/>
                <w:lang w:eastAsia="en-GB"/>
              </w:rPr>
              <w:t>N</w:t>
            </w:r>
            <w:r w:rsidRPr="00FF25CE">
              <w:rPr>
                <w:rFonts w:ascii="Calibri" w:eastAsia="Times New Roman" w:hAnsi="Calibri" w:cs="Calibri"/>
                <w:b w:val="0"/>
                <w:color w:val="000000"/>
                <w:lang w:eastAsia="en-GB"/>
              </w:rPr>
              <w:t>o children</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3,125</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3.69%</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Pr>
                <w:rFonts w:ascii="Calibri" w:eastAsia="Times New Roman" w:hAnsi="Calibri" w:cs="Calibri"/>
                <w:b w:val="0"/>
                <w:color w:val="000000"/>
                <w:lang w:eastAsia="en-GB"/>
              </w:rPr>
              <w:t>W</w:t>
            </w:r>
            <w:r w:rsidRPr="00FF25CE">
              <w:rPr>
                <w:rFonts w:ascii="Calibri" w:eastAsia="Times New Roman" w:hAnsi="Calibri" w:cs="Calibri"/>
                <w:b w:val="0"/>
                <w:color w:val="000000"/>
                <w:lang w:eastAsia="en-GB"/>
              </w:rPr>
              <w:t xml:space="preserve">ith children </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3,451</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4.08%</w:t>
            </w:r>
          </w:p>
        </w:tc>
      </w:tr>
      <w:tr w:rsidR="00FF25CE" w:rsidRPr="00FF25CE" w:rsidTr="00FF25CE">
        <w:trPr>
          <w:trHeight w:val="277"/>
        </w:trPr>
        <w:tc>
          <w:tcPr>
            <w:cnfStyle w:val="001000000000" w:firstRow="0" w:lastRow="0" w:firstColumn="1" w:lastColumn="0" w:oddVBand="0" w:evenVBand="0" w:oddHBand="0" w:evenHBand="0" w:firstRowFirstColumn="0" w:firstRowLastColumn="0" w:lastRowFirstColumn="0" w:lastRowLastColumn="0"/>
            <w:tcW w:w="8642" w:type="dxa"/>
            <w:gridSpan w:val="3"/>
            <w:noWrap/>
            <w:hideMark/>
          </w:tcPr>
          <w:p w:rsidR="00FF25CE" w:rsidRPr="00FF25CE" w:rsidRDefault="00FF25CE" w:rsidP="00FF25CE">
            <w:pPr>
              <w:rPr>
                <w:rFonts w:ascii="Calibri" w:eastAsia="Times New Roman" w:hAnsi="Calibri" w:cs="Calibri"/>
                <w:i/>
                <w:color w:val="000000"/>
                <w:lang w:eastAsia="en-GB"/>
              </w:rPr>
            </w:pPr>
            <w:r>
              <w:rPr>
                <w:rFonts w:ascii="Calibri" w:eastAsia="Times New Roman" w:hAnsi="Calibri" w:cs="Calibri"/>
                <w:i/>
                <w:color w:val="000000"/>
                <w:lang w:eastAsia="en-GB"/>
              </w:rPr>
              <w:t xml:space="preserve">Single Family Household: </w:t>
            </w:r>
            <w:r w:rsidRPr="00FF25CE">
              <w:rPr>
                <w:rFonts w:ascii="Calibri" w:eastAsia="Times New Roman" w:hAnsi="Calibri" w:cs="Calibri"/>
                <w:i/>
                <w:color w:val="000000"/>
                <w:lang w:eastAsia="en-GB"/>
              </w:rPr>
              <w:t>Lone Parent</w:t>
            </w:r>
            <w:r>
              <w:rPr>
                <w:rFonts w:ascii="Calibri" w:eastAsia="Times New Roman" w:hAnsi="Calibri" w:cs="Calibri"/>
                <w:i/>
                <w:color w:val="000000"/>
                <w:lang w:eastAsia="en-GB"/>
              </w:rPr>
              <w:t xml:space="preserve"> Family</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sidRPr="00FF25CE">
              <w:rPr>
                <w:rFonts w:ascii="Calibri" w:eastAsia="Times New Roman" w:hAnsi="Calibri" w:cs="Calibri"/>
                <w:b w:val="0"/>
                <w:color w:val="000000"/>
                <w:lang w:eastAsia="en-GB"/>
              </w:rPr>
              <w:t>Dependent children</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6,556</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7.75%</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6A79AA">
            <w:pPr>
              <w:rPr>
                <w:rFonts w:ascii="Calibri" w:eastAsia="Times New Roman" w:hAnsi="Calibri" w:cs="Calibri"/>
                <w:b w:val="0"/>
                <w:color w:val="000000"/>
                <w:lang w:eastAsia="en-GB"/>
              </w:rPr>
            </w:pPr>
            <w:r>
              <w:rPr>
                <w:rFonts w:ascii="Calibri" w:eastAsia="Times New Roman" w:hAnsi="Calibri" w:cs="Calibri"/>
                <w:b w:val="0"/>
                <w:color w:val="000000"/>
                <w:lang w:eastAsia="en-GB"/>
              </w:rPr>
              <w:t>N</w:t>
            </w:r>
            <w:r w:rsidRPr="00FF25CE">
              <w:rPr>
                <w:rFonts w:ascii="Calibri" w:eastAsia="Times New Roman" w:hAnsi="Calibri" w:cs="Calibri"/>
                <w:b w:val="0"/>
                <w:color w:val="000000"/>
                <w:lang w:eastAsia="en-GB"/>
              </w:rPr>
              <w:t xml:space="preserve">on-dependent children </w:t>
            </w:r>
          </w:p>
        </w:tc>
        <w:tc>
          <w:tcPr>
            <w:tcW w:w="1701" w:type="dxa"/>
            <w:noWrap/>
            <w:hideMark/>
          </w:tcPr>
          <w:p w:rsidR="00FF25CE" w:rsidRPr="00FF25CE" w:rsidRDefault="00FF25CE"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4,596</w:t>
            </w:r>
          </w:p>
        </w:tc>
        <w:tc>
          <w:tcPr>
            <w:tcW w:w="1701" w:type="dxa"/>
            <w:noWrap/>
            <w:hideMark/>
          </w:tcPr>
          <w:p w:rsidR="00FF25CE" w:rsidRPr="00FF25CE" w:rsidRDefault="00FF25CE"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5.43%</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tcPr>
          <w:p w:rsidR="00FF25CE" w:rsidRPr="00FF25CE" w:rsidRDefault="00FF25CE" w:rsidP="00FF25CE">
            <w:pPr>
              <w:rPr>
                <w:rFonts w:ascii="Calibri" w:eastAsia="Times New Roman" w:hAnsi="Calibri" w:cs="Calibri"/>
                <w:i/>
                <w:color w:val="000000"/>
                <w:lang w:eastAsia="en-GB"/>
              </w:rPr>
            </w:pPr>
            <w:r w:rsidRPr="00FF25CE">
              <w:rPr>
                <w:rFonts w:ascii="Calibri" w:eastAsia="Times New Roman" w:hAnsi="Calibri" w:cs="Calibri"/>
                <w:i/>
                <w:color w:val="000000"/>
                <w:lang w:eastAsia="en-GB"/>
              </w:rPr>
              <w:t>Single Family Household: Other Family Composition</w:t>
            </w:r>
          </w:p>
        </w:tc>
        <w:tc>
          <w:tcPr>
            <w:tcW w:w="1701" w:type="dxa"/>
            <w:noWrap/>
          </w:tcPr>
          <w:p w:rsidR="00FF25CE" w:rsidRPr="005C1063"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C1063">
              <w:rPr>
                <w:rFonts w:ascii="Calibri" w:eastAsia="Times New Roman" w:hAnsi="Calibri" w:cs="Calibri"/>
                <w:color w:val="000000"/>
                <w:lang w:eastAsia="en-GB"/>
              </w:rPr>
              <w:t>899</w:t>
            </w:r>
          </w:p>
        </w:tc>
        <w:tc>
          <w:tcPr>
            <w:tcW w:w="1701" w:type="dxa"/>
            <w:noWrap/>
          </w:tcPr>
          <w:p w:rsidR="00FF25CE" w:rsidRPr="005C1063" w:rsidRDefault="005C1063"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C1063">
              <w:rPr>
                <w:rFonts w:ascii="Calibri" w:eastAsia="Times New Roman" w:hAnsi="Calibri" w:cs="Calibri"/>
                <w:color w:val="000000"/>
                <w:lang w:eastAsia="en-GB"/>
              </w:rPr>
              <w:t>1.06%</w:t>
            </w:r>
          </w:p>
        </w:tc>
      </w:tr>
      <w:tr w:rsidR="00FF25CE" w:rsidRPr="00FF25CE" w:rsidTr="00FF25CE">
        <w:trPr>
          <w:trHeight w:val="277"/>
        </w:trPr>
        <w:tc>
          <w:tcPr>
            <w:cnfStyle w:val="001000000000" w:firstRow="0" w:lastRow="0" w:firstColumn="1" w:lastColumn="0" w:oddVBand="0" w:evenVBand="0" w:oddHBand="0" w:evenHBand="0" w:firstRowFirstColumn="0" w:firstRowLastColumn="0" w:lastRowFirstColumn="0" w:lastRowLastColumn="0"/>
            <w:tcW w:w="8642" w:type="dxa"/>
            <w:gridSpan w:val="3"/>
            <w:noWrap/>
            <w:hideMark/>
          </w:tcPr>
          <w:p w:rsidR="00FF25CE" w:rsidRPr="00FF25CE" w:rsidRDefault="00FF25CE" w:rsidP="00FF25CE">
            <w:pPr>
              <w:rPr>
                <w:rFonts w:ascii="Calibri" w:eastAsia="Times New Roman" w:hAnsi="Calibri" w:cs="Calibri"/>
                <w:i/>
                <w:color w:val="000000"/>
                <w:lang w:eastAsia="en-GB"/>
              </w:rPr>
            </w:pPr>
            <w:r>
              <w:rPr>
                <w:rFonts w:ascii="Calibri" w:eastAsia="Times New Roman" w:hAnsi="Calibri" w:cs="Calibri"/>
                <w:i/>
                <w:color w:val="000000"/>
                <w:lang w:eastAsia="en-GB"/>
              </w:rPr>
              <w:t>Other Household T</w:t>
            </w:r>
            <w:r w:rsidRPr="00FF25CE">
              <w:rPr>
                <w:rFonts w:ascii="Calibri" w:eastAsia="Times New Roman" w:hAnsi="Calibri" w:cs="Calibri"/>
                <w:i/>
                <w:color w:val="000000"/>
                <w:lang w:eastAsia="en-GB"/>
              </w:rPr>
              <w:t>ypes</w:t>
            </w:r>
            <w:r>
              <w:rPr>
                <w:rFonts w:ascii="Calibri" w:eastAsia="Times New Roman" w:hAnsi="Calibri" w:cs="Calibri"/>
                <w:i/>
                <w:color w:val="000000"/>
                <w:lang w:eastAsia="en-GB"/>
              </w:rPr>
              <w:t>:</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Pr>
                <w:rFonts w:ascii="Calibri" w:eastAsia="Times New Roman" w:hAnsi="Calibri" w:cs="Calibri"/>
                <w:b w:val="0"/>
                <w:color w:val="000000"/>
                <w:lang w:eastAsia="en-GB"/>
              </w:rPr>
              <w:t>W</w:t>
            </w:r>
            <w:r w:rsidRPr="00FF25CE">
              <w:rPr>
                <w:rFonts w:ascii="Calibri" w:eastAsia="Times New Roman" w:hAnsi="Calibri" w:cs="Calibri"/>
                <w:b w:val="0"/>
                <w:color w:val="000000"/>
                <w:lang w:eastAsia="en-GB"/>
              </w:rPr>
              <w:t xml:space="preserve">ith dependent children </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592</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0.70%</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Pr>
                <w:rFonts w:ascii="Calibri" w:eastAsia="Times New Roman" w:hAnsi="Calibri" w:cs="Calibri"/>
                <w:b w:val="0"/>
                <w:color w:val="000000"/>
                <w:lang w:eastAsia="en-GB"/>
              </w:rPr>
              <w:t>A</w:t>
            </w:r>
            <w:r w:rsidRPr="00FF25CE">
              <w:rPr>
                <w:rFonts w:ascii="Calibri" w:eastAsia="Times New Roman" w:hAnsi="Calibri" w:cs="Calibri"/>
                <w:b w:val="0"/>
                <w:color w:val="000000"/>
                <w:lang w:eastAsia="en-GB"/>
              </w:rPr>
              <w:t>ll in full-time education</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6</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0.01%</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Pr>
                <w:rFonts w:ascii="Calibri" w:eastAsia="Times New Roman" w:hAnsi="Calibri" w:cs="Calibri"/>
                <w:b w:val="0"/>
                <w:color w:val="000000"/>
                <w:lang w:eastAsia="en-GB"/>
              </w:rPr>
              <w:t>A</w:t>
            </w:r>
            <w:r w:rsidRPr="00FF25CE">
              <w:rPr>
                <w:rFonts w:ascii="Calibri" w:eastAsia="Times New Roman" w:hAnsi="Calibri" w:cs="Calibri"/>
                <w:b w:val="0"/>
                <w:color w:val="000000"/>
                <w:lang w:eastAsia="en-GB"/>
              </w:rPr>
              <w:t>ll aged 66+</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57</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F25CE">
              <w:rPr>
                <w:rFonts w:ascii="Calibri" w:eastAsia="Times New Roman" w:hAnsi="Calibri" w:cs="Calibri"/>
                <w:color w:val="000000"/>
                <w:lang w:eastAsia="en-GB"/>
              </w:rPr>
              <w:t>0.07%</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b w:val="0"/>
                <w:color w:val="000000"/>
                <w:lang w:eastAsia="en-GB"/>
              </w:rPr>
            </w:pPr>
            <w:r>
              <w:rPr>
                <w:rFonts w:ascii="Calibri" w:eastAsia="Times New Roman" w:hAnsi="Calibri" w:cs="Calibri"/>
                <w:b w:val="0"/>
                <w:color w:val="000000"/>
                <w:lang w:eastAsia="en-GB"/>
              </w:rPr>
              <w:t>O</w:t>
            </w:r>
            <w:r w:rsidRPr="00FF25CE">
              <w:rPr>
                <w:rFonts w:ascii="Calibri" w:eastAsia="Times New Roman" w:hAnsi="Calibri" w:cs="Calibri"/>
                <w:b w:val="0"/>
                <w:color w:val="000000"/>
                <w:lang w:eastAsia="en-GB"/>
              </w:rPr>
              <w:t>ther family composition</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r w:rsidR="005C1063">
              <w:rPr>
                <w:rFonts w:ascii="Calibri" w:eastAsia="Times New Roman" w:hAnsi="Calibri" w:cs="Calibri"/>
                <w:color w:val="000000"/>
                <w:lang w:eastAsia="en-GB"/>
              </w:rPr>
              <w:t>,</w:t>
            </w:r>
            <w:r>
              <w:rPr>
                <w:rFonts w:ascii="Calibri" w:eastAsia="Times New Roman" w:hAnsi="Calibri" w:cs="Calibri"/>
                <w:color w:val="000000"/>
                <w:lang w:eastAsia="en-GB"/>
              </w:rPr>
              <w:t>765</w:t>
            </w:r>
          </w:p>
        </w:tc>
        <w:tc>
          <w:tcPr>
            <w:tcW w:w="1701" w:type="dxa"/>
            <w:noWrap/>
            <w:hideMark/>
          </w:tcPr>
          <w:p w:rsidR="00FF25CE" w:rsidRPr="00FF25CE" w:rsidRDefault="005C1063"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3.27</w:t>
            </w:r>
            <w:r w:rsidR="00FF25CE" w:rsidRPr="00FF25CE">
              <w:rPr>
                <w:rFonts w:ascii="Calibri" w:eastAsia="Times New Roman" w:hAnsi="Calibri" w:cs="Calibri"/>
                <w:color w:val="000000"/>
                <w:lang w:eastAsia="en-GB"/>
              </w:rPr>
              <w:t>%</w:t>
            </w:r>
          </w:p>
        </w:tc>
      </w:tr>
      <w:tr w:rsidR="00FF25CE" w:rsidRPr="00FF25CE" w:rsidTr="005C1063">
        <w:trPr>
          <w:trHeight w:val="277"/>
        </w:trPr>
        <w:tc>
          <w:tcPr>
            <w:cnfStyle w:val="001000000000" w:firstRow="0" w:lastRow="0" w:firstColumn="1" w:lastColumn="0" w:oddVBand="0" w:evenVBand="0" w:oddHBand="0" w:evenHBand="0" w:firstRowFirstColumn="0" w:firstRowLastColumn="0" w:lastRowFirstColumn="0" w:lastRowLastColumn="0"/>
            <w:tcW w:w="5240" w:type="dxa"/>
            <w:noWrap/>
            <w:hideMark/>
          </w:tcPr>
          <w:p w:rsidR="00FF25CE" w:rsidRPr="00FF25CE" w:rsidRDefault="00FF25CE" w:rsidP="00FF25CE">
            <w:pPr>
              <w:rPr>
                <w:rFonts w:ascii="Calibri" w:eastAsia="Times New Roman" w:hAnsi="Calibri" w:cs="Calibri"/>
                <w:color w:val="000000"/>
                <w:lang w:eastAsia="en-GB"/>
              </w:rPr>
            </w:pPr>
            <w:r w:rsidRPr="00FF25CE">
              <w:rPr>
                <w:rFonts w:ascii="Calibri" w:eastAsia="Times New Roman" w:hAnsi="Calibri" w:cs="Calibri"/>
                <w:color w:val="000000"/>
                <w:lang w:eastAsia="en-GB"/>
              </w:rPr>
              <w:t> </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F25CE">
              <w:rPr>
                <w:rFonts w:ascii="Calibri" w:eastAsia="Times New Roman" w:hAnsi="Calibri" w:cs="Calibri"/>
                <w:b/>
                <w:color w:val="000000"/>
                <w:lang w:eastAsia="en-GB"/>
              </w:rPr>
              <w:t>84,643</w:t>
            </w:r>
          </w:p>
        </w:tc>
        <w:tc>
          <w:tcPr>
            <w:tcW w:w="1701" w:type="dxa"/>
            <w:noWrap/>
            <w:hideMark/>
          </w:tcPr>
          <w:p w:rsidR="00FF25CE" w:rsidRPr="00FF25CE" w:rsidRDefault="00FF25CE" w:rsidP="00FF25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F25CE">
              <w:rPr>
                <w:rFonts w:ascii="Calibri" w:eastAsia="Times New Roman" w:hAnsi="Calibri" w:cs="Calibri"/>
                <w:b/>
                <w:color w:val="000000"/>
                <w:lang w:eastAsia="en-GB"/>
              </w:rPr>
              <w:t>100.00%</w:t>
            </w:r>
          </w:p>
        </w:tc>
      </w:tr>
    </w:tbl>
    <w:p w:rsidR="0084252B" w:rsidRDefault="005C1063">
      <w:pPr>
        <w:rPr>
          <w:i/>
          <w:sz w:val="20"/>
          <w:szCs w:val="20"/>
        </w:rPr>
      </w:pPr>
      <w:r w:rsidRPr="00AB25BD">
        <w:rPr>
          <w:i/>
          <w:sz w:val="20"/>
          <w:szCs w:val="20"/>
        </w:rPr>
        <w:t xml:space="preserve">Table </w:t>
      </w:r>
      <w:r>
        <w:rPr>
          <w:i/>
          <w:sz w:val="20"/>
          <w:szCs w:val="20"/>
        </w:rPr>
        <w:t>2</w:t>
      </w:r>
      <w:r w:rsidRPr="00AB25BD">
        <w:rPr>
          <w:i/>
          <w:sz w:val="20"/>
          <w:szCs w:val="20"/>
        </w:rPr>
        <w:t xml:space="preserve">: </w:t>
      </w:r>
      <w:r>
        <w:rPr>
          <w:i/>
          <w:sz w:val="20"/>
          <w:szCs w:val="20"/>
        </w:rPr>
        <w:t>Household Composition</w:t>
      </w:r>
      <w:r w:rsidRPr="00AB25BD">
        <w:rPr>
          <w:i/>
          <w:sz w:val="20"/>
          <w:szCs w:val="20"/>
        </w:rPr>
        <w:t>– households, 2021, Armagh City, Banbridge and Craigavon.   Source: Table</w:t>
      </w:r>
      <w:r>
        <w:rPr>
          <w:i/>
          <w:sz w:val="20"/>
          <w:szCs w:val="20"/>
        </w:rPr>
        <w:t xml:space="preserve"> MS-A26</w:t>
      </w:r>
      <w:r w:rsidRPr="00AB25BD">
        <w:rPr>
          <w:i/>
          <w:sz w:val="20"/>
          <w:szCs w:val="20"/>
        </w:rPr>
        <w:t>, Census 2021.</w:t>
      </w:r>
    </w:p>
    <w:p w:rsidR="0084252B" w:rsidRPr="0084252B" w:rsidRDefault="0084252B">
      <w:pPr>
        <w:rPr>
          <w:i/>
          <w:sz w:val="20"/>
          <w:szCs w:val="20"/>
        </w:rPr>
      </w:pPr>
    </w:p>
    <w:p w:rsidR="00541C05" w:rsidRDefault="008679D4">
      <w:pPr>
        <w:rPr>
          <w:b/>
          <w:i/>
        </w:rPr>
      </w:pPr>
      <w:r w:rsidRPr="008679D4">
        <w:rPr>
          <w:b/>
          <w:i/>
        </w:rPr>
        <w:t>Living Arrangements</w:t>
      </w:r>
    </w:p>
    <w:p w:rsidR="0084252B" w:rsidRDefault="00772B71">
      <w:pPr>
        <w:rPr>
          <w:b/>
          <w:i/>
        </w:rPr>
      </w:pPr>
      <w:r>
        <w:t xml:space="preserve">The 2021 Census included questions on the relationships between people in the household and the figures below show the relationship status of household members for all residents aged 16 and over.  In Armagh City, Banbridge and Craigavon borough, 57% of the adult population were living in households as a couple, either married, civil-partnered or co-habiting.  Of those just 0.5% were living in a same-sex couple household.  </w:t>
      </w:r>
    </w:p>
    <w:p w:rsidR="0084252B" w:rsidRDefault="0084252B">
      <w:pPr>
        <w:rPr>
          <w:b/>
          <w:i/>
        </w:rPr>
      </w:pPr>
    </w:p>
    <w:p w:rsidR="0084252B" w:rsidRDefault="0084252B">
      <w:pPr>
        <w:rPr>
          <w:b/>
          <w:i/>
        </w:rPr>
      </w:pPr>
    </w:p>
    <w:p w:rsidR="0084252B" w:rsidRDefault="0084252B">
      <w:pPr>
        <w:rPr>
          <w:b/>
          <w:i/>
        </w:rPr>
      </w:pPr>
    </w:p>
    <w:tbl>
      <w:tblPr>
        <w:tblStyle w:val="GridTable1Light"/>
        <w:tblW w:w="9914" w:type="dxa"/>
        <w:tblLayout w:type="fixed"/>
        <w:tblLook w:val="04A0" w:firstRow="1" w:lastRow="0" w:firstColumn="1" w:lastColumn="0" w:noHBand="0" w:noVBand="1"/>
      </w:tblPr>
      <w:tblGrid>
        <w:gridCol w:w="2127"/>
        <w:gridCol w:w="4252"/>
        <w:gridCol w:w="1767"/>
        <w:gridCol w:w="1768"/>
      </w:tblGrid>
      <w:tr w:rsidR="0084252B" w:rsidRPr="0084252B" w:rsidTr="006853FD">
        <w:trPr>
          <w:cnfStyle w:val="100000000000" w:firstRow="1" w:lastRow="0"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127" w:type="dxa"/>
            <w:hideMark/>
          </w:tcPr>
          <w:p w:rsidR="0084252B" w:rsidRPr="0084252B" w:rsidRDefault="0084252B" w:rsidP="0084252B">
            <w:pPr>
              <w:rPr>
                <w:rFonts w:ascii="Calibri" w:eastAsia="Times New Roman" w:hAnsi="Calibri" w:cs="Calibri"/>
                <w:color w:val="000000"/>
                <w:lang w:eastAsia="en-GB"/>
              </w:rPr>
            </w:pPr>
            <w:r w:rsidRPr="0084252B">
              <w:rPr>
                <w:rFonts w:ascii="Calibri" w:eastAsia="Times New Roman" w:hAnsi="Calibri" w:cs="Calibri"/>
                <w:color w:val="000000"/>
                <w:lang w:eastAsia="en-GB"/>
              </w:rPr>
              <w:lastRenderedPageBreak/>
              <w:t> </w:t>
            </w:r>
          </w:p>
        </w:tc>
        <w:tc>
          <w:tcPr>
            <w:tcW w:w="4252" w:type="dxa"/>
          </w:tcPr>
          <w:p w:rsidR="0084252B" w:rsidRPr="0084252B" w:rsidRDefault="0084252B" w:rsidP="0084252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767" w:type="dxa"/>
            <w:hideMark/>
          </w:tcPr>
          <w:p w:rsidR="0084252B" w:rsidRPr="0084252B" w:rsidRDefault="0084252B" w:rsidP="0084252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Northern Ireland</w:t>
            </w:r>
          </w:p>
        </w:tc>
        <w:tc>
          <w:tcPr>
            <w:tcW w:w="1768" w:type="dxa"/>
            <w:hideMark/>
          </w:tcPr>
          <w:p w:rsidR="0084252B" w:rsidRPr="0084252B" w:rsidRDefault="0084252B" w:rsidP="0084252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Armagh City, Banbridge and Craigavon</w:t>
            </w:r>
          </w:p>
        </w:tc>
      </w:tr>
      <w:tr w:rsidR="006853FD" w:rsidRPr="0084252B" w:rsidTr="006853FD">
        <w:trPr>
          <w:trHeight w:val="216"/>
        </w:trPr>
        <w:tc>
          <w:tcPr>
            <w:cnfStyle w:val="001000000000" w:firstRow="0" w:lastRow="0" w:firstColumn="1" w:lastColumn="0" w:oddVBand="0" w:evenVBand="0" w:oddHBand="0" w:evenHBand="0" w:firstRowFirstColumn="0" w:firstRowLastColumn="0" w:lastRowFirstColumn="0" w:lastRowLastColumn="0"/>
            <w:tcW w:w="6379" w:type="dxa"/>
            <w:gridSpan w:val="2"/>
            <w:hideMark/>
          </w:tcPr>
          <w:p w:rsidR="006853FD" w:rsidRPr="0084252B" w:rsidRDefault="006853FD" w:rsidP="006853FD">
            <w:pPr>
              <w:rPr>
                <w:rFonts w:ascii="Calibri" w:eastAsia="Times New Roman" w:hAnsi="Calibri" w:cs="Calibri"/>
                <w:color w:val="000000"/>
                <w:lang w:eastAsia="en-GB"/>
              </w:rPr>
            </w:pPr>
            <w:r w:rsidRPr="0084252B">
              <w:rPr>
                <w:rFonts w:ascii="Calibri" w:eastAsia="Times New Roman" w:hAnsi="Calibri" w:cs="Calibri"/>
                <w:color w:val="000000"/>
                <w:lang w:eastAsia="en-GB"/>
              </w:rPr>
              <w:t>All usual residents aged 16 and over in households</w:t>
            </w:r>
          </w:p>
        </w:tc>
        <w:tc>
          <w:tcPr>
            <w:tcW w:w="1767" w:type="dxa"/>
            <w:noWrap/>
            <w:hideMark/>
          </w:tcPr>
          <w:p w:rsidR="006853FD" w:rsidRPr="0084252B" w:rsidRDefault="006853FD" w:rsidP="008425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1,488,994</w:t>
            </w:r>
          </w:p>
        </w:tc>
        <w:tc>
          <w:tcPr>
            <w:tcW w:w="1768" w:type="dxa"/>
            <w:noWrap/>
            <w:hideMark/>
          </w:tcPr>
          <w:p w:rsidR="006853FD" w:rsidRPr="0084252B" w:rsidRDefault="006853FD" w:rsidP="008425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168,815</w:t>
            </w:r>
          </w:p>
        </w:tc>
      </w:tr>
      <w:tr w:rsidR="006853FD" w:rsidRPr="0084252B" w:rsidTr="006A79AA">
        <w:trPr>
          <w:trHeight w:val="241"/>
        </w:trPr>
        <w:tc>
          <w:tcPr>
            <w:cnfStyle w:val="001000000000" w:firstRow="0" w:lastRow="0" w:firstColumn="1" w:lastColumn="0" w:oddVBand="0" w:evenVBand="0" w:oddHBand="0" w:evenHBand="0" w:firstRowFirstColumn="0" w:firstRowLastColumn="0" w:lastRowFirstColumn="0" w:lastRowLastColumn="0"/>
            <w:tcW w:w="2127" w:type="dxa"/>
            <w:vMerge w:val="restart"/>
            <w:hideMark/>
          </w:tcPr>
          <w:p w:rsidR="006853FD" w:rsidRPr="0084252B" w:rsidRDefault="006853FD" w:rsidP="006853FD">
            <w:pPr>
              <w:rPr>
                <w:rFonts w:ascii="Calibri" w:eastAsia="Times New Roman" w:hAnsi="Calibri" w:cs="Calibri"/>
                <w:color w:val="000000"/>
                <w:lang w:eastAsia="en-GB"/>
              </w:rPr>
            </w:pPr>
            <w:r w:rsidRPr="0084252B">
              <w:rPr>
                <w:rFonts w:ascii="Calibri" w:eastAsia="Times New Roman" w:hAnsi="Calibri" w:cs="Calibri"/>
                <w:color w:val="000000"/>
                <w:lang w:eastAsia="en-GB"/>
              </w:rPr>
              <w:t>Li</w:t>
            </w:r>
            <w:r>
              <w:rPr>
                <w:rFonts w:ascii="Calibri" w:eastAsia="Times New Roman" w:hAnsi="Calibri" w:cs="Calibri"/>
                <w:color w:val="000000"/>
                <w:lang w:eastAsia="en-GB"/>
              </w:rPr>
              <w:t>ving in an opposite-sex couple</w:t>
            </w: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Married or in a civil partnership</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44.9%</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48.2%</w:t>
            </w:r>
          </w:p>
        </w:tc>
      </w:tr>
      <w:tr w:rsidR="006853FD" w:rsidRPr="0084252B" w:rsidTr="006A79AA">
        <w:trPr>
          <w:trHeight w:val="274"/>
        </w:trPr>
        <w:tc>
          <w:tcPr>
            <w:cnfStyle w:val="001000000000" w:firstRow="0" w:lastRow="0" w:firstColumn="1" w:lastColumn="0" w:oddVBand="0" w:evenVBand="0" w:oddHBand="0" w:evenHBand="0" w:firstRowFirstColumn="0" w:firstRowLastColumn="0" w:lastRowFirstColumn="0" w:lastRowLastColumn="0"/>
            <w:tcW w:w="2127" w:type="dxa"/>
            <w:vMerge/>
          </w:tcPr>
          <w:p w:rsidR="006853FD" w:rsidRPr="0084252B" w:rsidRDefault="006853FD" w:rsidP="006853FD">
            <w:pPr>
              <w:rPr>
                <w:rFonts w:ascii="Calibri" w:eastAsia="Times New Roman" w:hAnsi="Calibri" w:cs="Calibri"/>
                <w:color w:val="000000"/>
                <w:lang w:eastAsia="en-GB"/>
              </w:rPr>
            </w:pP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Cohabiting</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7.8%</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8.3%</w:t>
            </w:r>
          </w:p>
        </w:tc>
      </w:tr>
      <w:tr w:rsidR="006853FD" w:rsidRPr="0084252B" w:rsidTr="006A79AA">
        <w:trPr>
          <w:trHeight w:val="274"/>
        </w:trPr>
        <w:tc>
          <w:tcPr>
            <w:cnfStyle w:val="001000000000" w:firstRow="0" w:lastRow="0" w:firstColumn="1" w:lastColumn="0" w:oddVBand="0" w:evenVBand="0" w:oddHBand="0" w:evenHBand="0" w:firstRowFirstColumn="0" w:firstRowLastColumn="0" w:lastRowFirstColumn="0" w:lastRowLastColumn="0"/>
            <w:tcW w:w="2127" w:type="dxa"/>
            <w:vMerge w:val="restart"/>
            <w:hideMark/>
          </w:tcPr>
          <w:p w:rsidR="006853FD" w:rsidRPr="0084252B" w:rsidRDefault="006853FD" w:rsidP="006853FD">
            <w:pPr>
              <w:rPr>
                <w:rFonts w:ascii="Calibri" w:eastAsia="Times New Roman" w:hAnsi="Calibri" w:cs="Calibri"/>
                <w:color w:val="000000"/>
                <w:lang w:eastAsia="en-GB"/>
              </w:rPr>
            </w:pPr>
            <w:r>
              <w:rPr>
                <w:rFonts w:ascii="Calibri" w:eastAsia="Times New Roman" w:hAnsi="Calibri" w:cs="Calibri"/>
                <w:color w:val="000000"/>
                <w:lang w:eastAsia="en-GB"/>
              </w:rPr>
              <w:t>Living in a same-sex couple</w:t>
            </w: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Married or in a civil partnership</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0.3%</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0.2%</w:t>
            </w:r>
          </w:p>
        </w:tc>
      </w:tr>
      <w:tr w:rsidR="006853FD" w:rsidRPr="0084252B" w:rsidTr="006A79AA">
        <w:trPr>
          <w:trHeight w:val="274"/>
        </w:trPr>
        <w:tc>
          <w:tcPr>
            <w:cnfStyle w:val="001000000000" w:firstRow="0" w:lastRow="0" w:firstColumn="1" w:lastColumn="0" w:oddVBand="0" w:evenVBand="0" w:oddHBand="0" w:evenHBand="0" w:firstRowFirstColumn="0" w:firstRowLastColumn="0" w:lastRowFirstColumn="0" w:lastRowLastColumn="0"/>
            <w:tcW w:w="2127" w:type="dxa"/>
            <w:vMerge/>
            <w:hideMark/>
          </w:tcPr>
          <w:p w:rsidR="006853FD" w:rsidRPr="0084252B" w:rsidRDefault="006853FD" w:rsidP="006853FD">
            <w:pPr>
              <w:rPr>
                <w:rFonts w:ascii="Calibri" w:eastAsia="Times New Roman" w:hAnsi="Calibri" w:cs="Calibri"/>
                <w:color w:val="000000"/>
                <w:lang w:eastAsia="en-GB"/>
              </w:rPr>
            </w:pP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Cohabiting</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0.4%</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0.3%</w:t>
            </w:r>
          </w:p>
        </w:tc>
      </w:tr>
      <w:tr w:rsidR="006853FD" w:rsidRPr="0084252B" w:rsidTr="006A79AA">
        <w:trPr>
          <w:trHeight w:val="577"/>
        </w:trPr>
        <w:tc>
          <w:tcPr>
            <w:cnfStyle w:val="001000000000" w:firstRow="0" w:lastRow="0" w:firstColumn="1" w:lastColumn="0" w:oddVBand="0" w:evenVBand="0" w:oddHBand="0" w:evenHBand="0" w:firstRowFirstColumn="0" w:firstRowLastColumn="0" w:lastRowFirstColumn="0" w:lastRowLastColumn="0"/>
            <w:tcW w:w="2127" w:type="dxa"/>
            <w:vMerge w:val="restart"/>
            <w:hideMark/>
          </w:tcPr>
          <w:p w:rsidR="006853FD" w:rsidRPr="0084252B" w:rsidRDefault="006853FD" w:rsidP="006853FD">
            <w:pPr>
              <w:rPr>
                <w:rFonts w:ascii="Calibri" w:eastAsia="Times New Roman" w:hAnsi="Calibri" w:cs="Calibri"/>
                <w:color w:val="000000"/>
                <w:lang w:eastAsia="en-GB"/>
              </w:rPr>
            </w:pPr>
            <w:r>
              <w:rPr>
                <w:rFonts w:ascii="Calibri" w:eastAsia="Times New Roman" w:hAnsi="Calibri" w:cs="Calibri"/>
                <w:color w:val="000000"/>
                <w:lang w:eastAsia="en-GB"/>
              </w:rPr>
              <w:t>Not living in a couple</w:t>
            </w: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Single (never married or never registered a civil partnership)</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31.4%</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28.5%</w:t>
            </w:r>
          </w:p>
        </w:tc>
      </w:tr>
      <w:tr w:rsidR="006853FD" w:rsidRPr="0084252B" w:rsidTr="006A79AA">
        <w:trPr>
          <w:trHeight w:val="270"/>
        </w:trPr>
        <w:tc>
          <w:tcPr>
            <w:cnfStyle w:val="001000000000" w:firstRow="0" w:lastRow="0" w:firstColumn="1" w:lastColumn="0" w:oddVBand="0" w:evenVBand="0" w:oddHBand="0" w:evenHBand="0" w:firstRowFirstColumn="0" w:firstRowLastColumn="0" w:lastRowFirstColumn="0" w:lastRowLastColumn="0"/>
            <w:tcW w:w="2127" w:type="dxa"/>
            <w:vMerge/>
            <w:hideMark/>
          </w:tcPr>
          <w:p w:rsidR="006853FD" w:rsidRPr="0084252B" w:rsidRDefault="006853FD" w:rsidP="006853FD">
            <w:pPr>
              <w:rPr>
                <w:rFonts w:ascii="Calibri" w:eastAsia="Times New Roman" w:hAnsi="Calibri" w:cs="Calibri"/>
                <w:color w:val="000000"/>
                <w:lang w:eastAsia="en-GB"/>
              </w:rPr>
            </w:pP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Married or in a civil partnership</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0.9%</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0.9%</w:t>
            </w:r>
          </w:p>
        </w:tc>
      </w:tr>
      <w:tr w:rsidR="006853FD" w:rsidRPr="0084252B" w:rsidTr="006A79AA">
        <w:trPr>
          <w:trHeight w:val="562"/>
        </w:trPr>
        <w:tc>
          <w:tcPr>
            <w:cnfStyle w:val="001000000000" w:firstRow="0" w:lastRow="0" w:firstColumn="1" w:lastColumn="0" w:oddVBand="0" w:evenVBand="0" w:oddHBand="0" w:evenHBand="0" w:firstRowFirstColumn="0" w:firstRowLastColumn="0" w:lastRowFirstColumn="0" w:lastRowLastColumn="0"/>
            <w:tcW w:w="2127" w:type="dxa"/>
            <w:vMerge/>
          </w:tcPr>
          <w:p w:rsidR="006853FD" w:rsidRPr="0084252B" w:rsidRDefault="006853FD" w:rsidP="006853FD">
            <w:pPr>
              <w:rPr>
                <w:rFonts w:ascii="Calibri" w:eastAsia="Times New Roman" w:hAnsi="Calibri" w:cs="Calibri"/>
                <w:color w:val="000000"/>
                <w:lang w:eastAsia="en-GB"/>
              </w:rPr>
            </w:pP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Separated (including those who are married and those who are in civil partnerships)</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3.4%</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w:t>
            </w:r>
          </w:p>
        </w:tc>
      </w:tr>
      <w:tr w:rsidR="006853FD" w:rsidRPr="0084252B" w:rsidTr="006A79AA">
        <w:trPr>
          <w:trHeight w:val="570"/>
        </w:trPr>
        <w:tc>
          <w:tcPr>
            <w:cnfStyle w:val="001000000000" w:firstRow="0" w:lastRow="0" w:firstColumn="1" w:lastColumn="0" w:oddVBand="0" w:evenVBand="0" w:oddHBand="0" w:evenHBand="0" w:firstRowFirstColumn="0" w:firstRowLastColumn="0" w:lastRowFirstColumn="0" w:lastRowLastColumn="0"/>
            <w:tcW w:w="2127" w:type="dxa"/>
            <w:vMerge/>
          </w:tcPr>
          <w:p w:rsidR="006853FD" w:rsidRPr="0084252B" w:rsidRDefault="006853FD" w:rsidP="006853FD">
            <w:pPr>
              <w:rPr>
                <w:rFonts w:ascii="Calibri" w:eastAsia="Times New Roman" w:hAnsi="Calibri" w:cs="Calibri"/>
                <w:color w:val="000000"/>
                <w:lang w:eastAsia="en-GB"/>
              </w:rPr>
            </w:pP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Divorced or formerly in a civil partnership which is now legally dissolved</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5.1%</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w:t>
            </w:r>
          </w:p>
        </w:tc>
      </w:tr>
      <w:tr w:rsidR="006853FD" w:rsidRPr="0084252B" w:rsidTr="006A79AA">
        <w:trPr>
          <w:trHeight w:val="420"/>
        </w:trPr>
        <w:tc>
          <w:tcPr>
            <w:cnfStyle w:val="001000000000" w:firstRow="0" w:lastRow="0" w:firstColumn="1" w:lastColumn="0" w:oddVBand="0" w:evenVBand="0" w:oddHBand="0" w:evenHBand="0" w:firstRowFirstColumn="0" w:firstRowLastColumn="0" w:lastRowFirstColumn="0" w:lastRowLastColumn="0"/>
            <w:tcW w:w="2127" w:type="dxa"/>
            <w:vMerge/>
          </w:tcPr>
          <w:p w:rsidR="006853FD" w:rsidRPr="0084252B" w:rsidRDefault="006853FD" w:rsidP="006853FD">
            <w:pPr>
              <w:rPr>
                <w:rFonts w:ascii="Calibri" w:eastAsia="Times New Roman" w:hAnsi="Calibri" w:cs="Calibri"/>
                <w:color w:val="000000"/>
                <w:lang w:eastAsia="en-GB"/>
              </w:rPr>
            </w:pPr>
          </w:p>
        </w:tc>
        <w:tc>
          <w:tcPr>
            <w:tcW w:w="4252" w:type="dxa"/>
          </w:tcPr>
          <w:p w:rsidR="006853FD" w:rsidRPr="0084252B" w:rsidRDefault="006853FD" w:rsidP="006853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4252B">
              <w:rPr>
                <w:rFonts w:ascii="Calibri" w:eastAsia="Times New Roman" w:hAnsi="Calibri" w:cs="Calibri"/>
                <w:color w:val="000000"/>
                <w:lang w:eastAsia="en-GB"/>
              </w:rPr>
              <w:t>Widowed or surviving partner from a civil partnership</w:t>
            </w:r>
          </w:p>
        </w:tc>
        <w:tc>
          <w:tcPr>
            <w:tcW w:w="1767"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5.9%</w:t>
            </w:r>
          </w:p>
        </w:tc>
        <w:tc>
          <w:tcPr>
            <w:tcW w:w="1768" w:type="dxa"/>
            <w:noWrap/>
            <w:vAlign w:val="bottom"/>
            <w:hideMark/>
          </w:tcPr>
          <w:p w:rsidR="006853FD" w:rsidRDefault="006853FD" w:rsidP="0068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5.7%</w:t>
            </w:r>
          </w:p>
        </w:tc>
      </w:tr>
    </w:tbl>
    <w:p w:rsidR="006853FD" w:rsidRDefault="006853FD" w:rsidP="006853FD">
      <w:pPr>
        <w:rPr>
          <w:i/>
          <w:sz w:val="20"/>
          <w:szCs w:val="20"/>
        </w:rPr>
      </w:pPr>
      <w:r w:rsidRPr="00AB25BD">
        <w:rPr>
          <w:i/>
          <w:sz w:val="20"/>
          <w:szCs w:val="20"/>
        </w:rPr>
        <w:t xml:space="preserve">Table </w:t>
      </w:r>
      <w:r>
        <w:rPr>
          <w:i/>
          <w:sz w:val="20"/>
          <w:szCs w:val="20"/>
        </w:rPr>
        <w:t>3</w:t>
      </w:r>
      <w:r w:rsidRPr="00AB25BD">
        <w:rPr>
          <w:i/>
          <w:sz w:val="20"/>
          <w:szCs w:val="20"/>
        </w:rPr>
        <w:t xml:space="preserve">: </w:t>
      </w:r>
      <w:r>
        <w:rPr>
          <w:i/>
          <w:sz w:val="20"/>
          <w:szCs w:val="20"/>
        </w:rPr>
        <w:t>Living Arrangements</w:t>
      </w:r>
      <w:r w:rsidRPr="00AB25BD">
        <w:rPr>
          <w:i/>
          <w:sz w:val="20"/>
          <w:szCs w:val="20"/>
        </w:rPr>
        <w:t>, 2021, Armagh City, Banbridge and Craigavon.   Source: Table</w:t>
      </w:r>
      <w:r>
        <w:rPr>
          <w:i/>
          <w:sz w:val="20"/>
          <w:szCs w:val="20"/>
        </w:rPr>
        <w:t xml:space="preserve"> MS-A29</w:t>
      </w:r>
      <w:r w:rsidRPr="00AB25BD">
        <w:rPr>
          <w:i/>
          <w:sz w:val="20"/>
          <w:szCs w:val="20"/>
        </w:rPr>
        <w:t>, Census 2021.</w:t>
      </w:r>
    </w:p>
    <w:p w:rsidR="008679D4" w:rsidRDefault="00BF022F">
      <w:r>
        <w:t xml:space="preserve">Table </w:t>
      </w:r>
      <w:r w:rsidR="00274837">
        <w:t>4</w:t>
      </w:r>
      <w:r>
        <w:t xml:space="preserve"> below</w:t>
      </w:r>
      <w:r w:rsidR="009A3C56">
        <w:t xml:space="preserve"> shows the population aged </w:t>
      </w:r>
      <w:r>
        <w:t xml:space="preserve">16 and over living in households by relationship status and local government district.  Armagh City, Banbridge and Craigavon has one of the highest proportions of residents living in a couple household.  Belfast and Derry City &amp; Strabane differ from the other nine LGD’s as they had more persons not living in a couple than living in a couple.  Belfast has the highest proportion of residents aged 16+ living in a same-sex couple household at 1.1% which is more than double the percentage in Armagh City, Banbridge and Craigavon at just 0.5%.   </w:t>
      </w:r>
    </w:p>
    <w:p w:rsidR="009A3C56" w:rsidRDefault="009A3C56"/>
    <w:tbl>
      <w:tblPr>
        <w:tblStyle w:val="GridTable1Light"/>
        <w:tblW w:w="9862" w:type="dxa"/>
        <w:tblLayout w:type="fixed"/>
        <w:tblLook w:val="04A0" w:firstRow="1" w:lastRow="0" w:firstColumn="1" w:lastColumn="0" w:noHBand="0" w:noVBand="1"/>
      </w:tblPr>
      <w:tblGrid>
        <w:gridCol w:w="3686"/>
        <w:gridCol w:w="1544"/>
        <w:gridCol w:w="1544"/>
        <w:gridCol w:w="1544"/>
        <w:gridCol w:w="1544"/>
      </w:tblGrid>
      <w:tr w:rsidR="006853FD" w:rsidRPr="006853FD" w:rsidTr="00AE3A3D">
        <w:trPr>
          <w:cnfStyle w:val="100000000000" w:firstRow="1" w:lastRow="0" w:firstColumn="0" w:lastColumn="0" w:oddVBand="0" w:evenVBand="0" w:oddHBand="0"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686" w:type="dxa"/>
            <w:hideMark/>
          </w:tcPr>
          <w:p w:rsidR="006853FD" w:rsidRPr="006853FD" w:rsidRDefault="006853FD" w:rsidP="006853FD">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 </w:t>
            </w:r>
          </w:p>
        </w:tc>
        <w:tc>
          <w:tcPr>
            <w:tcW w:w="1544" w:type="dxa"/>
            <w:hideMark/>
          </w:tcPr>
          <w:p w:rsidR="006853FD" w:rsidRPr="006853FD" w:rsidRDefault="006853FD" w:rsidP="006853F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E3A3D">
              <w:rPr>
                <w:rFonts w:ascii="Calibri" w:eastAsia="Times New Roman" w:hAnsi="Calibri" w:cs="Times New Roman"/>
                <w:bCs w:val="0"/>
                <w:color w:val="000000"/>
                <w:lang w:eastAsia="en-GB"/>
              </w:rPr>
              <w:t>All usual residents aged 16+</w:t>
            </w:r>
          </w:p>
        </w:tc>
        <w:tc>
          <w:tcPr>
            <w:tcW w:w="1544" w:type="dxa"/>
            <w:hideMark/>
          </w:tcPr>
          <w:p w:rsidR="006853FD" w:rsidRPr="006853FD" w:rsidRDefault="006853FD" w:rsidP="006853F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Living in an opposite-sex couple</w:t>
            </w:r>
          </w:p>
        </w:tc>
        <w:tc>
          <w:tcPr>
            <w:tcW w:w="1544" w:type="dxa"/>
            <w:hideMark/>
          </w:tcPr>
          <w:p w:rsidR="006853FD" w:rsidRPr="006853FD" w:rsidRDefault="006853FD" w:rsidP="006853F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Living in a same-sex couple</w:t>
            </w:r>
          </w:p>
        </w:tc>
        <w:tc>
          <w:tcPr>
            <w:tcW w:w="1544" w:type="dxa"/>
            <w:hideMark/>
          </w:tcPr>
          <w:p w:rsidR="006853FD" w:rsidRPr="006853FD" w:rsidRDefault="006853FD" w:rsidP="006853F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Not living in a couple</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Northern Ireland</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1,488,994</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52.7%</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0.6%</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46.6%</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Antrim and Newtownabbey</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114,223</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56.1%</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0.7%</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43.2%</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Armagh City, Banbridge and Craigavon</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168,815</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56.5%</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0.5%</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43.1%</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Belfast</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270,235</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41.1%</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57.7%</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Causeway Coast and Glens</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112,234</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54.6%</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0.4%</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45.0%</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Derry City and Strabane</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117,371</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46.2%</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0.6%</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53.2%</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 xml:space="preserve">Fermanagh and </w:t>
            </w:r>
            <w:proofErr w:type="spellStart"/>
            <w:r w:rsidRPr="006853FD">
              <w:rPr>
                <w:rFonts w:ascii="Calibri" w:eastAsia="Times New Roman" w:hAnsi="Calibri" w:cs="Times New Roman"/>
                <w:color w:val="000000"/>
                <w:lang w:eastAsia="en-GB"/>
              </w:rPr>
              <w:t>Omagh</w:t>
            </w:r>
            <w:proofErr w:type="spellEnd"/>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90,780</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54.4%</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0.4%</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45.2%</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Lisburn and Castlereagh</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116,426</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59.7%</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0.8%</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39.5%</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Mid and East Antrim</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111,888</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56.3%</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0.5%</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43.2%</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Mid Ulster</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114,518</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55.2%</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0.4%</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44.4%</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r w:rsidRPr="006853FD">
              <w:rPr>
                <w:rFonts w:ascii="Calibri" w:eastAsia="Times New Roman" w:hAnsi="Calibri" w:cs="Times New Roman"/>
                <w:color w:val="000000"/>
                <w:lang w:eastAsia="en-GB"/>
              </w:rPr>
              <w:t xml:space="preserve">Newry, </w:t>
            </w:r>
            <w:proofErr w:type="spellStart"/>
            <w:r w:rsidRPr="006853FD">
              <w:rPr>
                <w:rFonts w:ascii="Calibri" w:eastAsia="Times New Roman" w:hAnsi="Calibri" w:cs="Times New Roman"/>
                <w:color w:val="000000"/>
                <w:lang w:eastAsia="en-GB"/>
              </w:rPr>
              <w:t>Mourne</w:t>
            </w:r>
            <w:proofErr w:type="spellEnd"/>
            <w:r w:rsidRPr="006853FD">
              <w:rPr>
                <w:rFonts w:ascii="Calibri" w:eastAsia="Times New Roman" w:hAnsi="Calibri" w:cs="Times New Roman"/>
                <w:color w:val="000000"/>
                <w:lang w:eastAsia="en-GB"/>
              </w:rPr>
              <w:t xml:space="preserve"> and Down</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140,216</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53.9%</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0.5%</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45.6%</w:t>
            </w:r>
          </w:p>
        </w:tc>
      </w:tr>
      <w:tr w:rsidR="003A4713" w:rsidRPr="006853FD" w:rsidTr="006A79AA">
        <w:trPr>
          <w:trHeight w:val="297"/>
        </w:trPr>
        <w:tc>
          <w:tcPr>
            <w:cnfStyle w:val="001000000000" w:firstRow="0" w:lastRow="0" w:firstColumn="1" w:lastColumn="0" w:oddVBand="0" w:evenVBand="0" w:oddHBand="0" w:evenHBand="0" w:firstRowFirstColumn="0" w:firstRowLastColumn="0" w:lastRowFirstColumn="0" w:lastRowLastColumn="0"/>
            <w:tcW w:w="3686" w:type="dxa"/>
            <w:noWrap/>
            <w:hideMark/>
          </w:tcPr>
          <w:p w:rsidR="003A4713" w:rsidRPr="006853FD" w:rsidRDefault="003A4713" w:rsidP="003A4713">
            <w:pPr>
              <w:rPr>
                <w:rFonts w:ascii="Calibri" w:eastAsia="Times New Roman" w:hAnsi="Calibri" w:cs="Times New Roman"/>
                <w:color w:val="000000"/>
                <w:lang w:eastAsia="en-GB"/>
              </w:rPr>
            </w:pPr>
            <w:proofErr w:type="spellStart"/>
            <w:r w:rsidRPr="006853FD">
              <w:rPr>
                <w:rFonts w:ascii="Calibri" w:eastAsia="Times New Roman" w:hAnsi="Calibri" w:cs="Times New Roman"/>
                <w:color w:val="000000"/>
                <w:lang w:eastAsia="en-GB"/>
              </w:rPr>
              <w:t>Ards</w:t>
            </w:r>
            <w:proofErr w:type="spellEnd"/>
            <w:r w:rsidRPr="006853FD">
              <w:rPr>
                <w:rFonts w:ascii="Calibri" w:eastAsia="Times New Roman" w:hAnsi="Calibri" w:cs="Times New Roman"/>
                <w:color w:val="000000"/>
                <w:lang w:eastAsia="en-GB"/>
              </w:rPr>
              <w:t xml:space="preserve"> and North Down</w:t>
            </w:r>
          </w:p>
        </w:tc>
        <w:tc>
          <w:tcPr>
            <w:tcW w:w="1544" w:type="dxa"/>
            <w:noWrap/>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132,288</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58.9%</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0.6%</w:t>
            </w:r>
          </w:p>
        </w:tc>
        <w:tc>
          <w:tcPr>
            <w:tcW w:w="1544" w:type="dxa"/>
            <w:noWrap/>
            <w:vAlign w:val="bottom"/>
            <w:hideMark/>
          </w:tcPr>
          <w:p w:rsidR="003A4713" w:rsidRDefault="003A4713" w:rsidP="003A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40.4%</w:t>
            </w:r>
          </w:p>
        </w:tc>
      </w:tr>
    </w:tbl>
    <w:p w:rsidR="006853FD" w:rsidRPr="00274837" w:rsidRDefault="006853FD" w:rsidP="006853FD">
      <w:pPr>
        <w:rPr>
          <w:i/>
          <w:sz w:val="20"/>
          <w:szCs w:val="20"/>
        </w:rPr>
      </w:pPr>
      <w:r w:rsidRPr="00274837">
        <w:rPr>
          <w:i/>
          <w:sz w:val="20"/>
          <w:szCs w:val="20"/>
        </w:rPr>
        <w:t xml:space="preserve">Table </w:t>
      </w:r>
      <w:r w:rsidR="00AE3A3D" w:rsidRPr="00274837">
        <w:rPr>
          <w:i/>
          <w:sz w:val="20"/>
          <w:szCs w:val="20"/>
        </w:rPr>
        <w:t>4</w:t>
      </w:r>
      <w:r w:rsidRPr="00274837">
        <w:rPr>
          <w:i/>
          <w:sz w:val="20"/>
          <w:szCs w:val="20"/>
        </w:rPr>
        <w:t xml:space="preserve">: </w:t>
      </w:r>
      <w:r w:rsidR="00274837" w:rsidRPr="00274837">
        <w:rPr>
          <w:i/>
          <w:sz w:val="20"/>
          <w:szCs w:val="20"/>
        </w:rPr>
        <w:t xml:space="preserve">Population aged 16 and over living in households by relationship status and </w:t>
      </w:r>
      <w:r w:rsidR="009A4484" w:rsidRPr="00274837">
        <w:rPr>
          <w:i/>
          <w:sz w:val="20"/>
          <w:szCs w:val="20"/>
        </w:rPr>
        <w:t>Local Government District</w:t>
      </w:r>
      <w:r w:rsidR="00274837" w:rsidRPr="00274837">
        <w:rPr>
          <w:i/>
          <w:sz w:val="20"/>
          <w:szCs w:val="20"/>
        </w:rPr>
        <w:t>, 2021</w:t>
      </w:r>
      <w:r w:rsidR="009A4484" w:rsidRPr="00274837">
        <w:rPr>
          <w:i/>
          <w:sz w:val="20"/>
          <w:szCs w:val="20"/>
        </w:rPr>
        <w:t>.</w:t>
      </w:r>
      <w:r w:rsidRPr="00274837">
        <w:rPr>
          <w:i/>
          <w:sz w:val="20"/>
          <w:szCs w:val="20"/>
        </w:rPr>
        <w:t xml:space="preserve">  Source: Table MS-A29, Census 2021.</w:t>
      </w:r>
    </w:p>
    <w:p w:rsidR="006853FD" w:rsidRDefault="006853FD"/>
    <w:p w:rsidR="009A3C56" w:rsidRDefault="009A3C56">
      <w:pPr>
        <w:rPr>
          <w:b/>
          <w:i/>
        </w:rPr>
      </w:pPr>
      <w:r w:rsidRPr="009A3C56">
        <w:rPr>
          <w:b/>
          <w:i/>
        </w:rPr>
        <w:lastRenderedPageBreak/>
        <w:t>Marital and Civil Partnership Status</w:t>
      </w:r>
    </w:p>
    <w:p w:rsidR="00274837" w:rsidRDefault="00A7265A">
      <w:r>
        <w:t>The headline results from Census 2021 for marital status or civil partnership status for all usual residents aged 16 and over living in Armagh City, Banbridge and Craigavon borough and Northern Ireland overall, are presented in Table 5.  The results show that almost 50% of residents aged 16 and over in the borough are married or in a civil partnership (49.2%).  This is 3.4 pps above the Northern Ireland average.  Single people were the next biggest grouping accounting for 35.3% of residents aged 16 and over in the borough and 38.1% of the Northern Ireland population</w:t>
      </w:r>
      <w:r w:rsidR="00982CA2">
        <w:t xml:space="preserve"> aged 16 and over.</w:t>
      </w:r>
      <w:r>
        <w:t xml:space="preserve"> </w:t>
      </w:r>
    </w:p>
    <w:tbl>
      <w:tblPr>
        <w:tblStyle w:val="GridTable1Light"/>
        <w:tblW w:w="9016" w:type="dxa"/>
        <w:tblLayout w:type="fixed"/>
        <w:tblLook w:val="04A0" w:firstRow="1" w:lastRow="0" w:firstColumn="1" w:lastColumn="0" w:noHBand="0" w:noVBand="1"/>
      </w:tblPr>
      <w:tblGrid>
        <w:gridCol w:w="4106"/>
        <w:gridCol w:w="1227"/>
        <w:gridCol w:w="1228"/>
        <w:gridCol w:w="1227"/>
        <w:gridCol w:w="1228"/>
      </w:tblGrid>
      <w:tr w:rsidR="00274837" w:rsidRPr="00274837" w:rsidTr="0027483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106" w:type="dxa"/>
            <w:noWrap/>
            <w:hideMark/>
          </w:tcPr>
          <w:p w:rsidR="00274837" w:rsidRPr="00274837" w:rsidRDefault="00274837" w:rsidP="00274837">
            <w:pPr>
              <w:rPr>
                <w:rFonts w:ascii="Calibri" w:eastAsia="Times New Roman" w:hAnsi="Calibri" w:cs="Calibri"/>
                <w:color w:val="000000"/>
                <w:lang w:eastAsia="en-GB"/>
              </w:rPr>
            </w:pPr>
            <w:r w:rsidRPr="00274837">
              <w:rPr>
                <w:rFonts w:ascii="Calibri" w:eastAsia="Times New Roman" w:hAnsi="Calibri" w:cs="Calibri"/>
                <w:color w:val="000000"/>
                <w:lang w:eastAsia="en-GB"/>
              </w:rPr>
              <w:t> </w:t>
            </w:r>
          </w:p>
        </w:tc>
        <w:tc>
          <w:tcPr>
            <w:tcW w:w="2455" w:type="dxa"/>
            <w:gridSpan w:val="2"/>
            <w:hideMark/>
          </w:tcPr>
          <w:p w:rsidR="00274837" w:rsidRPr="00274837" w:rsidRDefault="00274837" w:rsidP="002748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74837">
              <w:rPr>
                <w:rFonts w:ascii="Calibri" w:eastAsia="Times New Roman" w:hAnsi="Calibri" w:cs="Calibri"/>
                <w:color w:val="000000"/>
                <w:lang w:eastAsia="en-GB"/>
              </w:rPr>
              <w:t>Armagh City, Banbridge and Craigavon</w:t>
            </w:r>
          </w:p>
        </w:tc>
        <w:tc>
          <w:tcPr>
            <w:tcW w:w="2455" w:type="dxa"/>
            <w:gridSpan w:val="2"/>
            <w:hideMark/>
          </w:tcPr>
          <w:p w:rsidR="00274837" w:rsidRPr="00274837" w:rsidRDefault="00274837" w:rsidP="002748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74837">
              <w:rPr>
                <w:rFonts w:ascii="Calibri" w:eastAsia="Times New Roman" w:hAnsi="Calibri" w:cs="Calibri"/>
                <w:color w:val="000000"/>
                <w:lang w:eastAsia="en-GB"/>
              </w:rPr>
              <w:t>Northern Ireland</w:t>
            </w:r>
          </w:p>
        </w:tc>
      </w:tr>
      <w:tr w:rsidR="00274837" w:rsidRPr="00274837" w:rsidTr="00274837">
        <w:trPr>
          <w:trHeight w:val="288"/>
        </w:trPr>
        <w:tc>
          <w:tcPr>
            <w:cnfStyle w:val="001000000000" w:firstRow="0" w:lastRow="0" w:firstColumn="1" w:lastColumn="0" w:oddVBand="0" w:evenVBand="0" w:oddHBand="0" w:evenHBand="0" w:firstRowFirstColumn="0" w:firstRowLastColumn="0" w:lastRowFirstColumn="0" w:lastRowLastColumn="0"/>
            <w:tcW w:w="4106" w:type="dxa"/>
            <w:hideMark/>
          </w:tcPr>
          <w:p w:rsidR="00274837" w:rsidRPr="00274837" w:rsidRDefault="00274837" w:rsidP="00274837">
            <w:pPr>
              <w:rPr>
                <w:rFonts w:ascii="Calibri" w:eastAsia="Times New Roman" w:hAnsi="Calibri" w:cs="Calibri"/>
                <w:color w:val="000000"/>
                <w:lang w:eastAsia="en-GB"/>
              </w:rPr>
            </w:pPr>
            <w:r w:rsidRPr="00274837">
              <w:rPr>
                <w:rFonts w:ascii="Calibri" w:eastAsia="Times New Roman" w:hAnsi="Calibri" w:cs="Calibri"/>
                <w:color w:val="000000"/>
                <w:lang w:eastAsia="en-GB"/>
              </w:rPr>
              <w:t> </w:t>
            </w:r>
          </w:p>
        </w:tc>
        <w:tc>
          <w:tcPr>
            <w:tcW w:w="1227" w:type="dxa"/>
            <w:noWrap/>
            <w:hideMark/>
          </w:tcPr>
          <w:p w:rsidR="00274837" w:rsidRPr="00274837" w:rsidRDefault="00274837" w:rsidP="002748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74837">
              <w:rPr>
                <w:rFonts w:ascii="Calibri" w:eastAsia="Times New Roman" w:hAnsi="Calibri" w:cs="Calibri"/>
                <w:b/>
                <w:bCs/>
                <w:color w:val="000000"/>
                <w:lang w:eastAsia="en-GB"/>
              </w:rPr>
              <w:t>Number</w:t>
            </w:r>
          </w:p>
        </w:tc>
        <w:tc>
          <w:tcPr>
            <w:tcW w:w="1228" w:type="dxa"/>
            <w:noWrap/>
            <w:hideMark/>
          </w:tcPr>
          <w:p w:rsidR="00274837" w:rsidRPr="00274837" w:rsidRDefault="00274837" w:rsidP="002748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74837">
              <w:rPr>
                <w:rFonts w:ascii="Calibri" w:eastAsia="Times New Roman" w:hAnsi="Calibri" w:cs="Calibri"/>
                <w:b/>
                <w:bCs/>
                <w:color w:val="000000"/>
                <w:lang w:eastAsia="en-GB"/>
              </w:rPr>
              <w:t>%</w:t>
            </w:r>
          </w:p>
        </w:tc>
        <w:tc>
          <w:tcPr>
            <w:tcW w:w="1227" w:type="dxa"/>
            <w:noWrap/>
            <w:hideMark/>
          </w:tcPr>
          <w:p w:rsidR="00274837" w:rsidRPr="00274837" w:rsidRDefault="00274837" w:rsidP="002748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74837">
              <w:rPr>
                <w:rFonts w:ascii="Calibri" w:eastAsia="Times New Roman" w:hAnsi="Calibri" w:cs="Calibri"/>
                <w:b/>
                <w:bCs/>
                <w:color w:val="000000"/>
                <w:lang w:eastAsia="en-GB"/>
              </w:rPr>
              <w:t>Number</w:t>
            </w:r>
          </w:p>
        </w:tc>
        <w:tc>
          <w:tcPr>
            <w:tcW w:w="1228" w:type="dxa"/>
            <w:noWrap/>
            <w:hideMark/>
          </w:tcPr>
          <w:p w:rsidR="00274837" w:rsidRPr="00274837" w:rsidRDefault="00274837" w:rsidP="002748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74837">
              <w:rPr>
                <w:rFonts w:ascii="Calibri" w:eastAsia="Times New Roman" w:hAnsi="Calibri" w:cs="Calibri"/>
                <w:b/>
                <w:bCs/>
                <w:color w:val="000000"/>
                <w:lang w:eastAsia="en-GB"/>
              </w:rPr>
              <w:t>%</w:t>
            </w:r>
          </w:p>
        </w:tc>
      </w:tr>
      <w:tr w:rsidR="00C20484" w:rsidRPr="00274837" w:rsidTr="006A79AA">
        <w:trPr>
          <w:trHeight w:val="288"/>
        </w:trPr>
        <w:tc>
          <w:tcPr>
            <w:cnfStyle w:val="001000000000" w:firstRow="0" w:lastRow="0" w:firstColumn="1" w:lastColumn="0" w:oddVBand="0" w:evenVBand="0" w:oddHBand="0" w:evenHBand="0" w:firstRowFirstColumn="0" w:firstRowLastColumn="0" w:lastRowFirstColumn="0" w:lastRowLastColumn="0"/>
            <w:tcW w:w="4106" w:type="dxa"/>
            <w:hideMark/>
          </w:tcPr>
          <w:p w:rsidR="00C20484" w:rsidRPr="00274837" w:rsidRDefault="00C20484" w:rsidP="00C20484">
            <w:pPr>
              <w:jc w:val="right"/>
              <w:rPr>
                <w:rFonts w:ascii="Calibri" w:eastAsia="Times New Roman" w:hAnsi="Calibri" w:cs="Calibri"/>
                <w:color w:val="000000"/>
                <w:lang w:eastAsia="en-GB"/>
              </w:rPr>
            </w:pPr>
            <w:r w:rsidRPr="00274837">
              <w:rPr>
                <w:rFonts w:ascii="Calibri" w:eastAsia="Times New Roman" w:hAnsi="Calibri" w:cs="Calibri"/>
                <w:color w:val="000000"/>
                <w:lang w:eastAsia="en-GB"/>
              </w:rPr>
              <w:t>All usual residents aged 16 and over</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170,411</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100.0%</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1,514,743</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100.0%</w:t>
            </w:r>
          </w:p>
        </w:tc>
      </w:tr>
      <w:tr w:rsidR="00C20484" w:rsidRPr="00274837" w:rsidTr="006A79AA">
        <w:trPr>
          <w:trHeight w:val="576"/>
        </w:trPr>
        <w:tc>
          <w:tcPr>
            <w:cnfStyle w:val="001000000000" w:firstRow="0" w:lastRow="0" w:firstColumn="1" w:lastColumn="0" w:oddVBand="0" w:evenVBand="0" w:oddHBand="0" w:evenHBand="0" w:firstRowFirstColumn="0" w:firstRowLastColumn="0" w:lastRowFirstColumn="0" w:lastRowLastColumn="0"/>
            <w:tcW w:w="4106" w:type="dxa"/>
            <w:hideMark/>
          </w:tcPr>
          <w:p w:rsidR="00C20484" w:rsidRPr="00274837" w:rsidRDefault="00C20484" w:rsidP="00C20484">
            <w:pPr>
              <w:jc w:val="right"/>
              <w:rPr>
                <w:rFonts w:ascii="Calibri" w:eastAsia="Times New Roman" w:hAnsi="Calibri" w:cs="Calibri"/>
                <w:color w:val="000000"/>
                <w:lang w:eastAsia="en-GB"/>
              </w:rPr>
            </w:pPr>
            <w:r w:rsidRPr="00274837">
              <w:rPr>
                <w:rFonts w:ascii="Calibri" w:eastAsia="Times New Roman" w:hAnsi="Calibri" w:cs="Calibri"/>
                <w:color w:val="000000"/>
                <w:lang w:eastAsia="en-GB"/>
              </w:rPr>
              <w:t>Single (never married or never registered civil partnership)</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60,075</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35.3%</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576,708</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38.1%</w:t>
            </w:r>
          </w:p>
        </w:tc>
      </w:tr>
      <w:tr w:rsidR="00C20484" w:rsidRPr="00274837" w:rsidTr="006A79AA">
        <w:trPr>
          <w:trHeight w:val="288"/>
        </w:trPr>
        <w:tc>
          <w:tcPr>
            <w:cnfStyle w:val="001000000000" w:firstRow="0" w:lastRow="0" w:firstColumn="1" w:lastColumn="0" w:oddVBand="0" w:evenVBand="0" w:oddHBand="0" w:evenHBand="0" w:firstRowFirstColumn="0" w:firstRowLastColumn="0" w:lastRowFirstColumn="0" w:lastRowLastColumn="0"/>
            <w:tcW w:w="4106" w:type="dxa"/>
            <w:hideMark/>
          </w:tcPr>
          <w:p w:rsidR="00C20484" w:rsidRPr="00274837" w:rsidRDefault="00C20484" w:rsidP="00C20484">
            <w:pPr>
              <w:jc w:val="right"/>
              <w:rPr>
                <w:rFonts w:ascii="Calibri" w:eastAsia="Times New Roman" w:hAnsi="Calibri" w:cs="Calibri"/>
                <w:color w:val="000000"/>
                <w:lang w:eastAsia="en-GB"/>
              </w:rPr>
            </w:pPr>
            <w:r w:rsidRPr="00274837">
              <w:rPr>
                <w:rFonts w:ascii="Calibri" w:eastAsia="Times New Roman" w:hAnsi="Calibri" w:cs="Calibri"/>
                <w:color w:val="000000"/>
                <w:lang w:eastAsia="en-GB"/>
              </w:rPr>
              <w:t>Married</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83,523</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49.0%</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690,509</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45.6%</w:t>
            </w:r>
          </w:p>
        </w:tc>
      </w:tr>
      <w:tr w:rsidR="00C20484" w:rsidRPr="00274837" w:rsidTr="006A79AA">
        <w:trPr>
          <w:trHeight w:val="288"/>
        </w:trPr>
        <w:tc>
          <w:tcPr>
            <w:cnfStyle w:val="001000000000" w:firstRow="0" w:lastRow="0" w:firstColumn="1" w:lastColumn="0" w:oddVBand="0" w:evenVBand="0" w:oddHBand="0" w:evenHBand="0" w:firstRowFirstColumn="0" w:firstRowLastColumn="0" w:lastRowFirstColumn="0" w:lastRowLastColumn="0"/>
            <w:tcW w:w="4106" w:type="dxa"/>
            <w:hideMark/>
          </w:tcPr>
          <w:p w:rsidR="00C20484" w:rsidRPr="00274837" w:rsidRDefault="00C20484" w:rsidP="00C20484">
            <w:pPr>
              <w:jc w:val="right"/>
              <w:rPr>
                <w:rFonts w:ascii="Calibri" w:eastAsia="Times New Roman" w:hAnsi="Calibri" w:cs="Calibri"/>
                <w:color w:val="000000"/>
                <w:lang w:eastAsia="en-GB"/>
              </w:rPr>
            </w:pPr>
            <w:r w:rsidRPr="00274837">
              <w:rPr>
                <w:rFonts w:ascii="Calibri" w:eastAsia="Times New Roman" w:hAnsi="Calibri" w:cs="Calibri"/>
                <w:color w:val="000000"/>
                <w:lang w:eastAsia="en-GB"/>
              </w:rPr>
              <w:t>In a civil partnership</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307</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0.2%</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2,742</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0.2%</w:t>
            </w:r>
          </w:p>
        </w:tc>
      </w:tr>
      <w:tr w:rsidR="00C20484" w:rsidRPr="00274837" w:rsidTr="006A79AA">
        <w:trPr>
          <w:trHeight w:val="576"/>
        </w:trPr>
        <w:tc>
          <w:tcPr>
            <w:cnfStyle w:val="001000000000" w:firstRow="0" w:lastRow="0" w:firstColumn="1" w:lastColumn="0" w:oddVBand="0" w:evenVBand="0" w:oddHBand="0" w:evenHBand="0" w:firstRowFirstColumn="0" w:firstRowLastColumn="0" w:lastRowFirstColumn="0" w:lastRowLastColumn="0"/>
            <w:tcW w:w="4106" w:type="dxa"/>
            <w:hideMark/>
          </w:tcPr>
          <w:p w:rsidR="00C20484" w:rsidRPr="00274837" w:rsidRDefault="00C20484" w:rsidP="00C20484">
            <w:pPr>
              <w:jc w:val="right"/>
              <w:rPr>
                <w:rFonts w:ascii="Calibri" w:eastAsia="Times New Roman" w:hAnsi="Calibri" w:cs="Calibri"/>
                <w:color w:val="000000"/>
                <w:lang w:eastAsia="en-GB"/>
              </w:rPr>
            </w:pPr>
            <w:r w:rsidRPr="00274837">
              <w:rPr>
                <w:rFonts w:ascii="Calibri" w:eastAsia="Times New Roman" w:hAnsi="Calibri" w:cs="Calibri"/>
                <w:color w:val="000000"/>
                <w:lang w:eastAsia="en-GB"/>
              </w:rPr>
              <w:t>Separated (but still legally married or still legally in a civil partnership)</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5,833</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57,272</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w:t>
            </w:r>
          </w:p>
        </w:tc>
      </w:tr>
      <w:tr w:rsidR="00C20484" w:rsidRPr="00274837" w:rsidTr="006A79AA">
        <w:trPr>
          <w:trHeight w:val="576"/>
        </w:trPr>
        <w:tc>
          <w:tcPr>
            <w:cnfStyle w:val="001000000000" w:firstRow="0" w:lastRow="0" w:firstColumn="1" w:lastColumn="0" w:oddVBand="0" w:evenVBand="0" w:oddHBand="0" w:evenHBand="0" w:firstRowFirstColumn="0" w:firstRowLastColumn="0" w:lastRowFirstColumn="0" w:lastRowLastColumn="0"/>
            <w:tcW w:w="4106" w:type="dxa"/>
            <w:hideMark/>
          </w:tcPr>
          <w:p w:rsidR="00C20484" w:rsidRPr="00274837" w:rsidRDefault="00C20484" w:rsidP="00C20484">
            <w:pPr>
              <w:jc w:val="right"/>
              <w:rPr>
                <w:rFonts w:ascii="Calibri" w:eastAsia="Times New Roman" w:hAnsi="Calibri" w:cs="Calibri"/>
                <w:color w:val="000000"/>
                <w:lang w:eastAsia="en-GB"/>
              </w:rPr>
            </w:pPr>
            <w:r w:rsidRPr="00274837">
              <w:rPr>
                <w:rFonts w:ascii="Calibri" w:eastAsia="Times New Roman" w:hAnsi="Calibri" w:cs="Calibri"/>
                <w:color w:val="000000"/>
                <w:lang w:eastAsia="en-GB"/>
              </w:rPr>
              <w:t>Divorced or formerly in a civil partnership which is now legally dissolved</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10,253</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6.0%</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91,128</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6.0%</w:t>
            </w:r>
          </w:p>
        </w:tc>
      </w:tr>
      <w:tr w:rsidR="00C20484" w:rsidRPr="00274837" w:rsidTr="006A79AA">
        <w:trPr>
          <w:trHeight w:val="288"/>
        </w:trPr>
        <w:tc>
          <w:tcPr>
            <w:cnfStyle w:val="001000000000" w:firstRow="0" w:lastRow="0" w:firstColumn="1" w:lastColumn="0" w:oddVBand="0" w:evenVBand="0" w:oddHBand="0" w:evenHBand="0" w:firstRowFirstColumn="0" w:firstRowLastColumn="0" w:lastRowFirstColumn="0" w:lastRowLastColumn="0"/>
            <w:tcW w:w="4106" w:type="dxa"/>
            <w:hideMark/>
          </w:tcPr>
          <w:p w:rsidR="00C20484" w:rsidRPr="00274837" w:rsidRDefault="00C20484" w:rsidP="00C20484">
            <w:pPr>
              <w:jc w:val="right"/>
              <w:rPr>
                <w:rFonts w:ascii="Calibri" w:eastAsia="Times New Roman" w:hAnsi="Calibri" w:cs="Calibri"/>
                <w:color w:val="000000"/>
                <w:lang w:eastAsia="en-GB"/>
              </w:rPr>
            </w:pPr>
            <w:r w:rsidRPr="00274837">
              <w:rPr>
                <w:rFonts w:ascii="Calibri" w:eastAsia="Times New Roman" w:hAnsi="Calibri" w:cs="Calibri"/>
                <w:color w:val="000000"/>
                <w:lang w:eastAsia="en-GB"/>
              </w:rPr>
              <w:t>Widowed or surviving partner from a civil partnership</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10,420</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6.1%</w:t>
            </w:r>
          </w:p>
        </w:tc>
        <w:tc>
          <w:tcPr>
            <w:tcW w:w="1227"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96,384</w:t>
            </w:r>
          </w:p>
        </w:tc>
        <w:tc>
          <w:tcPr>
            <w:tcW w:w="1228" w:type="dxa"/>
            <w:noWrap/>
            <w:vAlign w:val="center"/>
            <w:hideMark/>
          </w:tcPr>
          <w:p w:rsidR="00C20484" w:rsidRDefault="00C20484" w:rsidP="00C204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6.4%</w:t>
            </w:r>
          </w:p>
        </w:tc>
      </w:tr>
    </w:tbl>
    <w:p w:rsidR="00106B87" w:rsidRPr="00274837" w:rsidRDefault="00106B87" w:rsidP="00106B87">
      <w:pPr>
        <w:rPr>
          <w:i/>
          <w:sz w:val="20"/>
          <w:szCs w:val="20"/>
        </w:rPr>
      </w:pPr>
      <w:r w:rsidRPr="00106B87">
        <w:rPr>
          <w:i/>
          <w:sz w:val="20"/>
          <w:szCs w:val="20"/>
        </w:rPr>
        <w:t>Table 5: Marital or civil partnership status, Armagh City, Banbridge and Craigavon Borough and Northern Ireland, 2021.  Source: Table MS-A30, Census</w:t>
      </w:r>
      <w:r w:rsidRPr="00274837">
        <w:rPr>
          <w:i/>
          <w:sz w:val="20"/>
          <w:szCs w:val="20"/>
        </w:rPr>
        <w:t xml:space="preserve"> 2021.</w:t>
      </w:r>
    </w:p>
    <w:p w:rsidR="00274837" w:rsidRDefault="00982CA2">
      <w:r>
        <w:t>In the ten year period between the 2011 and 2021 Census there was a change in the law in relation to marriage and civil partnership.  A summary of the changes in Northern Ireland is given below:</w:t>
      </w:r>
    </w:p>
    <w:p w:rsidR="00982CA2" w:rsidRDefault="00982CA2" w:rsidP="00982CA2">
      <w:pPr>
        <w:pStyle w:val="ListParagraph"/>
        <w:numPr>
          <w:ilvl w:val="0"/>
          <w:numId w:val="1"/>
        </w:numPr>
      </w:pPr>
      <w:r>
        <w:t>Civil partnership for opposite-sex couples became legal in late 2019;</w:t>
      </w:r>
    </w:p>
    <w:p w:rsidR="00982CA2" w:rsidRDefault="00982CA2" w:rsidP="00982CA2">
      <w:pPr>
        <w:pStyle w:val="ListParagraph"/>
        <w:numPr>
          <w:ilvl w:val="0"/>
          <w:numId w:val="1"/>
        </w:numPr>
      </w:pPr>
      <w:r>
        <w:t>Marriage for same-sex couple became legal in 2020; and</w:t>
      </w:r>
    </w:p>
    <w:p w:rsidR="00982CA2" w:rsidRDefault="00982CA2" w:rsidP="00982CA2">
      <w:pPr>
        <w:pStyle w:val="ListParagraph"/>
        <w:numPr>
          <w:ilvl w:val="0"/>
          <w:numId w:val="1"/>
        </w:numPr>
      </w:pPr>
      <w:r>
        <w:t>In late 2020 a couple in a civil partnership could convert their status from civil partnership to marriage</w:t>
      </w:r>
      <w:r>
        <w:rPr>
          <w:rStyle w:val="FootnoteReference"/>
        </w:rPr>
        <w:footnoteReference w:id="1"/>
      </w:r>
      <w:r>
        <w:t xml:space="preserve">. </w:t>
      </w:r>
    </w:p>
    <w:p w:rsidR="00274837" w:rsidRDefault="00982CA2">
      <w:r>
        <w:t xml:space="preserve">However, questions asked in the 2011 and 2021 Census with regards partnership status are very similar thus allowing for comparisons over time.  Figure 1 shows the marital or civil partnership status of residents of the borough aged 16 and over in 2011 and 2021.  </w:t>
      </w:r>
      <w:r w:rsidR="003E248C">
        <w:t xml:space="preserve">The figures show a fall in the percentage of people who were married from 51% in 2011 to 49% in 2021.  The percentage of people who were single (never married or in a civil-partnership) has increased by 1.7pps from 33.6% in 2011 to 35.3% in 2021. </w:t>
      </w:r>
      <w:r w:rsidR="00C97EAC">
        <w:t xml:space="preserve">The percentage of residents aged 16 and over who have been divorced has increased from 5.2% in 2011 to 6% in 2021.  </w:t>
      </w:r>
    </w:p>
    <w:p w:rsidR="00106B87" w:rsidRPr="00274837" w:rsidRDefault="00274837" w:rsidP="00106B87">
      <w:pPr>
        <w:rPr>
          <w:i/>
          <w:sz w:val="20"/>
          <w:szCs w:val="20"/>
        </w:rPr>
      </w:pPr>
      <w:r>
        <w:rPr>
          <w:noProof/>
          <w:lang w:eastAsia="en-GB"/>
        </w:rPr>
        <w:lastRenderedPageBreak/>
        <w:drawing>
          <wp:inline distT="0" distB="0" distL="0" distR="0" wp14:anchorId="1F15201B" wp14:editId="257080FB">
            <wp:extent cx="5753100" cy="2876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06B87" w:rsidRPr="00106B87">
        <w:rPr>
          <w:i/>
          <w:sz w:val="20"/>
          <w:szCs w:val="20"/>
        </w:rPr>
        <w:t xml:space="preserve"> </w:t>
      </w:r>
      <w:r w:rsidR="00106B87">
        <w:rPr>
          <w:i/>
          <w:sz w:val="20"/>
          <w:szCs w:val="20"/>
        </w:rPr>
        <w:t>Figure 1</w:t>
      </w:r>
      <w:r w:rsidR="00106B87" w:rsidRPr="00106B87">
        <w:rPr>
          <w:i/>
          <w:sz w:val="20"/>
          <w:szCs w:val="20"/>
        </w:rPr>
        <w:t>: Marital or civil partnership status, Armagh City, Banbridge and Craigavon Borough</w:t>
      </w:r>
      <w:r w:rsidR="00106B87">
        <w:rPr>
          <w:i/>
          <w:sz w:val="20"/>
          <w:szCs w:val="20"/>
        </w:rPr>
        <w:t>, 2011 &amp;</w:t>
      </w:r>
      <w:r w:rsidR="00106B87" w:rsidRPr="00106B87">
        <w:rPr>
          <w:i/>
          <w:sz w:val="20"/>
          <w:szCs w:val="20"/>
        </w:rPr>
        <w:t xml:space="preserve"> 2021.  Source: Table MS-A30, Census</w:t>
      </w:r>
      <w:r w:rsidR="00106B87">
        <w:rPr>
          <w:i/>
          <w:sz w:val="20"/>
          <w:szCs w:val="20"/>
        </w:rPr>
        <w:t xml:space="preserve"> 2021 and Table KS103NI, Census 2011. </w:t>
      </w:r>
    </w:p>
    <w:p w:rsidR="00BC6AC7" w:rsidRDefault="00BC6AC7">
      <w:pPr>
        <w:rPr>
          <w:b/>
          <w:i/>
        </w:rPr>
      </w:pPr>
    </w:p>
    <w:p w:rsidR="00274837" w:rsidRDefault="00BC6AC7">
      <w:pPr>
        <w:rPr>
          <w:b/>
          <w:i/>
        </w:rPr>
      </w:pPr>
      <w:r w:rsidRPr="00BC6AC7">
        <w:rPr>
          <w:b/>
          <w:i/>
        </w:rPr>
        <w:t xml:space="preserve">Sexual Orientation </w:t>
      </w:r>
    </w:p>
    <w:p w:rsidR="0091450C" w:rsidRDefault="00BC6AC7">
      <w:r>
        <w:t xml:space="preserve">The question on sexual orientation was new for the 2021 Census and was asked of all people aged 16 and over.  However, while completing the census is a legal obligation, there was no statutory penalty for those people who failed to provide an answer to the question on sexual orientation.  </w:t>
      </w:r>
    </w:p>
    <w:tbl>
      <w:tblPr>
        <w:tblStyle w:val="GridTable1Light"/>
        <w:tblW w:w="9300" w:type="dxa"/>
        <w:tblLayout w:type="fixed"/>
        <w:tblLook w:val="04A0" w:firstRow="1" w:lastRow="0" w:firstColumn="1" w:lastColumn="0" w:noHBand="0" w:noVBand="1"/>
      </w:tblPr>
      <w:tblGrid>
        <w:gridCol w:w="3740"/>
        <w:gridCol w:w="1390"/>
        <w:gridCol w:w="1390"/>
        <w:gridCol w:w="1390"/>
        <w:gridCol w:w="1390"/>
      </w:tblGrid>
      <w:tr w:rsidR="0091450C" w:rsidRPr="0091450C" w:rsidTr="0091450C">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color w:val="000000"/>
                <w:lang w:eastAsia="en-GB"/>
              </w:rPr>
            </w:pPr>
            <w:r w:rsidRPr="0091450C">
              <w:rPr>
                <w:rFonts w:ascii="Calibri" w:eastAsia="Times New Roman" w:hAnsi="Calibri" w:cs="Calibri"/>
                <w:color w:val="000000"/>
                <w:lang w:eastAsia="en-GB"/>
              </w:rPr>
              <w:t> </w:t>
            </w:r>
          </w:p>
        </w:tc>
        <w:tc>
          <w:tcPr>
            <w:tcW w:w="2780" w:type="dxa"/>
            <w:gridSpan w:val="2"/>
            <w:hideMark/>
          </w:tcPr>
          <w:p w:rsidR="0091450C" w:rsidRPr="0091450C" w:rsidRDefault="0091450C" w:rsidP="00914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50C">
              <w:rPr>
                <w:rFonts w:ascii="Calibri" w:eastAsia="Times New Roman" w:hAnsi="Calibri" w:cs="Calibri"/>
                <w:color w:val="000000"/>
                <w:lang w:eastAsia="en-GB"/>
              </w:rPr>
              <w:t>Armagh City, Banbridge and Craigavon</w:t>
            </w:r>
          </w:p>
        </w:tc>
        <w:tc>
          <w:tcPr>
            <w:tcW w:w="2780" w:type="dxa"/>
            <w:gridSpan w:val="2"/>
            <w:noWrap/>
            <w:hideMark/>
          </w:tcPr>
          <w:p w:rsidR="0091450C" w:rsidRPr="0091450C" w:rsidRDefault="0091450C" w:rsidP="00914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50C">
              <w:rPr>
                <w:rFonts w:ascii="Calibri" w:eastAsia="Times New Roman" w:hAnsi="Calibri" w:cs="Calibri"/>
                <w:color w:val="000000"/>
                <w:lang w:eastAsia="en-GB"/>
              </w:rPr>
              <w:t>Northern Ireland</w:t>
            </w:r>
          </w:p>
        </w:tc>
      </w:tr>
      <w:tr w:rsidR="0091450C" w:rsidRPr="0091450C" w:rsidTr="0091450C">
        <w:trPr>
          <w:trHeight w:val="304"/>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color w:val="000000"/>
                <w:lang w:eastAsia="en-GB"/>
              </w:rPr>
            </w:pPr>
            <w:r w:rsidRPr="0091450C">
              <w:rPr>
                <w:rFonts w:ascii="Calibri" w:eastAsia="Times New Roman" w:hAnsi="Calibri" w:cs="Calibri"/>
                <w:color w:val="000000"/>
                <w:lang w:eastAsia="en-GB"/>
              </w:rPr>
              <w:t> </w:t>
            </w:r>
          </w:p>
        </w:tc>
        <w:tc>
          <w:tcPr>
            <w:tcW w:w="1390" w:type="dxa"/>
            <w:noWrap/>
            <w:hideMark/>
          </w:tcPr>
          <w:p w:rsidR="0091450C" w:rsidRPr="0091450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50C">
              <w:rPr>
                <w:rFonts w:ascii="Calibri" w:eastAsia="Times New Roman" w:hAnsi="Calibri" w:cs="Calibri"/>
                <w:b/>
                <w:bCs/>
                <w:color w:val="000000"/>
                <w:lang w:eastAsia="en-GB"/>
              </w:rPr>
              <w:t>Number</w:t>
            </w:r>
          </w:p>
        </w:tc>
        <w:tc>
          <w:tcPr>
            <w:tcW w:w="1390" w:type="dxa"/>
            <w:noWrap/>
            <w:hideMark/>
          </w:tcPr>
          <w:p w:rsidR="0091450C" w:rsidRPr="0091450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50C">
              <w:rPr>
                <w:rFonts w:ascii="Calibri" w:eastAsia="Times New Roman" w:hAnsi="Calibri" w:cs="Calibri"/>
                <w:b/>
                <w:bCs/>
                <w:color w:val="000000"/>
                <w:lang w:eastAsia="en-GB"/>
              </w:rPr>
              <w:t>%</w:t>
            </w:r>
          </w:p>
        </w:tc>
        <w:tc>
          <w:tcPr>
            <w:tcW w:w="1390" w:type="dxa"/>
            <w:noWrap/>
            <w:hideMark/>
          </w:tcPr>
          <w:p w:rsidR="0091450C" w:rsidRPr="0091450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50C">
              <w:rPr>
                <w:rFonts w:ascii="Calibri" w:eastAsia="Times New Roman" w:hAnsi="Calibri" w:cs="Calibri"/>
                <w:b/>
                <w:bCs/>
                <w:color w:val="000000"/>
                <w:lang w:eastAsia="en-GB"/>
              </w:rPr>
              <w:t>Number</w:t>
            </w:r>
          </w:p>
        </w:tc>
        <w:tc>
          <w:tcPr>
            <w:tcW w:w="1390" w:type="dxa"/>
            <w:noWrap/>
            <w:hideMark/>
          </w:tcPr>
          <w:p w:rsidR="0091450C" w:rsidRPr="0091450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50C">
              <w:rPr>
                <w:rFonts w:ascii="Calibri" w:eastAsia="Times New Roman" w:hAnsi="Calibri" w:cs="Calibri"/>
                <w:b/>
                <w:bCs/>
                <w:color w:val="000000"/>
                <w:lang w:eastAsia="en-GB"/>
              </w:rPr>
              <w:t>%</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b w:val="0"/>
                <w:color w:val="000000"/>
                <w:lang w:eastAsia="en-GB"/>
              </w:rPr>
            </w:pPr>
            <w:r w:rsidRPr="0091450C">
              <w:rPr>
                <w:rFonts w:ascii="Calibri" w:eastAsia="Times New Roman" w:hAnsi="Calibri" w:cs="Calibri"/>
                <w:b w:val="0"/>
                <w:color w:val="000000"/>
                <w:lang w:eastAsia="en-GB"/>
              </w:rPr>
              <w:t>All usual residents aged 16 and over</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170,413</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100.0%</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1,514,743</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100.0%</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color w:val="000000"/>
                <w:lang w:eastAsia="en-GB"/>
              </w:rPr>
            </w:pPr>
            <w:r w:rsidRPr="0091450C">
              <w:rPr>
                <w:rFonts w:ascii="Calibri" w:eastAsia="Times New Roman" w:hAnsi="Calibri" w:cs="Calibri"/>
                <w:color w:val="000000"/>
                <w:lang w:eastAsia="en-GB"/>
              </w:rPr>
              <w:t>Straight or heterosexual</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154,259</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90.5%</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1,363,859</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90.0%</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color w:val="000000"/>
                <w:lang w:eastAsia="en-GB"/>
              </w:rPr>
            </w:pPr>
            <w:r w:rsidRPr="0091450C">
              <w:rPr>
                <w:rFonts w:ascii="Calibri" w:eastAsia="Times New Roman" w:hAnsi="Calibri" w:cs="Calibri"/>
                <w:color w:val="000000"/>
                <w:lang w:eastAsia="en-GB"/>
              </w:rPr>
              <w:t>Lesbian, gay, bisexual or other (LGB+)</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2,497</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1.5%</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31,616</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2.1%</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b w:val="0"/>
                <w:color w:val="000000"/>
                <w:lang w:eastAsia="en-GB"/>
              </w:rPr>
            </w:pPr>
            <w:r w:rsidRPr="0091450C">
              <w:rPr>
                <w:rFonts w:ascii="Calibri" w:eastAsia="Times New Roman" w:hAnsi="Calibri" w:cs="Calibri"/>
                <w:b w:val="0"/>
                <w:color w:val="000000"/>
                <w:lang w:eastAsia="en-GB"/>
              </w:rPr>
              <w:t>Gay or lesbian</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1,378</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0.8%</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17,713</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1.2%</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b w:val="0"/>
                <w:color w:val="000000"/>
                <w:lang w:eastAsia="en-GB"/>
              </w:rPr>
            </w:pPr>
            <w:r w:rsidRPr="0091450C">
              <w:rPr>
                <w:rFonts w:ascii="Calibri" w:eastAsia="Times New Roman" w:hAnsi="Calibri" w:cs="Calibri"/>
                <w:b w:val="0"/>
                <w:color w:val="000000"/>
                <w:lang w:eastAsia="en-GB"/>
              </w:rPr>
              <w:t>Bisexual</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901</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0.5%</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11,306</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0.7%</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b w:val="0"/>
                <w:color w:val="000000"/>
                <w:lang w:eastAsia="en-GB"/>
              </w:rPr>
            </w:pPr>
            <w:r w:rsidRPr="0091450C">
              <w:rPr>
                <w:rFonts w:ascii="Calibri" w:eastAsia="Times New Roman" w:hAnsi="Calibri" w:cs="Calibri"/>
                <w:b w:val="0"/>
                <w:color w:val="000000"/>
                <w:lang w:eastAsia="en-GB"/>
              </w:rPr>
              <w:t>Other sexual orientation</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218</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0.1%</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2,597</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0.2%</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color w:val="000000"/>
                <w:lang w:eastAsia="en-GB"/>
              </w:rPr>
            </w:pPr>
            <w:r w:rsidRPr="0091450C">
              <w:rPr>
                <w:rFonts w:ascii="Calibri" w:eastAsia="Times New Roman" w:hAnsi="Calibri" w:cs="Calibri"/>
                <w:color w:val="000000"/>
                <w:lang w:eastAsia="en-GB"/>
              </w:rPr>
              <w:t>No sexual orientation stated</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13,657</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8.0%</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119,268</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C084C">
              <w:rPr>
                <w:rFonts w:ascii="Calibri" w:eastAsia="Times New Roman" w:hAnsi="Calibri" w:cs="Calibri"/>
                <w:b/>
                <w:bCs/>
                <w:color w:val="000000"/>
                <w:lang w:eastAsia="en-GB"/>
              </w:rPr>
              <w:t>7.9%</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b w:val="0"/>
                <w:color w:val="000000"/>
                <w:lang w:eastAsia="en-GB"/>
              </w:rPr>
            </w:pPr>
            <w:r w:rsidRPr="0091450C">
              <w:rPr>
                <w:rFonts w:ascii="Calibri" w:eastAsia="Times New Roman" w:hAnsi="Calibri" w:cs="Calibri"/>
                <w:b w:val="0"/>
                <w:color w:val="000000"/>
                <w:lang w:eastAsia="en-GB"/>
              </w:rPr>
              <w:t>Prefer not to say</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8,290</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4.9%</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69,307</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4.6%</w:t>
            </w:r>
          </w:p>
        </w:tc>
      </w:tr>
      <w:tr w:rsidR="0091450C" w:rsidRPr="0091450C" w:rsidTr="0091450C">
        <w:trPr>
          <w:trHeight w:val="288"/>
        </w:trPr>
        <w:tc>
          <w:tcPr>
            <w:cnfStyle w:val="001000000000" w:firstRow="0" w:lastRow="0" w:firstColumn="1" w:lastColumn="0" w:oddVBand="0" w:evenVBand="0" w:oddHBand="0" w:evenHBand="0" w:firstRowFirstColumn="0" w:firstRowLastColumn="0" w:lastRowFirstColumn="0" w:lastRowLastColumn="0"/>
            <w:tcW w:w="3740" w:type="dxa"/>
            <w:hideMark/>
          </w:tcPr>
          <w:p w:rsidR="0091450C" w:rsidRPr="0091450C" w:rsidRDefault="0091450C" w:rsidP="0091450C">
            <w:pPr>
              <w:rPr>
                <w:rFonts w:ascii="Calibri" w:eastAsia="Times New Roman" w:hAnsi="Calibri" w:cs="Calibri"/>
                <w:b w:val="0"/>
                <w:color w:val="000000"/>
                <w:lang w:eastAsia="en-GB"/>
              </w:rPr>
            </w:pPr>
            <w:r w:rsidRPr="0091450C">
              <w:rPr>
                <w:rFonts w:ascii="Calibri" w:eastAsia="Times New Roman" w:hAnsi="Calibri" w:cs="Calibri"/>
                <w:b w:val="0"/>
                <w:color w:val="000000"/>
                <w:lang w:eastAsia="en-GB"/>
              </w:rPr>
              <w:t>Not stated</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5,367</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3.1%</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49,961</w:t>
            </w:r>
          </w:p>
        </w:tc>
        <w:tc>
          <w:tcPr>
            <w:tcW w:w="1390" w:type="dxa"/>
            <w:noWrap/>
            <w:hideMark/>
          </w:tcPr>
          <w:p w:rsidR="0091450C" w:rsidRPr="006C084C" w:rsidRDefault="0091450C" w:rsidP="009145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C084C">
              <w:rPr>
                <w:rFonts w:ascii="Calibri" w:eastAsia="Times New Roman" w:hAnsi="Calibri" w:cs="Calibri"/>
                <w:color w:val="000000"/>
                <w:lang w:eastAsia="en-GB"/>
              </w:rPr>
              <w:t>3.3%</w:t>
            </w:r>
          </w:p>
        </w:tc>
      </w:tr>
    </w:tbl>
    <w:p w:rsidR="0091450C" w:rsidRDefault="0091450C">
      <w:pPr>
        <w:rPr>
          <w:i/>
          <w:sz w:val="20"/>
          <w:szCs w:val="20"/>
        </w:rPr>
      </w:pPr>
      <w:r w:rsidRPr="0091450C">
        <w:rPr>
          <w:i/>
          <w:sz w:val="20"/>
          <w:szCs w:val="20"/>
        </w:rPr>
        <w:t>Table 6: Sexual Orientation of residents aged 16 and over in Armagh City, Banbridge and Craigavon Borough and Northern Ireland, 2021.  Source: Table MS-C01, Census 2021</w:t>
      </w:r>
      <w:r w:rsidR="00C9395D">
        <w:rPr>
          <w:i/>
          <w:sz w:val="20"/>
          <w:szCs w:val="20"/>
        </w:rPr>
        <w:t>.</w:t>
      </w:r>
    </w:p>
    <w:p w:rsidR="00C9395D" w:rsidRDefault="00C9395D">
      <w:pPr>
        <w:rPr>
          <w:i/>
          <w:sz w:val="20"/>
          <w:szCs w:val="20"/>
        </w:rPr>
      </w:pPr>
    </w:p>
    <w:p w:rsidR="00C9395D" w:rsidRDefault="00807D85">
      <w:r>
        <w:t xml:space="preserve">The results from the question on sexual orientation are presented in Table 6.  Just 1.5% of the population aged 16 and over in the borough identified as lesbian, gay, bisexual or other (LGB+) while 90.5% identified as straight or heterosexual and 8% did not provide an answer to the question.  The proportions are broadly similar to the Northern Ireland average although there is a higher proportion of LGB+ in Northern Ireland overall at 2.1% compared to 1.5% in the borough. </w:t>
      </w:r>
    </w:p>
    <w:p w:rsidR="00FF2F30" w:rsidRPr="005908BF" w:rsidRDefault="00FF2F30" w:rsidP="001E6F51">
      <w:r>
        <w:lastRenderedPageBreak/>
        <w:t xml:space="preserve">The figures presented in </w:t>
      </w:r>
      <w:r w:rsidR="005908BF">
        <w:t>Figure 2</w:t>
      </w:r>
      <w:r>
        <w:t xml:space="preserve"> show there is some variation across areas in Northern Ireland.  Belfast has the highest proportion of LGB+ at 4.1% while Mid Ulster has the lowest at just 1.1%.  </w:t>
      </w:r>
    </w:p>
    <w:p w:rsidR="00FF2F30" w:rsidRDefault="00FF2F30" w:rsidP="00FF2F30">
      <w:pPr>
        <w:rPr>
          <w:i/>
          <w:sz w:val="20"/>
          <w:szCs w:val="20"/>
        </w:rPr>
      </w:pPr>
      <w:r>
        <w:rPr>
          <w:noProof/>
          <w:lang w:eastAsia="en-GB"/>
        </w:rPr>
        <w:drawing>
          <wp:inline distT="0" distB="0" distL="0" distR="0" wp14:anchorId="3F332F34" wp14:editId="68B18E92">
            <wp:extent cx="5913120" cy="3249930"/>
            <wp:effectExtent l="0" t="0" r="1143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i/>
          <w:sz w:val="20"/>
          <w:szCs w:val="20"/>
        </w:rPr>
        <w:t>Figure 2</w:t>
      </w:r>
      <w:r w:rsidRPr="0091450C">
        <w:rPr>
          <w:i/>
          <w:sz w:val="20"/>
          <w:szCs w:val="20"/>
        </w:rPr>
        <w:t xml:space="preserve">: </w:t>
      </w:r>
      <w:r w:rsidR="005908BF">
        <w:rPr>
          <w:i/>
          <w:sz w:val="20"/>
          <w:szCs w:val="20"/>
        </w:rPr>
        <w:t>Percentage of the population</w:t>
      </w:r>
      <w:r w:rsidRPr="0091450C">
        <w:rPr>
          <w:i/>
          <w:sz w:val="20"/>
          <w:szCs w:val="20"/>
        </w:rPr>
        <w:t xml:space="preserve"> aged 16 </w:t>
      </w:r>
      <w:r>
        <w:rPr>
          <w:i/>
          <w:sz w:val="20"/>
          <w:szCs w:val="20"/>
        </w:rPr>
        <w:t>and over</w:t>
      </w:r>
      <w:r w:rsidR="005908BF">
        <w:rPr>
          <w:i/>
          <w:sz w:val="20"/>
          <w:szCs w:val="20"/>
        </w:rPr>
        <w:t xml:space="preserve"> who identified as LGB+</w:t>
      </w:r>
      <w:r>
        <w:rPr>
          <w:i/>
          <w:sz w:val="20"/>
          <w:szCs w:val="20"/>
        </w:rPr>
        <w:t xml:space="preserve"> by Local Government District</w:t>
      </w:r>
      <w:r w:rsidRPr="0091450C">
        <w:rPr>
          <w:i/>
          <w:sz w:val="20"/>
          <w:szCs w:val="20"/>
        </w:rPr>
        <w:t>, 2021.  Source: Table MS-C01, Census 2021</w:t>
      </w:r>
      <w:r>
        <w:rPr>
          <w:i/>
          <w:sz w:val="20"/>
          <w:szCs w:val="20"/>
        </w:rPr>
        <w:t>.</w:t>
      </w:r>
    </w:p>
    <w:p w:rsidR="00FF2F30" w:rsidRPr="002B3F09" w:rsidRDefault="00FF2F30" w:rsidP="001E6F51">
      <w:bookmarkStart w:id="0" w:name="_GoBack"/>
      <w:bookmarkEnd w:id="0"/>
    </w:p>
    <w:p w:rsidR="002B3F09" w:rsidRPr="002B3F09" w:rsidRDefault="002B3F09" w:rsidP="001E6F51">
      <w:r w:rsidRPr="002B3F09">
        <w:t xml:space="preserve">Statistics on sexual orientation by age band have also been released in order to present a more detailed understanding of sexual orientation in Northern Ireland. </w:t>
      </w:r>
    </w:p>
    <w:tbl>
      <w:tblPr>
        <w:tblStyle w:val="GridTable1Light"/>
        <w:tblW w:w="8542" w:type="dxa"/>
        <w:tblLayout w:type="fixed"/>
        <w:tblLook w:val="04A0" w:firstRow="1" w:lastRow="0" w:firstColumn="1" w:lastColumn="0" w:noHBand="0" w:noVBand="1"/>
      </w:tblPr>
      <w:tblGrid>
        <w:gridCol w:w="1696"/>
        <w:gridCol w:w="1711"/>
        <w:gridCol w:w="1712"/>
        <w:gridCol w:w="1711"/>
        <w:gridCol w:w="1712"/>
      </w:tblGrid>
      <w:tr w:rsidR="006A79AA" w:rsidRPr="006A79AA" w:rsidTr="0007444A">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96" w:type="dxa"/>
            <w:noWrap/>
            <w:hideMark/>
          </w:tcPr>
          <w:p w:rsidR="006A79AA" w:rsidRPr="006A79AA" w:rsidRDefault="006A79AA" w:rsidP="006A79AA">
            <w:pPr>
              <w:rPr>
                <w:rFonts w:ascii="Calibri" w:eastAsia="Times New Roman" w:hAnsi="Calibri" w:cs="Calibri"/>
                <w:color w:val="000000"/>
                <w:lang w:eastAsia="en-GB"/>
              </w:rPr>
            </w:pPr>
            <w:r w:rsidRPr="006A79AA">
              <w:rPr>
                <w:rFonts w:ascii="Calibri" w:eastAsia="Times New Roman" w:hAnsi="Calibri" w:cs="Calibri"/>
                <w:color w:val="000000"/>
                <w:lang w:eastAsia="en-GB"/>
              </w:rPr>
              <w:t>Age Band</w:t>
            </w:r>
          </w:p>
        </w:tc>
        <w:tc>
          <w:tcPr>
            <w:tcW w:w="1711" w:type="dxa"/>
            <w:noWrap/>
            <w:hideMark/>
          </w:tcPr>
          <w:p w:rsidR="006A79AA" w:rsidRPr="006A79AA" w:rsidRDefault="006A79AA" w:rsidP="006A79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Population</w:t>
            </w:r>
          </w:p>
        </w:tc>
        <w:tc>
          <w:tcPr>
            <w:tcW w:w="1712" w:type="dxa"/>
            <w:hideMark/>
          </w:tcPr>
          <w:p w:rsidR="006A79AA" w:rsidRPr="006A79AA" w:rsidRDefault="006A79AA" w:rsidP="006A79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Straight or heterosexual</w:t>
            </w:r>
          </w:p>
        </w:tc>
        <w:tc>
          <w:tcPr>
            <w:tcW w:w="1711" w:type="dxa"/>
            <w:hideMark/>
          </w:tcPr>
          <w:p w:rsidR="006A79AA" w:rsidRPr="006A79AA" w:rsidRDefault="006A79AA" w:rsidP="006A79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Lesbian, Gay, Bisexual or Other (LGB+)</w:t>
            </w:r>
          </w:p>
        </w:tc>
        <w:tc>
          <w:tcPr>
            <w:tcW w:w="1712" w:type="dxa"/>
            <w:hideMark/>
          </w:tcPr>
          <w:p w:rsidR="006A79AA" w:rsidRPr="006A79AA" w:rsidRDefault="006A79AA" w:rsidP="006A79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No sexual orientation stated</w:t>
            </w:r>
          </w:p>
        </w:tc>
      </w:tr>
      <w:tr w:rsidR="006A79AA" w:rsidRPr="006A79AA" w:rsidTr="0007444A">
        <w:trPr>
          <w:trHeight w:val="288"/>
        </w:trPr>
        <w:tc>
          <w:tcPr>
            <w:cnfStyle w:val="001000000000" w:firstRow="0" w:lastRow="0" w:firstColumn="1" w:lastColumn="0" w:oddVBand="0" w:evenVBand="0" w:oddHBand="0" w:evenHBand="0" w:firstRowFirstColumn="0" w:firstRowLastColumn="0" w:lastRowFirstColumn="0" w:lastRowLastColumn="0"/>
            <w:tcW w:w="1696" w:type="dxa"/>
            <w:noWrap/>
            <w:hideMark/>
          </w:tcPr>
          <w:p w:rsidR="006A79AA" w:rsidRPr="006A79AA" w:rsidRDefault="006A79AA" w:rsidP="006A79AA">
            <w:pPr>
              <w:rPr>
                <w:rFonts w:ascii="Calibri" w:eastAsia="Times New Roman" w:hAnsi="Calibri" w:cs="Calibri"/>
                <w:color w:val="000000"/>
                <w:lang w:eastAsia="en-GB"/>
              </w:rPr>
            </w:pPr>
            <w:r w:rsidRPr="006A79AA">
              <w:rPr>
                <w:rFonts w:ascii="Calibri" w:eastAsia="Times New Roman" w:hAnsi="Calibri" w:cs="Calibri"/>
                <w:color w:val="000000"/>
                <w:lang w:eastAsia="en-GB"/>
              </w:rPr>
              <w:t>Age 16-24</w:t>
            </w:r>
          </w:p>
        </w:tc>
        <w:tc>
          <w:tcPr>
            <w:tcW w:w="1711"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21,773</w:t>
            </w:r>
          </w:p>
        </w:tc>
        <w:tc>
          <w:tcPr>
            <w:tcW w:w="1712"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89.1%</w:t>
            </w:r>
          </w:p>
        </w:tc>
        <w:tc>
          <w:tcPr>
            <w:tcW w:w="1711"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3.3%</w:t>
            </w:r>
          </w:p>
        </w:tc>
        <w:tc>
          <w:tcPr>
            <w:tcW w:w="1712"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7.5%</w:t>
            </w:r>
          </w:p>
        </w:tc>
      </w:tr>
      <w:tr w:rsidR="006A79AA" w:rsidRPr="006A79AA" w:rsidTr="0007444A">
        <w:trPr>
          <w:trHeight w:val="288"/>
        </w:trPr>
        <w:tc>
          <w:tcPr>
            <w:cnfStyle w:val="001000000000" w:firstRow="0" w:lastRow="0" w:firstColumn="1" w:lastColumn="0" w:oddVBand="0" w:evenVBand="0" w:oddHBand="0" w:evenHBand="0" w:firstRowFirstColumn="0" w:firstRowLastColumn="0" w:lastRowFirstColumn="0" w:lastRowLastColumn="0"/>
            <w:tcW w:w="1696" w:type="dxa"/>
            <w:noWrap/>
            <w:hideMark/>
          </w:tcPr>
          <w:p w:rsidR="006A79AA" w:rsidRPr="006A79AA" w:rsidRDefault="006A79AA" w:rsidP="006A79AA">
            <w:pPr>
              <w:rPr>
                <w:rFonts w:ascii="Calibri" w:eastAsia="Times New Roman" w:hAnsi="Calibri" w:cs="Calibri"/>
                <w:color w:val="000000"/>
                <w:lang w:eastAsia="en-GB"/>
              </w:rPr>
            </w:pPr>
            <w:r w:rsidRPr="006A79AA">
              <w:rPr>
                <w:rFonts w:ascii="Calibri" w:eastAsia="Times New Roman" w:hAnsi="Calibri" w:cs="Calibri"/>
                <w:color w:val="000000"/>
                <w:lang w:eastAsia="en-GB"/>
              </w:rPr>
              <w:t>Age 25-39</w:t>
            </w:r>
          </w:p>
        </w:tc>
        <w:tc>
          <w:tcPr>
            <w:tcW w:w="1711"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43,101</w:t>
            </w:r>
          </w:p>
        </w:tc>
        <w:tc>
          <w:tcPr>
            <w:tcW w:w="1712"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90.4%</w:t>
            </w:r>
          </w:p>
        </w:tc>
        <w:tc>
          <w:tcPr>
            <w:tcW w:w="1711"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2.4%</w:t>
            </w:r>
          </w:p>
        </w:tc>
        <w:tc>
          <w:tcPr>
            <w:tcW w:w="1712"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7.2%</w:t>
            </w:r>
          </w:p>
        </w:tc>
      </w:tr>
      <w:tr w:rsidR="006A79AA" w:rsidRPr="006A79AA" w:rsidTr="0007444A">
        <w:trPr>
          <w:trHeight w:val="288"/>
        </w:trPr>
        <w:tc>
          <w:tcPr>
            <w:cnfStyle w:val="001000000000" w:firstRow="0" w:lastRow="0" w:firstColumn="1" w:lastColumn="0" w:oddVBand="0" w:evenVBand="0" w:oddHBand="0" w:evenHBand="0" w:firstRowFirstColumn="0" w:firstRowLastColumn="0" w:lastRowFirstColumn="0" w:lastRowLastColumn="0"/>
            <w:tcW w:w="1696" w:type="dxa"/>
            <w:noWrap/>
            <w:hideMark/>
          </w:tcPr>
          <w:p w:rsidR="006A79AA" w:rsidRPr="006A79AA" w:rsidRDefault="006A79AA" w:rsidP="006A79AA">
            <w:pPr>
              <w:rPr>
                <w:rFonts w:ascii="Calibri" w:eastAsia="Times New Roman" w:hAnsi="Calibri" w:cs="Calibri"/>
                <w:color w:val="000000"/>
                <w:lang w:eastAsia="en-GB"/>
              </w:rPr>
            </w:pPr>
            <w:r w:rsidRPr="006A79AA">
              <w:rPr>
                <w:rFonts w:ascii="Calibri" w:eastAsia="Times New Roman" w:hAnsi="Calibri" w:cs="Calibri"/>
                <w:color w:val="000000"/>
                <w:lang w:eastAsia="en-GB"/>
              </w:rPr>
              <w:t>Age 40-64</w:t>
            </w:r>
          </w:p>
        </w:tc>
        <w:tc>
          <w:tcPr>
            <w:tcW w:w="1711"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70,547</w:t>
            </w:r>
          </w:p>
        </w:tc>
        <w:tc>
          <w:tcPr>
            <w:tcW w:w="1712"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92.9%</w:t>
            </w:r>
          </w:p>
        </w:tc>
        <w:tc>
          <w:tcPr>
            <w:tcW w:w="1711"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0.9%</w:t>
            </w:r>
          </w:p>
        </w:tc>
        <w:tc>
          <w:tcPr>
            <w:tcW w:w="1712"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6.2%</w:t>
            </w:r>
          </w:p>
        </w:tc>
      </w:tr>
      <w:tr w:rsidR="006A79AA" w:rsidRPr="006A79AA" w:rsidTr="0007444A">
        <w:trPr>
          <w:trHeight w:val="288"/>
        </w:trPr>
        <w:tc>
          <w:tcPr>
            <w:cnfStyle w:val="001000000000" w:firstRow="0" w:lastRow="0" w:firstColumn="1" w:lastColumn="0" w:oddVBand="0" w:evenVBand="0" w:oddHBand="0" w:evenHBand="0" w:firstRowFirstColumn="0" w:firstRowLastColumn="0" w:lastRowFirstColumn="0" w:lastRowLastColumn="0"/>
            <w:tcW w:w="1696" w:type="dxa"/>
            <w:noWrap/>
            <w:hideMark/>
          </w:tcPr>
          <w:p w:rsidR="006A79AA" w:rsidRPr="006A79AA" w:rsidRDefault="006A79AA" w:rsidP="006A79AA">
            <w:pPr>
              <w:rPr>
                <w:rFonts w:ascii="Calibri" w:eastAsia="Times New Roman" w:hAnsi="Calibri" w:cs="Calibri"/>
                <w:color w:val="000000"/>
                <w:lang w:eastAsia="en-GB"/>
              </w:rPr>
            </w:pPr>
            <w:r w:rsidRPr="006A79AA">
              <w:rPr>
                <w:rFonts w:ascii="Calibri" w:eastAsia="Times New Roman" w:hAnsi="Calibri" w:cs="Calibri"/>
                <w:color w:val="000000"/>
                <w:lang w:eastAsia="en-GB"/>
              </w:rPr>
              <w:t>Age 65+</w:t>
            </w:r>
          </w:p>
        </w:tc>
        <w:tc>
          <w:tcPr>
            <w:tcW w:w="1711"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34,990</w:t>
            </w:r>
          </w:p>
        </w:tc>
        <w:tc>
          <w:tcPr>
            <w:tcW w:w="1712"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86.8%</w:t>
            </w:r>
          </w:p>
        </w:tc>
        <w:tc>
          <w:tcPr>
            <w:tcW w:w="1711"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0.2%</w:t>
            </w:r>
          </w:p>
        </w:tc>
        <w:tc>
          <w:tcPr>
            <w:tcW w:w="1712" w:type="dxa"/>
            <w:noWrap/>
            <w:hideMark/>
          </w:tcPr>
          <w:p w:rsidR="006A79AA" w:rsidRPr="006A79A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A79AA">
              <w:rPr>
                <w:rFonts w:ascii="Calibri" w:eastAsia="Times New Roman" w:hAnsi="Calibri" w:cs="Calibri"/>
                <w:color w:val="000000"/>
                <w:lang w:eastAsia="en-GB"/>
              </w:rPr>
              <w:t>13.0%</w:t>
            </w:r>
          </w:p>
        </w:tc>
      </w:tr>
      <w:tr w:rsidR="006A79AA" w:rsidRPr="006A79AA" w:rsidTr="0007444A">
        <w:trPr>
          <w:trHeight w:val="288"/>
        </w:trPr>
        <w:tc>
          <w:tcPr>
            <w:cnfStyle w:val="001000000000" w:firstRow="0" w:lastRow="0" w:firstColumn="1" w:lastColumn="0" w:oddVBand="0" w:evenVBand="0" w:oddHBand="0" w:evenHBand="0" w:firstRowFirstColumn="0" w:firstRowLastColumn="0" w:lastRowFirstColumn="0" w:lastRowLastColumn="0"/>
            <w:tcW w:w="1696" w:type="dxa"/>
            <w:noWrap/>
            <w:hideMark/>
          </w:tcPr>
          <w:p w:rsidR="006A79AA" w:rsidRPr="006A79AA" w:rsidRDefault="006A79AA" w:rsidP="006A79AA">
            <w:pPr>
              <w:rPr>
                <w:rFonts w:ascii="Calibri" w:eastAsia="Times New Roman" w:hAnsi="Calibri" w:cs="Calibri"/>
                <w:color w:val="000000"/>
                <w:lang w:eastAsia="en-GB"/>
              </w:rPr>
            </w:pPr>
            <w:r w:rsidRPr="006A79AA">
              <w:rPr>
                <w:rFonts w:ascii="Calibri" w:eastAsia="Times New Roman" w:hAnsi="Calibri" w:cs="Calibri"/>
                <w:color w:val="000000"/>
                <w:lang w:eastAsia="en-GB"/>
              </w:rPr>
              <w:t>Total age 16+</w:t>
            </w:r>
          </w:p>
        </w:tc>
        <w:tc>
          <w:tcPr>
            <w:tcW w:w="1711" w:type="dxa"/>
            <w:noWrap/>
            <w:hideMark/>
          </w:tcPr>
          <w:p w:rsidR="006A79AA" w:rsidRPr="0007444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07444A">
              <w:rPr>
                <w:rFonts w:ascii="Calibri" w:eastAsia="Times New Roman" w:hAnsi="Calibri" w:cs="Calibri"/>
                <w:b/>
                <w:color w:val="000000"/>
                <w:lang w:eastAsia="en-GB"/>
              </w:rPr>
              <w:t>170,411</w:t>
            </w:r>
          </w:p>
        </w:tc>
        <w:tc>
          <w:tcPr>
            <w:tcW w:w="1712" w:type="dxa"/>
            <w:noWrap/>
            <w:hideMark/>
          </w:tcPr>
          <w:p w:rsidR="006A79AA" w:rsidRPr="0007444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07444A">
              <w:rPr>
                <w:rFonts w:ascii="Calibri" w:eastAsia="Times New Roman" w:hAnsi="Calibri" w:cs="Calibri"/>
                <w:b/>
                <w:color w:val="000000"/>
                <w:lang w:eastAsia="en-GB"/>
              </w:rPr>
              <w:t>90.5%</w:t>
            </w:r>
          </w:p>
        </w:tc>
        <w:tc>
          <w:tcPr>
            <w:tcW w:w="1711" w:type="dxa"/>
            <w:noWrap/>
            <w:hideMark/>
          </w:tcPr>
          <w:p w:rsidR="006A79AA" w:rsidRPr="0007444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07444A">
              <w:rPr>
                <w:rFonts w:ascii="Calibri" w:eastAsia="Times New Roman" w:hAnsi="Calibri" w:cs="Calibri"/>
                <w:b/>
                <w:color w:val="000000"/>
                <w:lang w:eastAsia="en-GB"/>
              </w:rPr>
              <w:t>1.5%</w:t>
            </w:r>
          </w:p>
        </w:tc>
        <w:tc>
          <w:tcPr>
            <w:tcW w:w="1712" w:type="dxa"/>
            <w:noWrap/>
            <w:hideMark/>
          </w:tcPr>
          <w:p w:rsidR="006A79AA" w:rsidRPr="0007444A" w:rsidRDefault="006A79AA" w:rsidP="006A79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07444A">
              <w:rPr>
                <w:rFonts w:ascii="Calibri" w:eastAsia="Times New Roman" w:hAnsi="Calibri" w:cs="Calibri"/>
                <w:b/>
                <w:color w:val="000000"/>
                <w:lang w:eastAsia="en-GB"/>
              </w:rPr>
              <w:t>8.0%</w:t>
            </w:r>
          </w:p>
        </w:tc>
      </w:tr>
    </w:tbl>
    <w:p w:rsidR="001E6F51" w:rsidRDefault="0007444A" w:rsidP="006A79AA">
      <w:pPr>
        <w:rPr>
          <w:i/>
          <w:sz w:val="20"/>
          <w:szCs w:val="20"/>
        </w:rPr>
      </w:pPr>
      <w:r>
        <w:rPr>
          <w:i/>
          <w:sz w:val="20"/>
          <w:szCs w:val="20"/>
        </w:rPr>
        <w:t>Table 7</w:t>
      </w:r>
      <w:r w:rsidRPr="0091450C">
        <w:rPr>
          <w:i/>
          <w:sz w:val="20"/>
          <w:szCs w:val="20"/>
        </w:rPr>
        <w:t xml:space="preserve">: </w:t>
      </w:r>
      <w:r>
        <w:rPr>
          <w:i/>
          <w:sz w:val="20"/>
          <w:szCs w:val="20"/>
        </w:rPr>
        <w:t>Percentage of the population</w:t>
      </w:r>
      <w:r w:rsidRPr="0091450C">
        <w:rPr>
          <w:i/>
          <w:sz w:val="20"/>
          <w:szCs w:val="20"/>
        </w:rPr>
        <w:t xml:space="preserve"> </w:t>
      </w:r>
      <w:r>
        <w:rPr>
          <w:i/>
          <w:sz w:val="20"/>
          <w:szCs w:val="20"/>
        </w:rPr>
        <w:t>by age band and sexual orientation</w:t>
      </w:r>
      <w:r w:rsidRPr="0091450C">
        <w:rPr>
          <w:i/>
          <w:sz w:val="20"/>
          <w:szCs w:val="20"/>
        </w:rPr>
        <w:t>,</w:t>
      </w:r>
      <w:r>
        <w:rPr>
          <w:i/>
          <w:sz w:val="20"/>
          <w:szCs w:val="20"/>
        </w:rPr>
        <w:t xml:space="preserve"> Armagh City, Banbridge and Craigavon Borough,</w:t>
      </w:r>
      <w:r w:rsidRPr="0091450C">
        <w:rPr>
          <w:i/>
          <w:sz w:val="20"/>
          <w:szCs w:val="20"/>
        </w:rPr>
        <w:t xml:space="preserve"> 2021.  Source: Table MS-C0</w:t>
      </w:r>
      <w:r>
        <w:rPr>
          <w:i/>
          <w:sz w:val="20"/>
          <w:szCs w:val="20"/>
        </w:rPr>
        <w:t>2</w:t>
      </w:r>
      <w:r w:rsidRPr="0091450C">
        <w:rPr>
          <w:i/>
          <w:sz w:val="20"/>
          <w:szCs w:val="20"/>
        </w:rPr>
        <w:t>, Census 2021</w:t>
      </w:r>
      <w:r>
        <w:rPr>
          <w:i/>
          <w:sz w:val="20"/>
          <w:szCs w:val="20"/>
        </w:rPr>
        <w:t>.</w:t>
      </w:r>
    </w:p>
    <w:p w:rsidR="007E60A1" w:rsidRDefault="007E60A1" w:rsidP="006A79AA">
      <w:r>
        <w:t xml:space="preserve">As presented in Table 7, we can see the differences across the four age bands.  Almost 93% of residents aged between 40 and 64 identified as straight or heterosexual compared to almost 87% of residents aged 65+.  However, 13% of residents aged 65+ did not state an answer to this question compared to just 6.2% of residents aged 40-64.  Residents aged between 16 and 24 had the highest percentage of LGB+ at 3.3%.  The percentage fell as the age group increased with just 0.2% of residents aged 65+ identifying as LGB+.  </w:t>
      </w:r>
    </w:p>
    <w:sectPr w:rsidR="007E60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AA" w:rsidRDefault="006A79AA" w:rsidP="00982CA2">
      <w:pPr>
        <w:spacing w:after="0" w:line="240" w:lineRule="auto"/>
      </w:pPr>
      <w:r>
        <w:separator/>
      </w:r>
    </w:p>
  </w:endnote>
  <w:endnote w:type="continuationSeparator" w:id="0">
    <w:p w:rsidR="006A79AA" w:rsidRDefault="006A79AA" w:rsidP="0098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AA" w:rsidRDefault="006A79AA" w:rsidP="00982CA2">
      <w:pPr>
        <w:spacing w:after="0" w:line="240" w:lineRule="auto"/>
      </w:pPr>
      <w:r>
        <w:separator/>
      </w:r>
    </w:p>
  </w:footnote>
  <w:footnote w:type="continuationSeparator" w:id="0">
    <w:p w:rsidR="006A79AA" w:rsidRDefault="006A79AA" w:rsidP="00982CA2">
      <w:pPr>
        <w:spacing w:after="0" w:line="240" w:lineRule="auto"/>
      </w:pPr>
      <w:r>
        <w:continuationSeparator/>
      </w:r>
    </w:p>
  </w:footnote>
  <w:footnote w:id="1">
    <w:p w:rsidR="006A79AA" w:rsidRDefault="006A79AA">
      <w:pPr>
        <w:pStyle w:val="FootnoteText"/>
      </w:pPr>
      <w:r>
        <w:rPr>
          <w:rStyle w:val="FootnoteReference"/>
        </w:rPr>
        <w:footnoteRef/>
      </w:r>
      <w:r>
        <w:t xml:space="preserve"> </w:t>
      </w:r>
      <w:hyperlink r:id="rId1" w:history="1">
        <w:r>
          <w:rPr>
            <w:rStyle w:val="Hyperlink"/>
          </w:rPr>
          <w:t>Census 2021 Main statistics for Northern Ireland - Statistical bulletin - Marital or civil partnership status &amp; Household relationships (couples) (nisra.gov.uk)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032E7"/>
    <w:multiLevelType w:val="hybridMultilevel"/>
    <w:tmpl w:val="C5D07070"/>
    <w:lvl w:ilvl="0" w:tplc="F582232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B9"/>
    <w:rsid w:val="00012202"/>
    <w:rsid w:val="0007444A"/>
    <w:rsid w:val="000B460C"/>
    <w:rsid w:val="00106B87"/>
    <w:rsid w:val="00114801"/>
    <w:rsid w:val="001167F9"/>
    <w:rsid w:val="001958C8"/>
    <w:rsid w:val="001E6F51"/>
    <w:rsid w:val="00274837"/>
    <w:rsid w:val="002925B9"/>
    <w:rsid w:val="002B3F09"/>
    <w:rsid w:val="003061A9"/>
    <w:rsid w:val="003A4713"/>
    <w:rsid w:val="003D4C09"/>
    <w:rsid w:val="003E248C"/>
    <w:rsid w:val="00541C05"/>
    <w:rsid w:val="005908BF"/>
    <w:rsid w:val="005C1063"/>
    <w:rsid w:val="006717D2"/>
    <w:rsid w:val="006853FD"/>
    <w:rsid w:val="006A79AA"/>
    <w:rsid w:val="006C084C"/>
    <w:rsid w:val="00770F56"/>
    <w:rsid w:val="00772B71"/>
    <w:rsid w:val="007E60A1"/>
    <w:rsid w:val="00806AD2"/>
    <w:rsid w:val="00807D85"/>
    <w:rsid w:val="0084252B"/>
    <w:rsid w:val="008679D4"/>
    <w:rsid w:val="00890115"/>
    <w:rsid w:val="008E7AD9"/>
    <w:rsid w:val="0091450C"/>
    <w:rsid w:val="00982CA2"/>
    <w:rsid w:val="009A3C56"/>
    <w:rsid w:val="009A4484"/>
    <w:rsid w:val="009C6CEB"/>
    <w:rsid w:val="00A7265A"/>
    <w:rsid w:val="00AB25BD"/>
    <w:rsid w:val="00AE3A3D"/>
    <w:rsid w:val="00B329E2"/>
    <w:rsid w:val="00B4103B"/>
    <w:rsid w:val="00B429A9"/>
    <w:rsid w:val="00BC6AC7"/>
    <w:rsid w:val="00BF022F"/>
    <w:rsid w:val="00C20484"/>
    <w:rsid w:val="00C65286"/>
    <w:rsid w:val="00C9395D"/>
    <w:rsid w:val="00C97EAC"/>
    <w:rsid w:val="00CA25DC"/>
    <w:rsid w:val="00EA4BB7"/>
    <w:rsid w:val="00EB286E"/>
    <w:rsid w:val="00EB6BFE"/>
    <w:rsid w:val="00FF25CE"/>
    <w:rsid w:val="00FF2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79A7"/>
  <w15:chartTrackingRefBased/>
  <w15:docId w15:val="{1EEA2C8C-1FED-4360-934E-BEA7FD90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AB25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82CA2"/>
    <w:pPr>
      <w:ind w:left="720"/>
      <w:contextualSpacing/>
    </w:pPr>
  </w:style>
  <w:style w:type="paragraph" w:styleId="FootnoteText">
    <w:name w:val="footnote text"/>
    <w:basedOn w:val="Normal"/>
    <w:link w:val="FootnoteTextChar"/>
    <w:uiPriority w:val="99"/>
    <w:semiHidden/>
    <w:unhideWhenUsed/>
    <w:rsid w:val="00982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A2"/>
    <w:rPr>
      <w:sz w:val="20"/>
      <w:szCs w:val="20"/>
    </w:rPr>
  </w:style>
  <w:style w:type="character" w:styleId="FootnoteReference">
    <w:name w:val="footnote reference"/>
    <w:basedOn w:val="DefaultParagraphFont"/>
    <w:uiPriority w:val="99"/>
    <w:semiHidden/>
    <w:unhideWhenUsed/>
    <w:rsid w:val="00982CA2"/>
    <w:rPr>
      <w:vertAlign w:val="superscript"/>
    </w:rPr>
  </w:style>
  <w:style w:type="character" w:styleId="Hyperlink">
    <w:name w:val="Hyperlink"/>
    <w:basedOn w:val="DefaultParagraphFont"/>
    <w:uiPriority w:val="99"/>
    <w:semiHidden/>
    <w:unhideWhenUsed/>
    <w:rsid w:val="00982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894">
      <w:bodyDiv w:val="1"/>
      <w:marLeft w:val="0"/>
      <w:marRight w:val="0"/>
      <w:marTop w:val="0"/>
      <w:marBottom w:val="0"/>
      <w:divBdr>
        <w:top w:val="none" w:sz="0" w:space="0" w:color="auto"/>
        <w:left w:val="none" w:sz="0" w:space="0" w:color="auto"/>
        <w:bottom w:val="none" w:sz="0" w:space="0" w:color="auto"/>
        <w:right w:val="none" w:sz="0" w:space="0" w:color="auto"/>
      </w:divBdr>
    </w:div>
    <w:div w:id="71859463">
      <w:bodyDiv w:val="1"/>
      <w:marLeft w:val="0"/>
      <w:marRight w:val="0"/>
      <w:marTop w:val="0"/>
      <w:marBottom w:val="0"/>
      <w:divBdr>
        <w:top w:val="none" w:sz="0" w:space="0" w:color="auto"/>
        <w:left w:val="none" w:sz="0" w:space="0" w:color="auto"/>
        <w:bottom w:val="none" w:sz="0" w:space="0" w:color="auto"/>
        <w:right w:val="none" w:sz="0" w:space="0" w:color="auto"/>
      </w:divBdr>
    </w:div>
    <w:div w:id="576979157">
      <w:bodyDiv w:val="1"/>
      <w:marLeft w:val="0"/>
      <w:marRight w:val="0"/>
      <w:marTop w:val="0"/>
      <w:marBottom w:val="0"/>
      <w:divBdr>
        <w:top w:val="none" w:sz="0" w:space="0" w:color="auto"/>
        <w:left w:val="none" w:sz="0" w:space="0" w:color="auto"/>
        <w:bottom w:val="none" w:sz="0" w:space="0" w:color="auto"/>
        <w:right w:val="none" w:sz="0" w:space="0" w:color="auto"/>
      </w:divBdr>
    </w:div>
    <w:div w:id="704133972">
      <w:bodyDiv w:val="1"/>
      <w:marLeft w:val="0"/>
      <w:marRight w:val="0"/>
      <w:marTop w:val="0"/>
      <w:marBottom w:val="0"/>
      <w:divBdr>
        <w:top w:val="none" w:sz="0" w:space="0" w:color="auto"/>
        <w:left w:val="none" w:sz="0" w:space="0" w:color="auto"/>
        <w:bottom w:val="none" w:sz="0" w:space="0" w:color="auto"/>
        <w:right w:val="none" w:sz="0" w:space="0" w:color="auto"/>
      </w:divBdr>
    </w:div>
    <w:div w:id="709647083">
      <w:bodyDiv w:val="1"/>
      <w:marLeft w:val="0"/>
      <w:marRight w:val="0"/>
      <w:marTop w:val="0"/>
      <w:marBottom w:val="0"/>
      <w:divBdr>
        <w:top w:val="none" w:sz="0" w:space="0" w:color="auto"/>
        <w:left w:val="none" w:sz="0" w:space="0" w:color="auto"/>
        <w:bottom w:val="none" w:sz="0" w:space="0" w:color="auto"/>
        <w:right w:val="none" w:sz="0" w:space="0" w:color="auto"/>
      </w:divBdr>
    </w:div>
    <w:div w:id="757753622">
      <w:bodyDiv w:val="1"/>
      <w:marLeft w:val="0"/>
      <w:marRight w:val="0"/>
      <w:marTop w:val="0"/>
      <w:marBottom w:val="0"/>
      <w:divBdr>
        <w:top w:val="none" w:sz="0" w:space="0" w:color="auto"/>
        <w:left w:val="none" w:sz="0" w:space="0" w:color="auto"/>
        <w:bottom w:val="none" w:sz="0" w:space="0" w:color="auto"/>
        <w:right w:val="none" w:sz="0" w:space="0" w:color="auto"/>
      </w:divBdr>
    </w:div>
    <w:div w:id="874850958">
      <w:bodyDiv w:val="1"/>
      <w:marLeft w:val="0"/>
      <w:marRight w:val="0"/>
      <w:marTop w:val="0"/>
      <w:marBottom w:val="0"/>
      <w:divBdr>
        <w:top w:val="none" w:sz="0" w:space="0" w:color="auto"/>
        <w:left w:val="none" w:sz="0" w:space="0" w:color="auto"/>
        <w:bottom w:val="none" w:sz="0" w:space="0" w:color="auto"/>
        <w:right w:val="none" w:sz="0" w:space="0" w:color="auto"/>
      </w:divBdr>
    </w:div>
    <w:div w:id="993946530">
      <w:bodyDiv w:val="1"/>
      <w:marLeft w:val="0"/>
      <w:marRight w:val="0"/>
      <w:marTop w:val="0"/>
      <w:marBottom w:val="0"/>
      <w:divBdr>
        <w:top w:val="none" w:sz="0" w:space="0" w:color="auto"/>
        <w:left w:val="none" w:sz="0" w:space="0" w:color="auto"/>
        <w:bottom w:val="none" w:sz="0" w:space="0" w:color="auto"/>
        <w:right w:val="none" w:sz="0" w:space="0" w:color="auto"/>
      </w:divBdr>
    </w:div>
    <w:div w:id="1381900202">
      <w:bodyDiv w:val="1"/>
      <w:marLeft w:val="0"/>
      <w:marRight w:val="0"/>
      <w:marTop w:val="0"/>
      <w:marBottom w:val="0"/>
      <w:divBdr>
        <w:top w:val="none" w:sz="0" w:space="0" w:color="auto"/>
        <w:left w:val="none" w:sz="0" w:space="0" w:color="auto"/>
        <w:bottom w:val="none" w:sz="0" w:space="0" w:color="auto"/>
        <w:right w:val="none" w:sz="0" w:space="0" w:color="auto"/>
      </w:divBdr>
    </w:div>
    <w:div w:id="1391878591">
      <w:bodyDiv w:val="1"/>
      <w:marLeft w:val="0"/>
      <w:marRight w:val="0"/>
      <w:marTop w:val="0"/>
      <w:marBottom w:val="0"/>
      <w:divBdr>
        <w:top w:val="none" w:sz="0" w:space="0" w:color="auto"/>
        <w:left w:val="none" w:sz="0" w:space="0" w:color="auto"/>
        <w:bottom w:val="none" w:sz="0" w:space="0" w:color="auto"/>
        <w:right w:val="none" w:sz="0" w:space="0" w:color="auto"/>
      </w:divBdr>
    </w:div>
    <w:div w:id="1498308209">
      <w:bodyDiv w:val="1"/>
      <w:marLeft w:val="0"/>
      <w:marRight w:val="0"/>
      <w:marTop w:val="0"/>
      <w:marBottom w:val="0"/>
      <w:divBdr>
        <w:top w:val="none" w:sz="0" w:space="0" w:color="auto"/>
        <w:left w:val="none" w:sz="0" w:space="0" w:color="auto"/>
        <w:bottom w:val="none" w:sz="0" w:space="0" w:color="auto"/>
        <w:right w:val="none" w:sz="0" w:space="0" w:color="auto"/>
      </w:divBdr>
    </w:div>
    <w:div w:id="20110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nisra.gov.uk/system/files/statistics/census-2021-main-statistics-for-northern-ireland-phase-3-statistical-bulletin-household-relationship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Phase%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Phase%2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'MS Tables'!$B$22</c:f>
              <c:strCache>
                <c:ptCount val="1"/>
                <c:pt idx="0">
                  <c:v>2011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'MS Tables'!$A$23:$A$28</c:f>
              <c:strCache>
                <c:ptCount val="6"/>
                <c:pt idx="0">
                  <c:v>Single (never married or never registered a same-sex civil partnership)</c:v>
                </c:pt>
                <c:pt idx="1">
                  <c:v>Married</c:v>
                </c:pt>
                <c:pt idx="2">
                  <c:v>In a registered same-sex civil partnership</c:v>
                </c:pt>
                <c:pt idx="3">
                  <c:v>Separated (but still legally married or still legally in a same-sex civil partnership)</c:v>
                </c:pt>
                <c:pt idx="4">
                  <c:v>Divorced or formerly in a same-sex civil partnership which is now legally dissolved</c:v>
                </c:pt>
                <c:pt idx="5">
                  <c:v>Widowed or surviving partner from a same-sex civil partnership</c:v>
                </c:pt>
              </c:strCache>
            </c:strRef>
          </c:cat>
          <c:val>
            <c:numRef>
              <c:f>'MS Tables'!$B$23:$B$28</c:f>
              <c:numCache>
                <c:formatCode>0.0%</c:formatCode>
                <c:ptCount val="6"/>
                <c:pt idx="0">
                  <c:v>0.33629999999999999</c:v>
                </c:pt>
                <c:pt idx="1">
                  <c:v>0.50949999999999995</c:v>
                </c:pt>
                <c:pt idx="2">
                  <c:v>6.9999999999999999E-4</c:v>
                </c:pt>
                <c:pt idx="3">
                  <c:v>3.6299999999999999E-2</c:v>
                </c:pt>
                <c:pt idx="4">
                  <c:v>5.1999999999999998E-2</c:v>
                </c:pt>
                <c:pt idx="5">
                  <c:v>6.5199999999999994E-2</c:v>
                </c:pt>
              </c:numCache>
            </c:numRef>
          </c:val>
          <c:extLst>
            <c:ext xmlns:c16="http://schemas.microsoft.com/office/drawing/2014/chart" uri="{C3380CC4-5D6E-409C-BE32-E72D297353CC}">
              <c16:uniqueId val="{00000000-129A-48DB-924F-2D457419B9C7}"/>
            </c:ext>
          </c:extLst>
        </c:ser>
        <c:ser>
          <c:idx val="1"/>
          <c:order val="1"/>
          <c:tx>
            <c:strRef>
              <c:f>'MS Tables'!$C$22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'MS Tables'!$A$23:$A$28</c:f>
              <c:strCache>
                <c:ptCount val="6"/>
                <c:pt idx="0">
                  <c:v>Single (never married or never registered a same-sex civil partnership)</c:v>
                </c:pt>
                <c:pt idx="1">
                  <c:v>Married</c:v>
                </c:pt>
                <c:pt idx="2">
                  <c:v>In a registered same-sex civil partnership</c:v>
                </c:pt>
                <c:pt idx="3">
                  <c:v>Separated (but still legally married or still legally in a same-sex civil partnership)</c:v>
                </c:pt>
                <c:pt idx="4">
                  <c:v>Divorced or formerly in a same-sex civil partnership which is now legally dissolved</c:v>
                </c:pt>
                <c:pt idx="5">
                  <c:v>Widowed or surviving partner from a same-sex civil partnership</c:v>
                </c:pt>
              </c:strCache>
            </c:strRef>
          </c:cat>
          <c:val>
            <c:numRef>
              <c:f>'MS Tables'!$C$23:$C$28</c:f>
              <c:numCache>
                <c:formatCode>0.0%</c:formatCode>
                <c:ptCount val="6"/>
                <c:pt idx="0">
                  <c:v>0.352530059679246</c:v>
                </c:pt>
                <c:pt idx="1">
                  <c:v>0.49012681106266598</c:v>
                </c:pt>
                <c:pt idx="2">
                  <c:v>1.80152689673789E-3</c:v>
                </c:pt>
                <c:pt idx="3">
                  <c:v>3.4229011038019799E-2</c:v>
                </c:pt>
                <c:pt idx="4">
                  <c:v>6.0166303818415499E-2</c:v>
                </c:pt>
                <c:pt idx="5">
                  <c:v>6.1146287504914597E-2</c:v>
                </c:pt>
              </c:numCache>
            </c:numRef>
          </c:val>
          <c:extLst>
            <c:ext xmlns:c16="http://schemas.microsoft.com/office/drawing/2014/chart" uri="{C3380CC4-5D6E-409C-BE32-E72D297353CC}">
              <c16:uniqueId val="{00000001-129A-48DB-924F-2D457419B9C7}"/>
            </c:ext>
          </c:extLst>
        </c:ser>
        <c:dLbls>
          <c:showLegendKey val="0"/>
          <c:showVal val="0"/>
          <c:showCatName val="0"/>
          <c:showSerName val="0"/>
          <c:showPercent val="0"/>
          <c:showBubbleSize val="0"/>
        </c:dLbls>
        <c:gapWidth val="80"/>
        <c:axId val="1115833903"/>
        <c:axId val="1115834735"/>
      </c:barChart>
      <c:catAx>
        <c:axId val="11158339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834735"/>
        <c:crosses val="autoZero"/>
        <c:auto val="1"/>
        <c:lblAlgn val="ctr"/>
        <c:lblOffset val="100"/>
        <c:noMultiLvlLbl val="0"/>
      </c:catAx>
      <c:valAx>
        <c:axId val="1115834735"/>
        <c:scaling>
          <c:orientation val="minMax"/>
        </c:scaling>
        <c:delete val="0"/>
        <c:axPos val="b"/>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8339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'SO 1'!$B$67</c:f>
              <c:strCache>
                <c:ptCount val="1"/>
                <c:pt idx="0">
                  <c:v>Lesbian, Gay, Bisexual or Other (LGB+)</c:v>
                </c:pt>
              </c:strCache>
            </c:strRef>
          </c:tx>
          <c:spPr>
            <a:solidFill>
              <a:schemeClr val="accent1"/>
            </a:solidFill>
            <a:ln>
              <a:noFill/>
            </a:ln>
            <a:effectLst/>
          </c:spPr>
          <c:invertIfNegative val="0"/>
          <c:dPt>
            <c:idx val="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2417-4399-A4CD-3A6F2D635CC1}"/>
              </c:ext>
            </c:extLst>
          </c:dPt>
          <c:dPt>
            <c:idx val="9"/>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2-2417-4399-A4CD-3A6F2D635CC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'SO 1'!$A$68:$A$79</c:f>
              <c:strCache>
                <c:ptCount val="12"/>
                <c:pt idx="0">
                  <c:v>Mid Ulster</c:v>
                </c:pt>
                <c:pt idx="1">
                  <c:v>Fermanagh and Omagh</c:v>
                </c:pt>
                <c:pt idx="2">
                  <c:v>Causeway Coast and Glens</c:v>
                </c:pt>
                <c:pt idx="3">
                  <c:v>Armagh City, Banbridge and Craigavon</c:v>
                </c:pt>
                <c:pt idx="4">
                  <c:v>Newry, Mourne and Down</c:v>
                </c:pt>
                <c:pt idx="5">
                  <c:v>Mid and East Antrim</c:v>
                </c:pt>
                <c:pt idx="6">
                  <c:v>Ards and North Down</c:v>
                </c:pt>
                <c:pt idx="7">
                  <c:v>Antrim and Newtownabbey</c:v>
                </c:pt>
                <c:pt idx="8">
                  <c:v>Lisburn and Castlereagh</c:v>
                </c:pt>
                <c:pt idx="9">
                  <c:v>Northern Ireland</c:v>
                </c:pt>
                <c:pt idx="10">
                  <c:v>Derry City and Strabane</c:v>
                </c:pt>
                <c:pt idx="11">
                  <c:v>Belfast</c:v>
                </c:pt>
              </c:strCache>
            </c:strRef>
          </c:cat>
          <c:val>
            <c:numRef>
              <c:f>'SO 1'!$B$68:$B$79</c:f>
              <c:numCache>
                <c:formatCode>0.0%</c:formatCode>
                <c:ptCount val="12"/>
                <c:pt idx="0">
                  <c:v>1.1352337474818211E-2</c:v>
                </c:pt>
                <c:pt idx="1">
                  <c:v>1.153097931813982E-2</c:v>
                </c:pt>
                <c:pt idx="2">
                  <c:v>1.4339523475823412E-2</c:v>
                </c:pt>
                <c:pt idx="3">
                  <c:v>1.4652638002969249E-2</c:v>
                </c:pt>
                <c:pt idx="4">
                  <c:v>1.4782106538212351E-2</c:v>
                </c:pt>
                <c:pt idx="5">
                  <c:v>1.5591421622816709E-2</c:v>
                </c:pt>
                <c:pt idx="6">
                  <c:v>1.9546234793641291E-2</c:v>
                </c:pt>
                <c:pt idx="7">
                  <c:v>2.0112374995704358E-2</c:v>
                </c:pt>
                <c:pt idx="8">
                  <c:v>2.0509241351474122E-2</c:v>
                </c:pt>
                <c:pt idx="9">
                  <c:v>2.0872187559209752E-2</c:v>
                </c:pt>
                <c:pt idx="10">
                  <c:v>2.0932052889835271E-2</c:v>
                </c:pt>
                <c:pt idx="11">
                  <c:v>4.0672237617523428E-2</c:v>
                </c:pt>
              </c:numCache>
            </c:numRef>
          </c:val>
          <c:extLst>
            <c:ext xmlns:c16="http://schemas.microsoft.com/office/drawing/2014/chart" uri="{C3380CC4-5D6E-409C-BE32-E72D297353CC}">
              <c16:uniqueId val="{00000000-2417-4399-A4CD-3A6F2D635CC1}"/>
            </c:ext>
          </c:extLst>
        </c:ser>
        <c:dLbls>
          <c:showLegendKey val="0"/>
          <c:showVal val="0"/>
          <c:showCatName val="0"/>
          <c:showSerName val="0"/>
          <c:showPercent val="0"/>
          <c:showBubbleSize val="0"/>
        </c:dLbls>
        <c:gapWidth val="80"/>
        <c:axId val="875061807"/>
        <c:axId val="875062223"/>
      </c:barChart>
      <c:catAx>
        <c:axId val="875061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062223"/>
        <c:crosses val="autoZero"/>
        <c:auto val="1"/>
        <c:lblAlgn val="ctr"/>
        <c:lblOffset val="100"/>
        <c:noMultiLvlLbl val="0"/>
      </c:catAx>
      <c:valAx>
        <c:axId val="875062223"/>
        <c:scaling>
          <c:orientation val="minMax"/>
        </c:scaling>
        <c:delete val="0"/>
        <c:axPos val="b"/>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061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F2DAE-6CB7-408A-BDBF-522567AE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29</cp:revision>
  <dcterms:created xsi:type="dcterms:W3CDTF">2023-03-21T10:18:00Z</dcterms:created>
  <dcterms:modified xsi:type="dcterms:W3CDTF">2023-03-24T16:50:00Z</dcterms:modified>
</cp:coreProperties>
</file>