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37" w:rsidRPr="00ED1AAE" w:rsidRDefault="00764237"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764237" w:rsidRDefault="00764237"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721C5A" w:rsidRDefault="00721C5A" w:rsidP="00764237">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4237" w:rsidRPr="00F56824" w:rsidRDefault="00764237" w:rsidP="00764237">
      <w:pPr>
        <w:jc w:val="cente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24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Report 4</w:t>
      </w:r>
      <w:r w:rsidR="00721C5A">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240">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Housing (People in Households)</w:t>
      </w:r>
    </w:p>
    <w:p w:rsidR="00764237" w:rsidRPr="00721C5A" w:rsidRDefault="00764237" w:rsidP="00764237">
      <w:pPr>
        <w:jc w:val="center"/>
        <w:rPr>
          <w:rFonts w:cstheme="minorHAnsi"/>
          <w:b/>
        </w:rPr>
      </w:pPr>
      <w:r w:rsidRPr="00721C5A">
        <w:rPr>
          <w:rFonts w:cstheme="minorHAnsi"/>
          <w:b/>
        </w:rPr>
        <w:t>Second Phase of main statistics (December 2022)</w:t>
      </w:r>
    </w:p>
    <w:p w:rsidR="00764237" w:rsidRDefault="00764237" w:rsidP="00764237">
      <w:r w:rsidRPr="00033A84">
        <w:rPr>
          <w:rFonts w:cstheme="minorHAnsi"/>
        </w:rPr>
        <w:t xml:space="preserve">The </w:t>
      </w:r>
      <w:r>
        <w:rPr>
          <w:rFonts w:cstheme="minorHAnsi"/>
        </w:rPr>
        <w:t xml:space="preserve">second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15 December 2022 and </w:t>
      </w:r>
      <w:r>
        <w:t xml:space="preserve">provides key statistics for a number of census topics such as health, disability and unpaid care and housing and accommodation at Northern Ireland and Local Government District levels (LGD).  </w:t>
      </w:r>
    </w:p>
    <w:p w:rsidR="00764237" w:rsidRDefault="00764237" w:rsidP="00764237">
      <w:r>
        <w:t xml:space="preserve">This </w:t>
      </w:r>
      <w:r w:rsidR="00897240">
        <w:t xml:space="preserve">is the final summary report from the second phase of main statistics and </w:t>
      </w:r>
      <w:r w:rsidR="00567B5B">
        <w:t xml:space="preserve">covers census information on household </w:t>
      </w:r>
      <w:r w:rsidR="00897240">
        <w:t>tenure and car or van availability.</w:t>
      </w:r>
      <w:r w:rsidR="00567B5B">
        <w:t xml:space="preserve"> The analysis focuses on </w:t>
      </w:r>
      <w:r>
        <w:t xml:space="preserve">information for </w:t>
      </w:r>
      <w:r w:rsidRPr="00567B5B">
        <w:t>Armagh City, Banbridge and Craigavon Borough.</w:t>
      </w:r>
      <w:r>
        <w:t xml:space="preserve">  Where information is available, comparisons will be made with the 2011 census results to see how things have changed in the 10 year period since the last census. Some comparatives with other LGD’s will also be included.  </w:t>
      </w:r>
    </w:p>
    <w:p w:rsidR="00812218" w:rsidRDefault="00812218" w:rsidP="00764237">
      <w:pPr>
        <w:rPr>
          <w:b/>
        </w:rPr>
      </w:pPr>
    </w:p>
    <w:p w:rsidR="004065EB" w:rsidRDefault="004065EB" w:rsidP="00764237">
      <w:pPr>
        <w:rPr>
          <w:b/>
        </w:rPr>
      </w:pPr>
      <w:r w:rsidRPr="004065EB">
        <w:rPr>
          <w:b/>
        </w:rPr>
        <w:t xml:space="preserve">Household </w:t>
      </w:r>
      <w:r w:rsidR="00897240">
        <w:rPr>
          <w:b/>
        </w:rPr>
        <w:t>Tenure</w:t>
      </w:r>
    </w:p>
    <w:p w:rsidR="00812218" w:rsidRPr="001C07DF" w:rsidRDefault="001C07DF" w:rsidP="00764237">
      <w:r w:rsidRPr="004065EB">
        <w:t>On Census Day 2021</w:t>
      </w:r>
      <w:r>
        <w:t xml:space="preserve"> there were a total of 84,642 occupied households in the Armagh City, Banbridge and Craigavon Borough.  Of these, 58,110 (68.7%) were owner occupied while 26,532 (31.3%) were rented accommodation with 1,936 of these households living rent free.   </w:t>
      </w:r>
    </w:p>
    <w:tbl>
      <w:tblPr>
        <w:tblStyle w:val="GridTable1Light"/>
        <w:tblW w:w="7480" w:type="dxa"/>
        <w:tblLook w:val="04A0" w:firstRow="1" w:lastRow="0" w:firstColumn="1" w:lastColumn="0" w:noHBand="0" w:noVBand="1"/>
      </w:tblPr>
      <w:tblGrid>
        <w:gridCol w:w="4434"/>
        <w:gridCol w:w="1286"/>
        <w:gridCol w:w="1760"/>
      </w:tblGrid>
      <w:tr w:rsidR="00CD7AC0" w:rsidRPr="00CD7AC0" w:rsidTr="00CD7A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rPr>
                <w:rFonts w:ascii="Calibri" w:eastAsia="Times New Roman" w:hAnsi="Calibri" w:cs="Calibri"/>
                <w:color w:val="000000"/>
                <w:lang w:eastAsia="en-GB"/>
              </w:rPr>
            </w:pPr>
            <w:r w:rsidRPr="00CD7AC0">
              <w:rPr>
                <w:rFonts w:ascii="Calibri" w:eastAsia="Times New Roman" w:hAnsi="Calibri" w:cs="Calibri"/>
                <w:color w:val="000000"/>
                <w:lang w:eastAsia="en-GB"/>
              </w:rPr>
              <w:t> </w:t>
            </w:r>
          </w:p>
        </w:tc>
        <w:tc>
          <w:tcPr>
            <w:tcW w:w="1286" w:type="dxa"/>
            <w:noWrap/>
            <w:hideMark/>
          </w:tcPr>
          <w:p w:rsidR="00CD7AC0" w:rsidRPr="00CD7AC0" w:rsidRDefault="00CD7AC0" w:rsidP="00CD7A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Households</w:t>
            </w:r>
          </w:p>
        </w:tc>
        <w:tc>
          <w:tcPr>
            <w:tcW w:w="1760" w:type="dxa"/>
            <w:noWrap/>
            <w:hideMark/>
          </w:tcPr>
          <w:p w:rsidR="00CD7AC0" w:rsidRPr="00CD7AC0" w:rsidRDefault="00CD7AC0" w:rsidP="00CD7A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Percentage </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Owner Occupied</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58,110</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68.7%</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Owns outright</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30,128</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35.6%</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Owns with a mortgage or loan</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27,167</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32.1%</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Part-owns and part-rents</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815</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1.0%</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Rents</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26,532</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31.3%</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Pr>
                <w:rFonts w:ascii="Calibri" w:eastAsia="Times New Roman" w:hAnsi="Calibri" w:cs="Calibri"/>
                <w:color w:val="000000"/>
                <w:lang w:eastAsia="en-GB"/>
              </w:rPr>
              <w:t>Social rented</w:t>
            </w:r>
            <w:r w:rsidRPr="00CD7AC0">
              <w:rPr>
                <w:rFonts w:ascii="Calibri" w:eastAsia="Times New Roman" w:hAnsi="Calibri" w:cs="Calibri"/>
                <w:color w:val="000000"/>
                <w:lang w:eastAsia="en-GB"/>
              </w:rPr>
              <w:t xml:space="preserve"> (NI Housing Executive)</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7,063</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8.3%</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Social rented </w:t>
            </w:r>
            <w:r w:rsidRPr="00CD7AC0">
              <w:rPr>
                <w:rFonts w:ascii="Calibri" w:eastAsia="Times New Roman" w:hAnsi="Calibri" w:cs="Calibri"/>
                <w:color w:val="000000"/>
                <w:lang w:eastAsia="en-GB"/>
              </w:rPr>
              <w:t>(Housing Association / Trust)</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1,827</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2.2%</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Private rented</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15,706</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18.6%</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CD7AC0" w:rsidRPr="00CD7AC0" w:rsidRDefault="00CD7AC0" w:rsidP="00CD7AC0">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Lives rent free</w:t>
            </w:r>
          </w:p>
        </w:tc>
        <w:tc>
          <w:tcPr>
            <w:tcW w:w="1286"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1,936</w:t>
            </w:r>
          </w:p>
        </w:tc>
        <w:tc>
          <w:tcPr>
            <w:tcW w:w="1760" w:type="dxa"/>
            <w:noWrap/>
            <w:hideMark/>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2.3%</w:t>
            </w:r>
          </w:p>
        </w:tc>
      </w:tr>
      <w:tr w:rsidR="00CD7AC0" w:rsidRPr="00CD7AC0" w:rsidTr="00CD7AC0">
        <w:trPr>
          <w:trHeight w:val="291"/>
        </w:trPr>
        <w:tc>
          <w:tcPr>
            <w:cnfStyle w:val="001000000000" w:firstRow="0" w:lastRow="0" w:firstColumn="1" w:lastColumn="0" w:oddVBand="0" w:evenVBand="0" w:oddHBand="0" w:evenHBand="0" w:firstRowFirstColumn="0" w:firstRowLastColumn="0" w:lastRowFirstColumn="0" w:lastRowLastColumn="0"/>
            <w:tcW w:w="4434" w:type="dxa"/>
          </w:tcPr>
          <w:p w:rsidR="00CD7AC0" w:rsidRPr="00CD7AC0" w:rsidRDefault="00CD7AC0" w:rsidP="00CD7AC0">
            <w:pPr>
              <w:jc w:val="right"/>
              <w:rPr>
                <w:rFonts w:ascii="Calibri" w:eastAsia="Times New Roman" w:hAnsi="Calibri" w:cs="Calibri"/>
                <w:color w:val="000000"/>
                <w:lang w:eastAsia="en-GB"/>
              </w:rPr>
            </w:pPr>
            <w:r>
              <w:rPr>
                <w:rFonts w:ascii="Calibri" w:eastAsia="Times New Roman" w:hAnsi="Calibri" w:cs="Calibri"/>
                <w:color w:val="000000"/>
                <w:lang w:eastAsia="en-GB"/>
              </w:rPr>
              <w:t>Total</w:t>
            </w:r>
          </w:p>
        </w:tc>
        <w:tc>
          <w:tcPr>
            <w:tcW w:w="1286" w:type="dxa"/>
            <w:noWrap/>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84,642</w:t>
            </w:r>
          </w:p>
        </w:tc>
        <w:tc>
          <w:tcPr>
            <w:tcW w:w="1760" w:type="dxa"/>
            <w:noWrap/>
          </w:tcPr>
          <w:p w:rsidR="00CD7AC0" w:rsidRPr="00CD7AC0" w:rsidRDefault="00CD7AC0" w:rsidP="00CD7A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D7AC0">
              <w:rPr>
                <w:rFonts w:ascii="Calibri" w:eastAsia="Times New Roman" w:hAnsi="Calibri" w:cs="Calibri"/>
                <w:b/>
                <w:color w:val="000000"/>
                <w:lang w:eastAsia="en-GB"/>
              </w:rPr>
              <w:t>100</w:t>
            </w:r>
            <w:r>
              <w:rPr>
                <w:rFonts w:ascii="Calibri" w:eastAsia="Times New Roman" w:hAnsi="Calibri" w:cs="Calibri"/>
                <w:b/>
                <w:color w:val="000000"/>
                <w:lang w:eastAsia="en-GB"/>
              </w:rPr>
              <w:t>.0</w:t>
            </w:r>
            <w:r w:rsidRPr="00CD7AC0">
              <w:rPr>
                <w:rFonts w:ascii="Calibri" w:eastAsia="Times New Roman" w:hAnsi="Calibri" w:cs="Calibri"/>
                <w:b/>
                <w:color w:val="000000"/>
                <w:lang w:eastAsia="en-GB"/>
              </w:rPr>
              <w:t>%</w:t>
            </w:r>
          </w:p>
        </w:tc>
      </w:tr>
    </w:tbl>
    <w:p w:rsidR="00CD7AC0" w:rsidRPr="00745C3A" w:rsidRDefault="00CD7AC0" w:rsidP="00CD7AC0">
      <w:pPr>
        <w:rPr>
          <w:b/>
          <w:sz w:val="20"/>
          <w:szCs w:val="20"/>
        </w:rPr>
      </w:pPr>
      <w:r>
        <w:rPr>
          <w:i/>
          <w:sz w:val="20"/>
          <w:szCs w:val="20"/>
        </w:rPr>
        <w:t>Table</w:t>
      </w:r>
      <w:r w:rsidRPr="00E4631D">
        <w:rPr>
          <w:i/>
          <w:sz w:val="20"/>
          <w:szCs w:val="20"/>
        </w:rPr>
        <w:t xml:space="preserve"> 1: </w:t>
      </w:r>
      <w:r>
        <w:rPr>
          <w:i/>
          <w:sz w:val="20"/>
          <w:szCs w:val="20"/>
        </w:rPr>
        <w:t xml:space="preserve">Tenure of occupied households in </w:t>
      </w:r>
      <w:r w:rsidRPr="00E4631D">
        <w:rPr>
          <w:i/>
          <w:sz w:val="20"/>
          <w:szCs w:val="20"/>
        </w:rPr>
        <w:t>Armagh City, Banbridge and Craigavon</w:t>
      </w:r>
      <w:r>
        <w:rPr>
          <w:i/>
          <w:sz w:val="20"/>
          <w:szCs w:val="20"/>
        </w:rPr>
        <w:t>, 2021</w:t>
      </w:r>
      <w:r w:rsidRPr="00E4631D">
        <w:rPr>
          <w:i/>
          <w:sz w:val="20"/>
          <w:szCs w:val="20"/>
        </w:rPr>
        <w:t xml:space="preserve">.  Source: </w:t>
      </w:r>
      <w:r>
        <w:rPr>
          <w:i/>
          <w:sz w:val="20"/>
          <w:szCs w:val="20"/>
        </w:rPr>
        <w:t>Table MS-E15</w:t>
      </w:r>
      <w:r w:rsidRPr="00E4631D">
        <w:rPr>
          <w:i/>
          <w:sz w:val="20"/>
          <w:szCs w:val="20"/>
        </w:rPr>
        <w:t xml:space="preserve"> </w:t>
      </w:r>
      <w:r>
        <w:rPr>
          <w:i/>
          <w:sz w:val="20"/>
          <w:szCs w:val="20"/>
        </w:rPr>
        <w:t xml:space="preserve">Census </w:t>
      </w:r>
      <w:r w:rsidRPr="00E4631D">
        <w:rPr>
          <w:i/>
          <w:sz w:val="20"/>
          <w:szCs w:val="20"/>
        </w:rPr>
        <w:t>2021.</w:t>
      </w:r>
    </w:p>
    <w:p w:rsidR="00A36053" w:rsidRPr="00A36053" w:rsidRDefault="00A36053" w:rsidP="00764237">
      <w:r w:rsidRPr="00A36053">
        <w:t>Census 2021</w:t>
      </w:r>
      <w:r>
        <w:t xml:space="preserve"> figures also show the tenure of people living in households.  As presented in Table 2</w:t>
      </w:r>
      <w:r w:rsidR="00C67701">
        <w:t xml:space="preserve">, there were 217,018 people living in households in the borough in March 2021 with approximately 72% living in in owner occupied households.  Approximately 28% or just over 60,000 people lived in rented accommodations.   </w:t>
      </w:r>
    </w:p>
    <w:p w:rsidR="00A36053" w:rsidRDefault="00A36053" w:rsidP="00764237">
      <w:pPr>
        <w:rPr>
          <w:b/>
        </w:rPr>
      </w:pPr>
    </w:p>
    <w:tbl>
      <w:tblPr>
        <w:tblStyle w:val="GridTable1Light"/>
        <w:tblW w:w="8642" w:type="dxa"/>
        <w:tblLayout w:type="fixed"/>
        <w:tblLook w:val="04A0" w:firstRow="1" w:lastRow="0" w:firstColumn="1" w:lastColumn="0" w:noHBand="0" w:noVBand="1"/>
      </w:tblPr>
      <w:tblGrid>
        <w:gridCol w:w="4434"/>
        <w:gridCol w:w="2104"/>
        <w:gridCol w:w="2104"/>
      </w:tblGrid>
      <w:tr w:rsidR="00A36053" w:rsidRPr="00CD7AC0" w:rsidTr="008058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9809BB">
            <w:pPr>
              <w:rPr>
                <w:rFonts w:ascii="Calibri" w:eastAsia="Times New Roman" w:hAnsi="Calibri" w:cs="Calibri"/>
                <w:color w:val="000000"/>
                <w:lang w:eastAsia="en-GB"/>
              </w:rPr>
            </w:pPr>
            <w:r w:rsidRPr="00CD7AC0">
              <w:rPr>
                <w:rFonts w:ascii="Calibri" w:eastAsia="Times New Roman" w:hAnsi="Calibri" w:cs="Calibri"/>
                <w:color w:val="000000"/>
                <w:lang w:eastAsia="en-GB"/>
              </w:rPr>
              <w:lastRenderedPageBreak/>
              <w:t> </w:t>
            </w:r>
          </w:p>
        </w:tc>
        <w:tc>
          <w:tcPr>
            <w:tcW w:w="2104" w:type="dxa"/>
            <w:noWrap/>
            <w:hideMark/>
          </w:tcPr>
          <w:p w:rsidR="00A36053" w:rsidRPr="00CD7AC0" w:rsidRDefault="00805888" w:rsidP="008058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People living in </w:t>
            </w:r>
            <w:r w:rsidR="00A36053" w:rsidRPr="00CD7AC0">
              <w:rPr>
                <w:rFonts w:ascii="Calibri" w:eastAsia="Times New Roman" w:hAnsi="Calibri" w:cs="Calibri"/>
                <w:color w:val="000000"/>
                <w:lang w:eastAsia="en-GB"/>
              </w:rPr>
              <w:t>Households</w:t>
            </w:r>
          </w:p>
        </w:tc>
        <w:tc>
          <w:tcPr>
            <w:tcW w:w="2104" w:type="dxa"/>
            <w:noWrap/>
            <w:hideMark/>
          </w:tcPr>
          <w:p w:rsidR="00A36053" w:rsidRPr="00CD7AC0" w:rsidRDefault="00A36053" w:rsidP="009D521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D7AC0">
              <w:rPr>
                <w:rFonts w:ascii="Calibri" w:eastAsia="Times New Roman" w:hAnsi="Calibri" w:cs="Calibri"/>
                <w:color w:val="000000"/>
                <w:lang w:eastAsia="en-GB"/>
              </w:rPr>
              <w:t>Percentage</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Owner Occupied</w:t>
            </w:r>
          </w:p>
        </w:tc>
        <w:tc>
          <w:tcPr>
            <w:tcW w:w="2104" w:type="dxa"/>
            <w:noWrap/>
            <w:vAlign w:val="bottom"/>
            <w:hideMark/>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156,952</w:t>
            </w:r>
          </w:p>
        </w:tc>
        <w:tc>
          <w:tcPr>
            <w:tcW w:w="2104" w:type="dxa"/>
            <w:noWrap/>
            <w:vAlign w:val="bottom"/>
            <w:hideMark/>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72.3%</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Owns outright</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67,644</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31.2%</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Owns with a mortgage or loan</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87,184</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40.2%</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 xml:space="preserve"> Part-owns and part-rents</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2,124</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Rents</w:t>
            </w:r>
          </w:p>
        </w:tc>
        <w:tc>
          <w:tcPr>
            <w:tcW w:w="2104" w:type="dxa"/>
            <w:noWrap/>
            <w:hideMark/>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60,066</w:t>
            </w:r>
          </w:p>
        </w:tc>
        <w:tc>
          <w:tcPr>
            <w:tcW w:w="2104" w:type="dxa"/>
            <w:noWrap/>
            <w:vAlign w:val="bottom"/>
            <w:hideMark/>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27.7%</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Pr>
                <w:rFonts w:ascii="Calibri" w:eastAsia="Times New Roman" w:hAnsi="Calibri" w:cs="Calibri"/>
                <w:color w:val="000000"/>
                <w:lang w:eastAsia="en-GB"/>
              </w:rPr>
              <w:t>Social rented</w:t>
            </w:r>
            <w:r w:rsidRPr="00CD7AC0">
              <w:rPr>
                <w:rFonts w:ascii="Calibri" w:eastAsia="Times New Roman" w:hAnsi="Calibri" w:cs="Calibri"/>
                <w:color w:val="000000"/>
                <w:lang w:eastAsia="en-GB"/>
              </w:rPr>
              <w:t xml:space="preserve"> (NI Housing Executive)</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14,241</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Social rented </w:t>
            </w:r>
            <w:r w:rsidRPr="00CD7AC0">
              <w:rPr>
                <w:rFonts w:ascii="Calibri" w:eastAsia="Times New Roman" w:hAnsi="Calibri" w:cs="Calibri"/>
                <w:color w:val="000000"/>
                <w:lang w:eastAsia="en-GB"/>
              </w:rPr>
              <w:t>(Housing Association / Trust)</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3,468</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Private rented</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38,854</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17.9%</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hideMark/>
          </w:tcPr>
          <w:p w:rsidR="00A36053" w:rsidRPr="00CD7AC0" w:rsidRDefault="00A36053" w:rsidP="00A36053">
            <w:pPr>
              <w:jc w:val="right"/>
              <w:rPr>
                <w:rFonts w:ascii="Calibri" w:eastAsia="Times New Roman" w:hAnsi="Calibri" w:cs="Calibri"/>
                <w:color w:val="000000"/>
                <w:lang w:eastAsia="en-GB"/>
              </w:rPr>
            </w:pPr>
            <w:r w:rsidRPr="00CD7AC0">
              <w:rPr>
                <w:rFonts w:ascii="Calibri" w:eastAsia="Times New Roman" w:hAnsi="Calibri" w:cs="Calibri"/>
                <w:color w:val="000000"/>
                <w:lang w:eastAsia="en-GB"/>
              </w:rPr>
              <w:t>Lives rent free</w:t>
            </w:r>
          </w:p>
        </w:tc>
        <w:tc>
          <w:tcPr>
            <w:tcW w:w="2104" w:type="dxa"/>
            <w:noWrap/>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3,503</w:t>
            </w:r>
          </w:p>
        </w:tc>
        <w:tc>
          <w:tcPr>
            <w:tcW w:w="2104" w:type="dxa"/>
            <w:noWrap/>
            <w:vAlign w:val="bottom"/>
            <w:hideMark/>
          </w:tcPr>
          <w:p w:rsid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r>
      <w:tr w:rsidR="00A36053" w:rsidRPr="00CD7AC0" w:rsidTr="00805888">
        <w:trPr>
          <w:trHeight w:val="291"/>
        </w:trPr>
        <w:tc>
          <w:tcPr>
            <w:cnfStyle w:val="001000000000" w:firstRow="0" w:lastRow="0" w:firstColumn="1" w:lastColumn="0" w:oddVBand="0" w:evenVBand="0" w:oddHBand="0" w:evenHBand="0" w:firstRowFirstColumn="0" w:firstRowLastColumn="0" w:lastRowFirstColumn="0" w:lastRowLastColumn="0"/>
            <w:tcW w:w="4434" w:type="dxa"/>
          </w:tcPr>
          <w:p w:rsidR="00A36053" w:rsidRPr="00CD7AC0" w:rsidRDefault="00A36053" w:rsidP="00A36053">
            <w:pPr>
              <w:jc w:val="right"/>
              <w:rPr>
                <w:rFonts w:ascii="Calibri" w:eastAsia="Times New Roman" w:hAnsi="Calibri" w:cs="Calibri"/>
                <w:color w:val="000000"/>
                <w:lang w:eastAsia="en-GB"/>
              </w:rPr>
            </w:pPr>
            <w:r>
              <w:rPr>
                <w:rFonts w:ascii="Calibri" w:eastAsia="Times New Roman" w:hAnsi="Calibri" w:cs="Calibri"/>
                <w:color w:val="000000"/>
                <w:lang w:eastAsia="en-GB"/>
              </w:rPr>
              <w:t>Total</w:t>
            </w:r>
          </w:p>
        </w:tc>
        <w:tc>
          <w:tcPr>
            <w:tcW w:w="2104" w:type="dxa"/>
            <w:noWrap/>
            <w:vAlign w:val="bottom"/>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217,018</w:t>
            </w:r>
          </w:p>
        </w:tc>
        <w:tc>
          <w:tcPr>
            <w:tcW w:w="2104" w:type="dxa"/>
            <w:noWrap/>
            <w:vAlign w:val="bottom"/>
          </w:tcPr>
          <w:p w:rsidR="00A36053" w:rsidRPr="00A36053" w:rsidRDefault="00A36053" w:rsidP="00A360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A36053">
              <w:rPr>
                <w:rFonts w:ascii="Calibri" w:hAnsi="Calibri" w:cs="Calibri"/>
                <w:b/>
                <w:color w:val="000000"/>
              </w:rPr>
              <w:t>100.0%</w:t>
            </w:r>
          </w:p>
        </w:tc>
      </w:tr>
    </w:tbl>
    <w:p w:rsidR="00A36053" w:rsidRPr="00745C3A" w:rsidRDefault="00A36053" w:rsidP="00A36053">
      <w:pPr>
        <w:rPr>
          <w:b/>
          <w:sz w:val="20"/>
          <w:szCs w:val="20"/>
        </w:rPr>
      </w:pPr>
      <w:r>
        <w:rPr>
          <w:i/>
          <w:sz w:val="20"/>
          <w:szCs w:val="20"/>
        </w:rPr>
        <w:t>Table</w:t>
      </w:r>
      <w:r w:rsidRPr="00E4631D">
        <w:rPr>
          <w:i/>
          <w:sz w:val="20"/>
          <w:szCs w:val="20"/>
        </w:rPr>
        <w:t xml:space="preserve"> </w:t>
      </w:r>
      <w:r>
        <w:rPr>
          <w:i/>
          <w:sz w:val="20"/>
          <w:szCs w:val="20"/>
        </w:rPr>
        <w:t>2</w:t>
      </w:r>
      <w:r w:rsidRPr="00E4631D">
        <w:rPr>
          <w:i/>
          <w:sz w:val="20"/>
          <w:szCs w:val="20"/>
        </w:rPr>
        <w:t xml:space="preserve">: </w:t>
      </w:r>
      <w:r>
        <w:rPr>
          <w:i/>
          <w:sz w:val="20"/>
          <w:szCs w:val="20"/>
        </w:rPr>
        <w:t xml:space="preserve">Tenure of </w:t>
      </w:r>
      <w:r w:rsidR="00C67701">
        <w:rPr>
          <w:i/>
          <w:sz w:val="20"/>
          <w:szCs w:val="20"/>
        </w:rPr>
        <w:t>all people living in</w:t>
      </w:r>
      <w:r>
        <w:rPr>
          <w:i/>
          <w:sz w:val="20"/>
          <w:szCs w:val="20"/>
        </w:rPr>
        <w:t xml:space="preserve"> households in </w:t>
      </w:r>
      <w:r w:rsidRPr="00E4631D">
        <w:rPr>
          <w:i/>
          <w:sz w:val="20"/>
          <w:szCs w:val="20"/>
        </w:rPr>
        <w:t>Armagh City, Banbridge and Craigavon</w:t>
      </w:r>
      <w:r>
        <w:rPr>
          <w:i/>
          <w:sz w:val="20"/>
          <w:szCs w:val="20"/>
        </w:rPr>
        <w:t>, 2021</w:t>
      </w:r>
      <w:r w:rsidRPr="00E4631D">
        <w:rPr>
          <w:i/>
          <w:sz w:val="20"/>
          <w:szCs w:val="20"/>
        </w:rPr>
        <w:t xml:space="preserve">.  Source: </w:t>
      </w:r>
      <w:r>
        <w:rPr>
          <w:i/>
          <w:sz w:val="20"/>
          <w:szCs w:val="20"/>
        </w:rPr>
        <w:t>Table MS-E14</w:t>
      </w:r>
      <w:r w:rsidRPr="00E4631D">
        <w:rPr>
          <w:i/>
          <w:sz w:val="20"/>
          <w:szCs w:val="20"/>
        </w:rPr>
        <w:t xml:space="preserve"> </w:t>
      </w:r>
      <w:r>
        <w:rPr>
          <w:i/>
          <w:sz w:val="20"/>
          <w:szCs w:val="20"/>
        </w:rPr>
        <w:t xml:space="preserve">Census </w:t>
      </w:r>
      <w:r w:rsidRPr="00E4631D">
        <w:rPr>
          <w:i/>
          <w:sz w:val="20"/>
          <w:szCs w:val="20"/>
        </w:rPr>
        <w:t>2021.</w:t>
      </w:r>
    </w:p>
    <w:p w:rsidR="0034081D" w:rsidRPr="00965C26" w:rsidRDefault="00965C26" w:rsidP="00764237">
      <w:r w:rsidRPr="00965C26">
        <w:t>Figure 1 presents the tenure of occupied households by LGD.  Belfast and Derry City and Strabane</w:t>
      </w:r>
      <w:r>
        <w:t xml:space="preserve"> have the highest proportions of rented accommodations of all LGD with both above the Northern Ireland average of 34.8%.  </w:t>
      </w:r>
    </w:p>
    <w:p w:rsidR="00812218" w:rsidRDefault="00812218" w:rsidP="00812218">
      <w:pPr>
        <w:rPr>
          <w:i/>
          <w:sz w:val="20"/>
          <w:szCs w:val="20"/>
        </w:rPr>
      </w:pPr>
      <w:r>
        <w:rPr>
          <w:noProof/>
          <w:lang w:eastAsia="en-GB"/>
        </w:rPr>
        <w:drawing>
          <wp:inline distT="0" distB="0" distL="0" distR="0" wp14:anchorId="4B26CD0C" wp14:editId="34B94907">
            <wp:extent cx="5705475" cy="32575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Pr="00812218">
        <w:rPr>
          <w:i/>
          <w:sz w:val="20"/>
          <w:szCs w:val="20"/>
        </w:rPr>
        <w:t xml:space="preserve"> </w:t>
      </w:r>
      <w:r>
        <w:rPr>
          <w:i/>
          <w:sz w:val="20"/>
          <w:szCs w:val="20"/>
        </w:rPr>
        <w:t>Figure 1</w:t>
      </w:r>
      <w:r w:rsidRPr="00E4631D">
        <w:rPr>
          <w:i/>
          <w:sz w:val="20"/>
          <w:szCs w:val="20"/>
        </w:rPr>
        <w:t xml:space="preserve">: </w:t>
      </w:r>
      <w:r>
        <w:rPr>
          <w:i/>
          <w:sz w:val="20"/>
          <w:szCs w:val="20"/>
        </w:rPr>
        <w:t xml:space="preserve">Tenure of </w:t>
      </w:r>
      <w:r w:rsidR="00965C26">
        <w:rPr>
          <w:i/>
          <w:sz w:val="20"/>
          <w:szCs w:val="20"/>
        </w:rPr>
        <w:t>occupied</w:t>
      </w:r>
      <w:r>
        <w:rPr>
          <w:i/>
          <w:sz w:val="20"/>
          <w:szCs w:val="20"/>
        </w:rPr>
        <w:t xml:space="preserve"> households </w:t>
      </w:r>
      <w:r w:rsidR="00965C26">
        <w:rPr>
          <w:i/>
          <w:sz w:val="20"/>
          <w:szCs w:val="20"/>
        </w:rPr>
        <w:t>by LGD</w:t>
      </w:r>
      <w:r>
        <w:rPr>
          <w:i/>
          <w:sz w:val="20"/>
          <w:szCs w:val="20"/>
        </w:rPr>
        <w:t>, 2021</w:t>
      </w:r>
      <w:r w:rsidRPr="00E4631D">
        <w:rPr>
          <w:i/>
          <w:sz w:val="20"/>
          <w:szCs w:val="20"/>
        </w:rPr>
        <w:t xml:space="preserve">.  Source: </w:t>
      </w:r>
      <w:r>
        <w:rPr>
          <w:i/>
          <w:sz w:val="20"/>
          <w:szCs w:val="20"/>
        </w:rPr>
        <w:t>Table MS-E1</w:t>
      </w:r>
      <w:r w:rsidR="00965C26">
        <w:rPr>
          <w:i/>
          <w:sz w:val="20"/>
          <w:szCs w:val="20"/>
        </w:rPr>
        <w:t>5</w:t>
      </w:r>
      <w:r w:rsidRPr="00E4631D">
        <w:rPr>
          <w:i/>
          <w:sz w:val="20"/>
          <w:szCs w:val="20"/>
        </w:rPr>
        <w:t xml:space="preserve"> </w:t>
      </w:r>
      <w:r>
        <w:rPr>
          <w:i/>
          <w:sz w:val="20"/>
          <w:szCs w:val="20"/>
        </w:rPr>
        <w:t xml:space="preserve">Census </w:t>
      </w:r>
      <w:r w:rsidRPr="00E4631D">
        <w:rPr>
          <w:i/>
          <w:sz w:val="20"/>
          <w:szCs w:val="20"/>
        </w:rPr>
        <w:t>2021.</w:t>
      </w:r>
    </w:p>
    <w:p w:rsidR="001A0A4D" w:rsidRDefault="001A0A4D" w:rsidP="00812218">
      <w:pPr>
        <w:rPr>
          <w:i/>
          <w:sz w:val="20"/>
          <w:szCs w:val="20"/>
        </w:rPr>
      </w:pPr>
    </w:p>
    <w:p w:rsidR="001A0A4D" w:rsidRDefault="001A0A4D" w:rsidP="00812218">
      <w:r>
        <w:t xml:space="preserve">The tenure of occupied households in 2011 and 2021 is presented in Table 3.  </w:t>
      </w:r>
      <w:r w:rsidRPr="001A0A4D">
        <w:t>Since 2011</w:t>
      </w:r>
      <w:r>
        <w:t>, there has been a 1.6 percentage point drop in owner occupied households.  The proportion of social rented households has also fallen slightly while the proportion in private rent</w:t>
      </w:r>
      <w:r w:rsidR="005C6FA0">
        <w:t>ed accommodations has increased by almost 3%.  The number of households living rent free has fallen by 0.3 percentage points to 2.3% in 2021.</w:t>
      </w:r>
    </w:p>
    <w:p w:rsidR="005C6FA0" w:rsidRDefault="005C6FA0" w:rsidP="00812218"/>
    <w:p w:rsidR="005C6FA0" w:rsidRPr="001A0A4D" w:rsidRDefault="005C6FA0" w:rsidP="00812218"/>
    <w:tbl>
      <w:tblPr>
        <w:tblStyle w:val="GridTable1Light"/>
        <w:tblW w:w="6720" w:type="dxa"/>
        <w:tblLook w:val="04A0" w:firstRow="1" w:lastRow="0" w:firstColumn="1" w:lastColumn="0" w:noHBand="0" w:noVBand="1"/>
      </w:tblPr>
      <w:tblGrid>
        <w:gridCol w:w="2960"/>
        <w:gridCol w:w="1880"/>
        <w:gridCol w:w="1880"/>
      </w:tblGrid>
      <w:tr w:rsidR="007602E0" w:rsidRPr="001A0A4D" w:rsidTr="00C029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0" w:type="dxa"/>
            <w:noWrap/>
            <w:hideMark/>
          </w:tcPr>
          <w:p w:rsidR="007602E0" w:rsidRPr="001A0A4D" w:rsidRDefault="007602E0" w:rsidP="001A0A4D">
            <w:pPr>
              <w:rPr>
                <w:rFonts w:ascii="Calibri" w:eastAsia="Times New Roman" w:hAnsi="Calibri" w:cs="Calibri"/>
                <w:color w:val="000000"/>
                <w:lang w:eastAsia="en-GB"/>
              </w:rPr>
            </w:pPr>
            <w:r w:rsidRPr="001A0A4D">
              <w:rPr>
                <w:rFonts w:ascii="Calibri" w:eastAsia="Times New Roman" w:hAnsi="Calibri" w:cs="Calibri"/>
                <w:color w:val="000000"/>
                <w:lang w:eastAsia="en-GB"/>
              </w:rPr>
              <w:lastRenderedPageBreak/>
              <w:t> </w:t>
            </w:r>
          </w:p>
        </w:tc>
        <w:tc>
          <w:tcPr>
            <w:tcW w:w="3760" w:type="dxa"/>
            <w:gridSpan w:val="2"/>
            <w:noWrap/>
          </w:tcPr>
          <w:p w:rsidR="007602E0" w:rsidRPr="001A0A4D" w:rsidRDefault="007602E0" w:rsidP="001A0A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Percentage of Households</w:t>
            </w:r>
          </w:p>
        </w:tc>
      </w:tr>
      <w:tr w:rsidR="007602E0" w:rsidRPr="007602E0" w:rsidTr="001A0A4D">
        <w:trPr>
          <w:trHeight w:val="300"/>
        </w:trPr>
        <w:tc>
          <w:tcPr>
            <w:cnfStyle w:val="001000000000" w:firstRow="0" w:lastRow="0" w:firstColumn="1" w:lastColumn="0" w:oddVBand="0" w:evenVBand="0" w:oddHBand="0" w:evenHBand="0" w:firstRowFirstColumn="0" w:firstRowLastColumn="0" w:lastRowFirstColumn="0" w:lastRowLastColumn="0"/>
            <w:tcW w:w="2960" w:type="dxa"/>
            <w:noWrap/>
          </w:tcPr>
          <w:p w:rsidR="007602E0" w:rsidRPr="007602E0" w:rsidRDefault="007602E0" w:rsidP="007602E0">
            <w:pPr>
              <w:rPr>
                <w:rFonts w:ascii="Calibri" w:eastAsia="Times New Roman" w:hAnsi="Calibri" w:cs="Calibri"/>
                <w:color w:val="000000"/>
                <w:lang w:eastAsia="en-GB"/>
              </w:rPr>
            </w:pPr>
          </w:p>
        </w:tc>
        <w:tc>
          <w:tcPr>
            <w:tcW w:w="1880" w:type="dxa"/>
            <w:noWrap/>
          </w:tcPr>
          <w:p w:rsidR="007602E0" w:rsidRPr="007602E0"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7602E0">
              <w:rPr>
                <w:rFonts w:ascii="Calibri" w:eastAsia="Times New Roman" w:hAnsi="Calibri" w:cs="Calibri"/>
                <w:b/>
                <w:color w:val="000000"/>
                <w:lang w:eastAsia="en-GB"/>
              </w:rPr>
              <w:t>2011</w:t>
            </w:r>
          </w:p>
        </w:tc>
        <w:tc>
          <w:tcPr>
            <w:tcW w:w="1880" w:type="dxa"/>
            <w:noWrap/>
          </w:tcPr>
          <w:p w:rsidR="007602E0" w:rsidRPr="007602E0"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7602E0">
              <w:rPr>
                <w:rFonts w:ascii="Calibri" w:eastAsia="Times New Roman" w:hAnsi="Calibri" w:cs="Calibri"/>
                <w:b/>
                <w:color w:val="000000"/>
                <w:lang w:eastAsia="en-GB"/>
              </w:rPr>
              <w:t>2021</w:t>
            </w:r>
          </w:p>
        </w:tc>
      </w:tr>
      <w:tr w:rsidR="007602E0" w:rsidRPr="001A0A4D" w:rsidTr="001A0A4D">
        <w:trPr>
          <w:trHeight w:val="300"/>
        </w:trPr>
        <w:tc>
          <w:tcPr>
            <w:cnfStyle w:val="001000000000" w:firstRow="0" w:lastRow="0" w:firstColumn="1" w:lastColumn="0" w:oddVBand="0" w:evenVBand="0" w:oddHBand="0" w:evenHBand="0" w:firstRowFirstColumn="0" w:firstRowLastColumn="0" w:lastRowFirstColumn="0" w:lastRowLastColumn="0"/>
            <w:tcW w:w="2960" w:type="dxa"/>
            <w:noWrap/>
            <w:hideMark/>
          </w:tcPr>
          <w:p w:rsidR="007602E0" w:rsidRPr="001A0A4D" w:rsidRDefault="007602E0" w:rsidP="007602E0">
            <w:pPr>
              <w:rPr>
                <w:rFonts w:ascii="Calibri" w:eastAsia="Times New Roman" w:hAnsi="Calibri" w:cs="Calibri"/>
                <w:color w:val="000000"/>
                <w:lang w:eastAsia="en-GB"/>
              </w:rPr>
            </w:pPr>
            <w:r w:rsidRPr="001A0A4D">
              <w:rPr>
                <w:rFonts w:ascii="Calibri" w:eastAsia="Times New Roman" w:hAnsi="Calibri" w:cs="Calibri"/>
                <w:color w:val="000000"/>
                <w:lang w:eastAsia="en-GB"/>
              </w:rPr>
              <w:t>Owner Occupied</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70.3%</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68.7%</w:t>
            </w:r>
          </w:p>
        </w:tc>
      </w:tr>
      <w:tr w:rsidR="007602E0" w:rsidRPr="001A0A4D" w:rsidTr="001A0A4D">
        <w:trPr>
          <w:trHeight w:val="300"/>
        </w:trPr>
        <w:tc>
          <w:tcPr>
            <w:cnfStyle w:val="001000000000" w:firstRow="0" w:lastRow="0" w:firstColumn="1" w:lastColumn="0" w:oddVBand="0" w:evenVBand="0" w:oddHBand="0" w:evenHBand="0" w:firstRowFirstColumn="0" w:firstRowLastColumn="0" w:lastRowFirstColumn="0" w:lastRowLastColumn="0"/>
            <w:tcW w:w="2960" w:type="dxa"/>
            <w:noWrap/>
            <w:hideMark/>
          </w:tcPr>
          <w:p w:rsidR="007602E0" w:rsidRPr="001A0A4D" w:rsidRDefault="007602E0" w:rsidP="007602E0">
            <w:pPr>
              <w:rPr>
                <w:rFonts w:ascii="Calibri" w:eastAsia="Times New Roman" w:hAnsi="Calibri" w:cs="Calibri"/>
                <w:color w:val="000000"/>
                <w:lang w:eastAsia="en-GB"/>
              </w:rPr>
            </w:pPr>
            <w:r w:rsidRPr="001A0A4D">
              <w:rPr>
                <w:rFonts w:ascii="Calibri" w:eastAsia="Times New Roman" w:hAnsi="Calibri" w:cs="Calibri"/>
                <w:color w:val="000000"/>
                <w:lang w:eastAsia="en-GB"/>
              </w:rPr>
              <w:t>Social Rented</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11.3%</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10.5%</w:t>
            </w:r>
          </w:p>
        </w:tc>
        <w:bookmarkStart w:id="0" w:name="_GoBack"/>
        <w:bookmarkEnd w:id="0"/>
      </w:tr>
      <w:tr w:rsidR="007602E0" w:rsidRPr="001A0A4D" w:rsidTr="001A0A4D">
        <w:trPr>
          <w:trHeight w:val="300"/>
        </w:trPr>
        <w:tc>
          <w:tcPr>
            <w:cnfStyle w:val="001000000000" w:firstRow="0" w:lastRow="0" w:firstColumn="1" w:lastColumn="0" w:oddVBand="0" w:evenVBand="0" w:oddHBand="0" w:evenHBand="0" w:firstRowFirstColumn="0" w:firstRowLastColumn="0" w:lastRowFirstColumn="0" w:lastRowLastColumn="0"/>
            <w:tcW w:w="2960" w:type="dxa"/>
            <w:noWrap/>
            <w:hideMark/>
          </w:tcPr>
          <w:p w:rsidR="007602E0" w:rsidRPr="001A0A4D" w:rsidRDefault="007602E0" w:rsidP="007602E0">
            <w:pPr>
              <w:rPr>
                <w:rFonts w:ascii="Calibri" w:eastAsia="Times New Roman" w:hAnsi="Calibri" w:cs="Calibri"/>
                <w:color w:val="000000"/>
                <w:lang w:eastAsia="en-GB"/>
              </w:rPr>
            </w:pPr>
            <w:r w:rsidRPr="001A0A4D">
              <w:rPr>
                <w:rFonts w:ascii="Calibri" w:eastAsia="Times New Roman" w:hAnsi="Calibri" w:cs="Calibri"/>
                <w:color w:val="000000"/>
                <w:lang w:eastAsia="en-GB"/>
              </w:rPr>
              <w:t>Private Rented</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15.7%</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18.6%</w:t>
            </w:r>
          </w:p>
        </w:tc>
      </w:tr>
      <w:tr w:rsidR="007602E0" w:rsidRPr="001A0A4D" w:rsidTr="001A0A4D">
        <w:trPr>
          <w:trHeight w:val="300"/>
        </w:trPr>
        <w:tc>
          <w:tcPr>
            <w:cnfStyle w:val="001000000000" w:firstRow="0" w:lastRow="0" w:firstColumn="1" w:lastColumn="0" w:oddVBand="0" w:evenVBand="0" w:oddHBand="0" w:evenHBand="0" w:firstRowFirstColumn="0" w:firstRowLastColumn="0" w:lastRowFirstColumn="0" w:lastRowLastColumn="0"/>
            <w:tcW w:w="2960" w:type="dxa"/>
            <w:noWrap/>
            <w:hideMark/>
          </w:tcPr>
          <w:p w:rsidR="007602E0" w:rsidRPr="001A0A4D" w:rsidRDefault="007602E0" w:rsidP="007602E0">
            <w:pPr>
              <w:rPr>
                <w:rFonts w:ascii="Calibri" w:eastAsia="Times New Roman" w:hAnsi="Calibri" w:cs="Calibri"/>
                <w:color w:val="000000"/>
                <w:lang w:eastAsia="en-GB"/>
              </w:rPr>
            </w:pPr>
            <w:r w:rsidRPr="001A0A4D">
              <w:rPr>
                <w:rFonts w:ascii="Calibri" w:eastAsia="Times New Roman" w:hAnsi="Calibri" w:cs="Calibri"/>
                <w:color w:val="000000"/>
                <w:lang w:eastAsia="en-GB"/>
              </w:rPr>
              <w:t xml:space="preserve">Lives Rent Free </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2.6%</w:t>
            </w:r>
          </w:p>
        </w:tc>
        <w:tc>
          <w:tcPr>
            <w:tcW w:w="1880" w:type="dxa"/>
            <w:noWrap/>
            <w:hideMark/>
          </w:tcPr>
          <w:p w:rsidR="007602E0" w:rsidRPr="001A0A4D" w:rsidRDefault="007602E0" w:rsidP="007602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A0A4D">
              <w:rPr>
                <w:rFonts w:ascii="Calibri" w:eastAsia="Times New Roman" w:hAnsi="Calibri" w:cs="Calibri"/>
                <w:color w:val="000000"/>
                <w:lang w:eastAsia="en-GB"/>
              </w:rPr>
              <w:t>2.3%</w:t>
            </w:r>
          </w:p>
        </w:tc>
      </w:tr>
    </w:tbl>
    <w:p w:rsidR="001A0A4D" w:rsidRPr="00745C3A" w:rsidRDefault="001A0A4D" w:rsidP="001A0A4D">
      <w:pPr>
        <w:rPr>
          <w:b/>
          <w:sz w:val="20"/>
          <w:szCs w:val="20"/>
        </w:rPr>
      </w:pPr>
      <w:r>
        <w:rPr>
          <w:i/>
          <w:sz w:val="20"/>
          <w:szCs w:val="20"/>
        </w:rPr>
        <w:t>Table 3</w:t>
      </w:r>
      <w:r w:rsidRPr="00E4631D">
        <w:rPr>
          <w:i/>
          <w:sz w:val="20"/>
          <w:szCs w:val="20"/>
        </w:rPr>
        <w:t xml:space="preserve">: </w:t>
      </w:r>
      <w:r>
        <w:rPr>
          <w:i/>
          <w:sz w:val="20"/>
          <w:szCs w:val="20"/>
        </w:rPr>
        <w:t xml:space="preserve">Tenure of occupied households in </w:t>
      </w:r>
      <w:r w:rsidRPr="00E4631D">
        <w:rPr>
          <w:i/>
          <w:sz w:val="20"/>
          <w:szCs w:val="20"/>
        </w:rPr>
        <w:t>Armagh City, Banbridge and Craigavon</w:t>
      </w:r>
      <w:r>
        <w:rPr>
          <w:i/>
          <w:sz w:val="20"/>
          <w:szCs w:val="20"/>
        </w:rPr>
        <w:t>, 2011 &amp; 2021</w:t>
      </w:r>
      <w:r w:rsidRPr="00E4631D">
        <w:rPr>
          <w:i/>
          <w:sz w:val="20"/>
          <w:szCs w:val="20"/>
        </w:rPr>
        <w:t xml:space="preserve">.  Source: </w:t>
      </w:r>
      <w:r>
        <w:rPr>
          <w:i/>
          <w:sz w:val="20"/>
          <w:szCs w:val="20"/>
        </w:rPr>
        <w:t>Census 2011 &amp; Table MS-E15</w:t>
      </w:r>
      <w:r w:rsidRPr="00E4631D">
        <w:rPr>
          <w:i/>
          <w:sz w:val="20"/>
          <w:szCs w:val="20"/>
        </w:rPr>
        <w:t xml:space="preserve"> </w:t>
      </w:r>
      <w:r>
        <w:rPr>
          <w:i/>
          <w:sz w:val="20"/>
          <w:szCs w:val="20"/>
        </w:rPr>
        <w:t xml:space="preserve">Census </w:t>
      </w:r>
      <w:r w:rsidRPr="00E4631D">
        <w:rPr>
          <w:i/>
          <w:sz w:val="20"/>
          <w:szCs w:val="20"/>
        </w:rPr>
        <w:t>2021.</w:t>
      </w:r>
    </w:p>
    <w:p w:rsidR="0034081D" w:rsidRDefault="0034081D" w:rsidP="00764237">
      <w:pPr>
        <w:rPr>
          <w:b/>
        </w:rPr>
      </w:pPr>
    </w:p>
    <w:p w:rsidR="005041A0" w:rsidRDefault="005041A0" w:rsidP="00764237">
      <w:pPr>
        <w:rPr>
          <w:b/>
        </w:rPr>
      </w:pPr>
      <w:r>
        <w:rPr>
          <w:b/>
        </w:rPr>
        <w:t xml:space="preserve">Car or Van Availability </w:t>
      </w:r>
    </w:p>
    <w:p w:rsidR="00380F33" w:rsidRDefault="00ED0ECC" w:rsidP="00764237">
      <w:r w:rsidRPr="00ED0ECC">
        <w:t>On Census Day 2021</w:t>
      </w:r>
      <w:r>
        <w:t>, over 15% of households in Armagh City, Banbridge and Craigavon Borough had no car or van available to them while 14% of households had 3 or more cars or vans</w:t>
      </w:r>
      <w:r w:rsidR="00380F33">
        <w:t xml:space="preserve">.  In Northern Ireland overall, almost 20% of households had no car or van available </w:t>
      </w:r>
      <w:r w:rsidR="00323AA4">
        <w:t>to them while almost 12% had</w:t>
      </w:r>
      <w:r w:rsidR="00380F33">
        <w:t xml:space="preserve"> 3 or more cars or vans available. </w:t>
      </w:r>
    </w:p>
    <w:tbl>
      <w:tblPr>
        <w:tblStyle w:val="GridTable1Light"/>
        <w:tblW w:w="8642" w:type="dxa"/>
        <w:tblLayout w:type="fixed"/>
        <w:tblLook w:val="04A0" w:firstRow="1" w:lastRow="0" w:firstColumn="1" w:lastColumn="0" w:noHBand="0" w:noVBand="1"/>
      </w:tblPr>
      <w:tblGrid>
        <w:gridCol w:w="2880"/>
        <w:gridCol w:w="1440"/>
        <w:gridCol w:w="1441"/>
        <w:gridCol w:w="1440"/>
        <w:gridCol w:w="1441"/>
      </w:tblGrid>
      <w:tr w:rsidR="00380F33" w:rsidRPr="00380F33" w:rsidTr="00380F3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rPr>
                <w:rFonts w:ascii="Calibri" w:eastAsia="Times New Roman" w:hAnsi="Calibri" w:cs="Calibri"/>
                <w:color w:val="000000"/>
                <w:lang w:eastAsia="en-GB"/>
              </w:rPr>
            </w:pPr>
            <w:r w:rsidRPr="00380F33">
              <w:rPr>
                <w:rFonts w:ascii="Calibri" w:eastAsia="Times New Roman" w:hAnsi="Calibri" w:cs="Calibri"/>
                <w:color w:val="000000"/>
                <w:lang w:eastAsia="en-GB"/>
              </w:rPr>
              <w:t> </w:t>
            </w:r>
          </w:p>
        </w:tc>
        <w:tc>
          <w:tcPr>
            <w:tcW w:w="2881" w:type="dxa"/>
            <w:gridSpan w:val="2"/>
            <w:noWrap/>
            <w:hideMark/>
          </w:tcPr>
          <w:p w:rsidR="00380F33" w:rsidRPr="00380F33" w:rsidRDefault="00380F33" w:rsidP="00380F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A</w:t>
            </w:r>
            <w:r w:rsidR="006B25BC">
              <w:rPr>
                <w:rFonts w:ascii="Calibri" w:eastAsia="Times New Roman" w:hAnsi="Calibri" w:cs="Calibri"/>
                <w:color w:val="000000"/>
                <w:lang w:eastAsia="en-GB"/>
              </w:rPr>
              <w:t xml:space="preserve">rmagh, </w:t>
            </w:r>
            <w:r w:rsidRPr="00380F33">
              <w:rPr>
                <w:rFonts w:ascii="Calibri" w:eastAsia="Times New Roman" w:hAnsi="Calibri" w:cs="Calibri"/>
                <w:color w:val="000000"/>
                <w:lang w:eastAsia="en-GB"/>
              </w:rPr>
              <w:t>B</w:t>
            </w:r>
            <w:r w:rsidR="006B25BC">
              <w:rPr>
                <w:rFonts w:ascii="Calibri" w:eastAsia="Times New Roman" w:hAnsi="Calibri" w:cs="Calibri"/>
                <w:color w:val="000000"/>
                <w:lang w:eastAsia="en-GB"/>
              </w:rPr>
              <w:t xml:space="preserve">anbridge &amp; </w:t>
            </w:r>
            <w:r w:rsidRPr="00380F33">
              <w:rPr>
                <w:rFonts w:ascii="Calibri" w:eastAsia="Times New Roman" w:hAnsi="Calibri" w:cs="Calibri"/>
                <w:color w:val="000000"/>
                <w:lang w:eastAsia="en-GB"/>
              </w:rPr>
              <w:t>C</w:t>
            </w:r>
            <w:r w:rsidR="006B25BC">
              <w:rPr>
                <w:rFonts w:ascii="Calibri" w:eastAsia="Times New Roman" w:hAnsi="Calibri" w:cs="Calibri"/>
                <w:color w:val="000000"/>
                <w:lang w:eastAsia="en-GB"/>
              </w:rPr>
              <w:t>raigavon Borough</w:t>
            </w:r>
          </w:p>
        </w:tc>
        <w:tc>
          <w:tcPr>
            <w:tcW w:w="2881" w:type="dxa"/>
            <w:gridSpan w:val="2"/>
            <w:noWrap/>
            <w:hideMark/>
          </w:tcPr>
          <w:p w:rsidR="00380F33" w:rsidRPr="00380F33" w:rsidRDefault="006B25BC" w:rsidP="00380F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Northern Ireland</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rPr>
                <w:rFonts w:ascii="Calibri" w:eastAsia="Times New Roman" w:hAnsi="Calibri" w:cs="Calibri"/>
                <w:color w:val="000000"/>
                <w:lang w:eastAsia="en-GB"/>
              </w:rPr>
            </w:pPr>
            <w:r w:rsidRPr="00380F33">
              <w:rPr>
                <w:rFonts w:ascii="Calibri" w:eastAsia="Times New Roman" w:hAnsi="Calibri" w:cs="Calibri"/>
                <w:color w:val="000000"/>
                <w:lang w:eastAsia="en-GB"/>
              </w:rPr>
              <w:t> </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380F33">
              <w:rPr>
                <w:rFonts w:ascii="Calibri" w:eastAsia="Times New Roman" w:hAnsi="Calibri" w:cs="Calibri"/>
                <w:b/>
                <w:color w:val="000000"/>
                <w:lang w:eastAsia="en-GB"/>
              </w:rPr>
              <w:t>Households</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380F33">
              <w:rPr>
                <w:rFonts w:ascii="Calibri" w:eastAsia="Times New Roman" w:hAnsi="Calibri" w:cs="Calibri"/>
                <w:b/>
                <w:color w:val="000000"/>
                <w:lang w:eastAsia="en-GB"/>
              </w:rPr>
              <w:t xml:space="preserve">Percentage </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380F33">
              <w:rPr>
                <w:rFonts w:ascii="Calibri" w:eastAsia="Times New Roman" w:hAnsi="Calibri" w:cs="Calibri"/>
                <w:b/>
                <w:color w:val="000000"/>
                <w:lang w:eastAsia="en-GB"/>
              </w:rPr>
              <w:t>Households</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380F33">
              <w:rPr>
                <w:rFonts w:ascii="Calibri" w:eastAsia="Times New Roman" w:hAnsi="Calibri" w:cs="Calibri"/>
                <w:b/>
                <w:color w:val="000000"/>
                <w:lang w:eastAsia="en-GB"/>
              </w:rPr>
              <w:t xml:space="preserve">Percentage </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rPr>
                <w:rFonts w:ascii="Calibri" w:eastAsia="Times New Roman" w:hAnsi="Calibri" w:cs="Calibri"/>
                <w:color w:val="000000"/>
                <w:lang w:eastAsia="en-GB"/>
              </w:rPr>
            </w:pPr>
            <w:r w:rsidRPr="00380F33">
              <w:rPr>
                <w:rFonts w:ascii="Calibri" w:eastAsia="Times New Roman" w:hAnsi="Calibri" w:cs="Calibri"/>
                <w:color w:val="000000"/>
                <w:lang w:eastAsia="en-GB"/>
              </w:rPr>
              <w:t>No car or van</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13,116</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15.5%</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150,279</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19.5%</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rPr>
                <w:rFonts w:ascii="Calibri" w:eastAsia="Times New Roman" w:hAnsi="Calibri" w:cs="Calibri"/>
                <w:color w:val="000000"/>
                <w:lang w:eastAsia="en-GB"/>
              </w:rPr>
            </w:pPr>
            <w:r w:rsidRPr="00380F33">
              <w:rPr>
                <w:rFonts w:ascii="Calibri" w:eastAsia="Times New Roman" w:hAnsi="Calibri" w:cs="Calibri"/>
                <w:color w:val="000000"/>
                <w:lang w:eastAsia="en-GB"/>
              </w:rPr>
              <w:t>1 or more cars or vans</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71,525</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84.5%</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618,531</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80.5%</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jc w:val="right"/>
              <w:rPr>
                <w:rFonts w:ascii="Calibri" w:eastAsia="Times New Roman" w:hAnsi="Calibri" w:cs="Calibri"/>
                <w:color w:val="000000"/>
                <w:lang w:eastAsia="en-GB"/>
              </w:rPr>
            </w:pPr>
            <w:r w:rsidRPr="00380F33">
              <w:rPr>
                <w:rFonts w:ascii="Calibri" w:eastAsia="Times New Roman" w:hAnsi="Calibri" w:cs="Calibri"/>
                <w:color w:val="000000"/>
                <w:lang w:eastAsia="en-GB"/>
              </w:rPr>
              <w:t>1 car or van</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31,971</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37.8%</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305,407</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39.7%</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jc w:val="right"/>
              <w:rPr>
                <w:rFonts w:ascii="Calibri" w:eastAsia="Times New Roman" w:hAnsi="Calibri" w:cs="Calibri"/>
                <w:color w:val="000000"/>
                <w:lang w:eastAsia="en-GB"/>
              </w:rPr>
            </w:pPr>
            <w:r w:rsidRPr="00380F33">
              <w:rPr>
                <w:rFonts w:ascii="Calibri" w:eastAsia="Times New Roman" w:hAnsi="Calibri" w:cs="Calibri"/>
                <w:color w:val="000000"/>
                <w:lang w:eastAsia="en-GB"/>
              </w:rPr>
              <w:t>2 cars or vans</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27,717</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32.7%</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222,565</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28.9%</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jc w:val="right"/>
              <w:rPr>
                <w:rFonts w:ascii="Calibri" w:eastAsia="Times New Roman" w:hAnsi="Calibri" w:cs="Calibri"/>
                <w:color w:val="000000"/>
                <w:lang w:eastAsia="en-GB"/>
              </w:rPr>
            </w:pPr>
            <w:r w:rsidRPr="00380F33">
              <w:rPr>
                <w:rFonts w:ascii="Calibri" w:eastAsia="Times New Roman" w:hAnsi="Calibri" w:cs="Calibri"/>
                <w:color w:val="000000"/>
                <w:lang w:eastAsia="en-GB"/>
              </w:rPr>
              <w:t>3 cars or vans</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7,841</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9.3%</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60,887</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7.9%</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jc w:val="right"/>
              <w:rPr>
                <w:rFonts w:ascii="Calibri" w:eastAsia="Times New Roman" w:hAnsi="Calibri" w:cs="Calibri"/>
                <w:color w:val="000000"/>
                <w:lang w:eastAsia="en-GB"/>
              </w:rPr>
            </w:pPr>
            <w:r w:rsidRPr="00380F33">
              <w:rPr>
                <w:rFonts w:ascii="Calibri" w:eastAsia="Times New Roman" w:hAnsi="Calibri" w:cs="Calibri"/>
                <w:color w:val="000000"/>
                <w:lang w:eastAsia="en-GB"/>
              </w:rPr>
              <w:t>4 cars or vans</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2,704</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3.2%</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19,994</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2.6%</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jc w:val="right"/>
              <w:rPr>
                <w:rFonts w:ascii="Calibri" w:eastAsia="Times New Roman" w:hAnsi="Calibri" w:cs="Calibri"/>
                <w:color w:val="000000"/>
                <w:lang w:eastAsia="en-GB"/>
              </w:rPr>
            </w:pPr>
            <w:r w:rsidRPr="00380F33">
              <w:rPr>
                <w:rFonts w:ascii="Calibri" w:eastAsia="Times New Roman" w:hAnsi="Calibri" w:cs="Calibri"/>
                <w:color w:val="000000"/>
                <w:lang w:eastAsia="en-GB"/>
              </w:rPr>
              <w:t>5 or more cars or vans</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1,292</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1.5%</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9,678</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80F33">
              <w:rPr>
                <w:rFonts w:ascii="Calibri" w:eastAsia="Times New Roman" w:hAnsi="Calibri" w:cs="Calibri"/>
                <w:color w:val="000000"/>
                <w:lang w:eastAsia="en-GB"/>
              </w:rPr>
              <w:t>1.3%</w:t>
            </w:r>
          </w:p>
        </w:tc>
      </w:tr>
      <w:tr w:rsidR="00380F33" w:rsidRPr="00380F33" w:rsidTr="00380F33">
        <w:trPr>
          <w:trHeight w:val="314"/>
        </w:trPr>
        <w:tc>
          <w:tcPr>
            <w:cnfStyle w:val="001000000000" w:firstRow="0" w:lastRow="0" w:firstColumn="1" w:lastColumn="0" w:oddVBand="0" w:evenVBand="0" w:oddHBand="0" w:evenHBand="0" w:firstRowFirstColumn="0" w:firstRowLastColumn="0" w:lastRowFirstColumn="0" w:lastRowLastColumn="0"/>
            <w:tcW w:w="2880" w:type="dxa"/>
            <w:noWrap/>
            <w:hideMark/>
          </w:tcPr>
          <w:p w:rsidR="00380F33" w:rsidRPr="00380F33" w:rsidRDefault="00380F33" w:rsidP="00380F33">
            <w:pPr>
              <w:rPr>
                <w:rFonts w:ascii="Calibri" w:eastAsia="Times New Roman" w:hAnsi="Calibri" w:cs="Calibri"/>
                <w:color w:val="000000"/>
                <w:lang w:eastAsia="en-GB"/>
              </w:rPr>
            </w:pPr>
            <w:r w:rsidRPr="00380F33">
              <w:rPr>
                <w:rFonts w:ascii="Calibri" w:eastAsia="Times New Roman" w:hAnsi="Calibri" w:cs="Calibri"/>
                <w:color w:val="000000"/>
                <w:lang w:eastAsia="en-GB"/>
              </w:rPr>
              <w:t xml:space="preserve">Total </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84,641</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100.0%</w:t>
            </w:r>
          </w:p>
        </w:tc>
        <w:tc>
          <w:tcPr>
            <w:tcW w:w="1440"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768,810</w:t>
            </w:r>
          </w:p>
        </w:tc>
        <w:tc>
          <w:tcPr>
            <w:tcW w:w="1441" w:type="dxa"/>
            <w:noWrap/>
            <w:hideMark/>
          </w:tcPr>
          <w:p w:rsidR="00380F33" w:rsidRPr="00380F33" w:rsidRDefault="00380F33" w:rsidP="00380F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80F33">
              <w:rPr>
                <w:rFonts w:ascii="Calibri" w:eastAsia="Times New Roman" w:hAnsi="Calibri" w:cs="Calibri"/>
                <w:b/>
                <w:bCs/>
                <w:color w:val="000000"/>
                <w:lang w:eastAsia="en-GB"/>
              </w:rPr>
              <w:t>100.0%</w:t>
            </w:r>
          </w:p>
        </w:tc>
      </w:tr>
    </w:tbl>
    <w:p w:rsidR="00380F33" w:rsidRPr="00745C3A" w:rsidRDefault="00380F33" w:rsidP="00380F33">
      <w:pPr>
        <w:rPr>
          <w:b/>
          <w:sz w:val="20"/>
          <w:szCs w:val="20"/>
        </w:rPr>
      </w:pPr>
      <w:r>
        <w:rPr>
          <w:i/>
          <w:sz w:val="20"/>
          <w:szCs w:val="20"/>
        </w:rPr>
        <w:t>Table 4</w:t>
      </w:r>
      <w:r w:rsidRPr="00E4631D">
        <w:rPr>
          <w:i/>
          <w:sz w:val="20"/>
          <w:szCs w:val="20"/>
        </w:rPr>
        <w:t xml:space="preserve">: </w:t>
      </w:r>
      <w:r>
        <w:rPr>
          <w:i/>
          <w:sz w:val="20"/>
          <w:szCs w:val="20"/>
        </w:rPr>
        <w:t xml:space="preserve">Number of cars or vans available to the household in </w:t>
      </w:r>
      <w:r w:rsidRPr="00E4631D">
        <w:rPr>
          <w:i/>
          <w:sz w:val="20"/>
          <w:szCs w:val="20"/>
        </w:rPr>
        <w:t>Armagh City, Banbridge and Craigavon</w:t>
      </w:r>
      <w:r>
        <w:rPr>
          <w:i/>
          <w:sz w:val="20"/>
          <w:szCs w:val="20"/>
        </w:rPr>
        <w:t xml:space="preserve"> and Northern Ireland, 2021</w:t>
      </w:r>
      <w:r w:rsidRPr="00E4631D">
        <w:rPr>
          <w:i/>
          <w:sz w:val="20"/>
          <w:szCs w:val="20"/>
        </w:rPr>
        <w:t xml:space="preserve">.  Source: </w:t>
      </w:r>
      <w:r>
        <w:rPr>
          <w:i/>
          <w:sz w:val="20"/>
          <w:szCs w:val="20"/>
        </w:rPr>
        <w:t>Table MS-E10</w:t>
      </w:r>
      <w:r w:rsidRPr="00E4631D">
        <w:rPr>
          <w:i/>
          <w:sz w:val="20"/>
          <w:szCs w:val="20"/>
        </w:rPr>
        <w:t xml:space="preserve"> </w:t>
      </w:r>
      <w:r>
        <w:rPr>
          <w:i/>
          <w:sz w:val="20"/>
          <w:szCs w:val="20"/>
        </w:rPr>
        <w:t xml:space="preserve">Census </w:t>
      </w:r>
      <w:r w:rsidRPr="00E4631D">
        <w:rPr>
          <w:i/>
          <w:sz w:val="20"/>
          <w:szCs w:val="20"/>
        </w:rPr>
        <w:t>2021.</w:t>
      </w:r>
    </w:p>
    <w:p w:rsidR="00380F33" w:rsidRDefault="00380F33" w:rsidP="00764237"/>
    <w:p w:rsidR="00182F99" w:rsidRDefault="00182F99" w:rsidP="00764237">
      <w:r>
        <w:t>Figure 2 shows the distribution of cars or vans available to households in 2011 and 2021 and we can see there has been a change in the distribution in the 10 year period.   Most significantly, the percentage of households with 2 or more cars or vans available has increased from 40.6% in 2011 to 46.7% in 2021.  The percentage of households with no cars or vans available has fallen from 18.2% in 2011 to 15.5% in 2021 and the percentage of households with 1 car or van has also fallen by 3.3 percentage points to 37.8% of households in 2021.</w:t>
      </w:r>
    </w:p>
    <w:p w:rsidR="00182F99" w:rsidRDefault="00182F99" w:rsidP="00764237"/>
    <w:p w:rsidR="00583D70" w:rsidRPr="00745C3A" w:rsidRDefault="00583D70" w:rsidP="00583D70">
      <w:pPr>
        <w:rPr>
          <w:b/>
          <w:sz w:val="20"/>
          <w:szCs w:val="20"/>
        </w:rPr>
      </w:pPr>
      <w:r>
        <w:rPr>
          <w:noProof/>
          <w:lang w:eastAsia="en-GB"/>
        </w:rPr>
        <w:lastRenderedPageBreak/>
        <w:drawing>
          <wp:inline distT="0" distB="0" distL="0" distR="0" wp14:anchorId="205CB7EC" wp14:editId="0284CA77">
            <wp:extent cx="5524500" cy="3048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583D70">
        <w:rPr>
          <w:i/>
          <w:sz w:val="20"/>
          <w:szCs w:val="20"/>
        </w:rPr>
        <w:t xml:space="preserve"> </w:t>
      </w:r>
      <w:r w:rsidR="00182F99">
        <w:rPr>
          <w:i/>
          <w:sz w:val="20"/>
          <w:szCs w:val="20"/>
        </w:rPr>
        <w:t>Figure 2</w:t>
      </w:r>
      <w:r w:rsidRPr="00E4631D">
        <w:rPr>
          <w:i/>
          <w:sz w:val="20"/>
          <w:szCs w:val="20"/>
        </w:rPr>
        <w:t xml:space="preserve">: </w:t>
      </w:r>
      <w:r>
        <w:rPr>
          <w:i/>
          <w:sz w:val="20"/>
          <w:szCs w:val="20"/>
        </w:rPr>
        <w:t xml:space="preserve">Number of cars or vans available to the household in </w:t>
      </w:r>
      <w:r w:rsidRPr="00E4631D">
        <w:rPr>
          <w:i/>
          <w:sz w:val="20"/>
          <w:szCs w:val="20"/>
        </w:rPr>
        <w:t>Armagh City, Banbridge and Craigavon</w:t>
      </w:r>
      <w:r w:rsidR="00182F99">
        <w:rPr>
          <w:i/>
          <w:sz w:val="20"/>
          <w:szCs w:val="20"/>
        </w:rPr>
        <w:t xml:space="preserve">, 2011 &amp; </w:t>
      </w:r>
      <w:r>
        <w:rPr>
          <w:i/>
          <w:sz w:val="20"/>
          <w:szCs w:val="20"/>
        </w:rPr>
        <w:t>2021</w:t>
      </w:r>
      <w:r w:rsidRPr="00E4631D">
        <w:rPr>
          <w:i/>
          <w:sz w:val="20"/>
          <w:szCs w:val="20"/>
        </w:rPr>
        <w:t xml:space="preserve">.  Source: </w:t>
      </w:r>
      <w:r w:rsidR="00182F99">
        <w:rPr>
          <w:i/>
          <w:sz w:val="20"/>
          <w:szCs w:val="20"/>
        </w:rPr>
        <w:t xml:space="preserve">Census 2011 &amp; </w:t>
      </w:r>
      <w:r>
        <w:rPr>
          <w:i/>
          <w:sz w:val="20"/>
          <w:szCs w:val="20"/>
        </w:rPr>
        <w:t>Table MS-E10</w:t>
      </w:r>
      <w:r w:rsidRPr="00E4631D">
        <w:rPr>
          <w:i/>
          <w:sz w:val="20"/>
          <w:szCs w:val="20"/>
        </w:rPr>
        <w:t xml:space="preserve"> </w:t>
      </w:r>
      <w:r>
        <w:rPr>
          <w:i/>
          <w:sz w:val="20"/>
          <w:szCs w:val="20"/>
        </w:rPr>
        <w:t xml:space="preserve">Census </w:t>
      </w:r>
      <w:r w:rsidRPr="00E4631D">
        <w:rPr>
          <w:i/>
          <w:sz w:val="20"/>
          <w:szCs w:val="20"/>
        </w:rPr>
        <w:t>2021.</w:t>
      </w:r>
    </w:p>
    <w:p w:rsidR="001B5482" w:rsidRDefault="001B5482" w:rsidP="00764237">
      <w:r>
        <w:t>In Northern Ireland overall, 19.5% of households do not have a car or van available.  This varies across the LGD’s from the lowest of 13% in Lisburn &amp; Castlereagh and Mid Ulster to 33.9% in Belfast which is by far the highest of all LGDs.</w:t>
      </w:r>
    </w:p>
    <w:p w:rsidR="0034081D" w:rsidRPr="001B5482" w:rsidRDefault="001B5482" w:rsidP="00764237">
      <w:r>
        <w:t xml:space="preserve">With regards to those households with 2 or more cars or vans available, this also varies across all LGD’s with the highest being Mid Ulster at 51.5% to the lowest in Belfast at 23.4%.  In all LGD’s except Belfast and Derry and Strabane, </w:t>
      </w:r>
      <w:r w:rsidR="009D521C">
        <w:t xml:space="preserve">when compared to those households with 1 car or van available, </w:t>
      </w:r>
      <w:r>
        <w:t xml:space="preserve">a higher proportion of households have 2 or more cars available to them.  </w:t>
      </w:r>
    </w:p>
    <w:tbl>
      <w:tblPr>
        <w:tblStyle w:val="GridTable1Light"/>
        <w:tblW w:w="8926" w:type="dxa"/>
        <w:tblLayout w:type="fixed"/>
        <w:tblLook w:val="04A0" w:firstRow="1" w:lastRow="0" w:firstColumn="1" w:lastColumn="0" w:noHBand="0" w:noVBand="1"/>
      </w:tblPr>
      <w:tblGrid>
        <w:gridCol w:w="3760"/>
        <w:gridCol w:w="1722"/>
        <w:gridCol w:w="1722"/>
        <w:gridCol w:w="1722"/>
      </w:tblGrid>
      <w:tr w:rsidR="00182F99" w:rsidRPr="00182F99" w:rsidTr="001B5482">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82F99" w:rsidRPr="00182F99" w:rsidRDefault="00182F99" w:rsidP="00182F99">
            <w:pPr>
              <w:rPr>
                <w:rFonts w:ascii="Calibri" w:eastAsia="Times New Roman" w:hAnsi="Calibri" w:cs="Calibri"/>
                <w:color w:val="000000"/>
                <w:lang w:eastAsia="en-GB"/>
              </w:rPr>
            </w:pPr>
            <w:r w:rsidRPr="00182F99">
              <w:rPr>
                <w:rFonts w:ascii="Calibri" w:eastAsia="Times New Roman" w:hAnsi="Calibri" w:cs="Calibri"/>
                <w:color w:val="000000"/>
                <w:lang w:eastAsia="en-GB"/>
              </w:rPr>
              <w:t> </w:t>
            </w:r>
          </w:p>
        </w:tc>
        <w:tc>
          <w:tcPr>
            <w:tcW w:w="1722" w:type="dxa"/>
            <w:hideMark/>
          </w:tcPr>
          <w:p w:rsidR="00182F99" w:rsidRPr="00182F99" w:rsidRDefault="00182F99" w:rsidP="001B54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82F99">
              <w:rPr>
                <w:rFonts w:ascii="Calibri" w:eastAsia="Times New Roman" w:hAnsi="Calibri" w:cs="Calibri"/>
                <w:color w:val="000000"/>
                <w:lang w:eastAsia="en-GB"/>
              </w:rPr>
              <w:t>No cars or vans available</w:t>
            </w:r>
          </w:p>
        </w:tc>
        <w:tc>
          <w:tcPr>
            <w:tcW w:w="1722" w:type="dxa"/>
            <w:hideMark/>
          </w:tcPr>
          <w:p w:rsidR="00182F99" w:rsidRPr="00182F99" w:rsidRDefault="00182F99" w:rsidP="001B54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82F99">
              <w:rPr>
                <w:rFonts w:ascii="Calibri" w:eastAsia="Times New Roman" w:hAnsi="Calibri" w:cs="Calibri"/>
                <w:color w:val="000000"/>
                <w:lang w:eastAsia="en-GB"/>
              </w:rPr>
              <w:t>1 car or van available</w:t>
            </w:r>
          </w:p>
        </w:tc>
        <w:tc>
          <w:tcPr>
            <w:tcW w:w="1722" w:type="dxa"/>
            <w:hideMark/>
          </w:tcPr>
          <w:p w:rsidR="00182F99" w:rsidRPr="00182F99" w:rsidRDefault="00182F99" w:rsidP="001B54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82F99">
              <w:rPr>
                <w:rFonts w:ascii="Calibri" w:eastAsia="Times New Roman" w:hAnsi="Calibri" w:cs="Calibri"/>
                <w:color w:val="000000"/>
                <w:lang w:eastAsia="en-GB"/>
              </w:rPr>
              <w:t>2 or more cars or vans available</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Antrim and Newtownabbey</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41.0%</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42.3%</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Armagh City, Banbridge and Craigavon</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15.5%</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37.8%</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46.7%</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Belfast</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33.9%</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42.7%</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23.4%</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Causeway Coast and Glens</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16.2%</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39.7%</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44.1%</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Derry City and Strabane</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24.6%</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40.7%</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34.7%</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 xml:space="preserve">Fermanagh and </w:t>
            </w:r>
            <w:proofErr w:type="spellStart"/>
            <w:r w:rsidRPr="00182F99">
              <w:rPr>
                <w:rFonts w:ascii="Calibri" w:eastAsia="Times New Roman" w:hAnsi="Calibri" w:cs="Calibri"/>
                <w:color w:val="000000"/>
                <w:lang w:eastAsia="en-GB"/>
              </w:rPr>
              <w:t>Omagh</w:t>
            </w:r>
            <w:proofErr w:type="spellEnd"/>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14.1%</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37.1%</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48.8%</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Lisburn and Castlereagh</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13.0%</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40.1%</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46.9%</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Mid and East Antrim</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17.4%</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39.6%</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42.9%</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Mid Ulster</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13.0%</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35.5%</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51.5%</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 xml:space="preserve">Newry, </w:t>
            </w:r>
            <w:proofErr w:type="spellStart"/>
            <w:r w:rsidRPr="00182F99">
              <w:rPr>
                <w:rFonts w:ascii="Calibri" w:eastAsia="Times New Roman" w:hAnsi="Calibri" w:cs="Calibri"/>
                <w:color w:val="000000"/>
                <w:lang w:eastAsia="en-GB"/>
              </w:rPr>
              <w:t>Mourne</w:t>
            </w:r>
            <w:proofErr w:type="spellEnd"/>
            <w:r w:rsidRPr="00182F99">
              <w:rPr>
                <w:rFonts w:ascii="Calibri" w:eastAsia="Times New Roman" w:hAnsi="Calibri" w:cs="Calibri"/>
                <w:color w:val="000000"/>
                <w:lang w:eastAsia="en-GB"/>
              </w:rPr>
              <w:t xml:space="preserve"> and Down</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14.5%</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37.2%</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48.3%</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proofErr w:type="spellStart"/>
            <w:r w:rsidRPr="00182F99">
              <w:rPr>
                <w:rFonts w:ascii="Calibri" w:eastAsia="Times New Roman" w:hAnsi="Calibri" w:cs="Calibri"/>
                <w:color w:val="000000"/>
                <w:lang w:eastAsia="en-GB"/>
              </w:rPr>
              <w:t>Ards</w:t>
            </w:r>
            <w:proofErr w:type="spellEnd"/>
            <w:r w:rsidRPr="00182F99">
              <w:rPr>
                <w:rFonts w:ascii="Calibri" w:eastAsia="Times New Roman" w:hAnsi="Calibri" w:cs="Calibri"/>
                <w:color w:val="000000"/>
                <w:lang w:eastAsia="en-GB"/>
              </w:rPr>
              <w:t xml:space="preserve"> and North Down</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15.5%</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41.2%</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43.4%</w:t>
            </w:r>
          </w:p>
        </w:tc>
      </w:tr>
      <w:tr w:rsidR="001B5482" w:rsidRPr="00182F99" w:rsidTr="00FE10E2">
        <w:trPr>
          <w:trHeight w:val="300"/>
        </w:trPr>
        <w:tc>
          <w:tcPr>
            <w:cnfStyle w:val="001000000000" w:firstRow="0" w:lastRow="0" w:firstColumn="1" w:lastColumn="0" w:oddVBand="0" w:evenVBand="0" w:oddHBand="0" w:evenHBand="0" w:firstRowFirstColumn="0" w:firstRowLastColumn="0" w:lastRowFirstColumn="0" w:lastRowLastColumn="0"/>
            <w:tcW w:w="3760" w:type="dxa"/>
            <w:noWrap/>
            <w:hideMark/>
          </w:tcPr>
          <w:p w:rsidR="001B5482" w:rsidRPr="00182F99" w:rsidRDefault="001B5482" w:rsidP="001B5482">
            <w:pPr>
              <w:rPr>
                <w:rFonts w:ascii="Calibri" w:eastAsia="Times New Roman" w:hAnsi="Calibri" w:cs="Calibri"/>
                <w:color w:val="000000"/>
                <w:lang w:eastAsia="en-GB"/>
              </w:rPr>
            </w:pPr>
            <w:r w:rsidRPr="00182F99">
              <w:rPr>
                <w:rFonts w:ascii="Calibri" w:eastAsia="Times New Roman" w:hAnsi="Calibri" w:cs="Calibri"/>
                <w:color w:val="000000"/>
                <w:lang w:eastAsia="en-GB"/>
              </w:rPr>
              <w:t>Northern Ireland</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19.5%</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39.7%</w:t>
            </w:r>
          </w:p>
        </w:tc>
        <w:tc>
          <w:tcPr>
            <w:tcW w:w="1722" w:type="dxa"/>
            <w:noWrap/>
            <w:vAlign w:val="bottom"/>
            <w:hideMark/>
          </w:tcPr>
          <w:p w:rsidR="001B5482" w:rsidRDefault="001B5482" w:rsidP="001B54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40.7%</w:t>
            </w:r>
          </w:p>
        </w:tc>
      </w:tr>
    </w:tbl>
    <w:p w:rsidR="0034081D" w:rsidRPr="009D521C" w:rsidRDefault="001B5482" w:rsidP="00764237">
      <w:pPr>
        <w:rPr>
          <w:b/>
          <w:sz w:val="20"/>
          <w:szCs w:val="20"/>
        </w:rPr>
      </w:pPr>
      <w:r>
        <w:rPr>
          <w:i/>
          <w:sz w:val="20"/>
          <w:szCs w:val="20"/>
        </w:rPr>
        <w:t>Table 5</w:t>
      </w:r>
      <w:r w:rsidRPr="00E4631D">
        <w:rPr>
          <w:i/>
          <w:sz w:val="20"/>
          <w:szCs w:val="20"/>
        </w:rPr>
        <w:t xml:space="preserve">: </w:t>
      </w:r>
      <w:r>
        <w:rPr>
          <w:i/>
          <w:sz w:val="20"/>
          <w:szCs w:val="20"/>
        </w:rPr>
        <w:t>Number of cars or vans available to the household by LGD, 2021</w:t>
      </w:r>
      <w:r w:rsidRPr="00E4631D">
        <w:rPr>
          <w:i/>
          <w:sz w:val="20"/>
          <w:szCs w:val="20"/>
        </w:rPr>
        <w:t xml:space="preserve">.  Source: </w:t>
      </w:r>
      <w:r>
        <w:rPr>
          <w:i/>
          <w:sz w:val="20"/>
          <w:szCs w:val="20"/>
        </w:rPr>
        <w:t>Table MS-E10</w:t>
      </w:r>
      <w:r w:rsidRPr="00E4631D">
        <w:rPr>
          <w:i/>
          <w:sz w:val="20"/>
          <w:szCs w:val="20"/>
        </w:rPr>
        <w:t xml:space="preserve"> </w:t>
      </w:r>
      <w:r>
        <w:rPr>
          <w:i/>
          <w:sz w:val="20"/>
          <w:szCs w:val="20"/>
        </w:rPr>
        <w:t xml:space="preserve">Census </w:t>
      </w:r>
      <w:r w:rsidRPr="00E4631D">
        <w:rPr>
          <w:i/>
          <w:sz w:val="20"/>
          <w:szCs w:val="20"/>
        </w:rPr>
        <w:t>2021.</w:t>
      </w:r>
    </w:p>
    <w:p w:rsidR="0034081D" w:rsidRDefault="0034081D" w:rsidP="00764237">
      <w:pPr>
        <w:rPr>
          <w:b/>
        </w:rPr>
      </w:pPr>
    </w:p>
    <w:p w:rsidR="0034081D" w:rsidRPr="009D521C" w:rsidRDefault="0034081D" w:rsidP="009D521C">
      <w:pPr>
        <w:tabs>
          <w:tab w:val="left" w:pos="1725"/>
        </w:tabs>
      </w:pPr>
    </w:p>
    <w:sectPr w:rsidR="0034081D" w:rsidRPr="009D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7"/>
    <w:rsid w:val="000216DA"/>
    <w:rsid w:val="000322C6"/>
    <w:rsid w:val="000A3734"/>
    <w:rsid w:val="000D7C00"/>
    <w:rsid w:val="001338D1"/>
    <w:rsid w:val="00182F99"/>
    <w:rsid w:val="001A0A4D"/>
    <w:rsid w:val="001B5482"/>
    <w:rsid w:val="001C07DF"/>
    <w:rsid w:val="001D0AE3"/>
    <w:rsid w:val="00267F63"/>
    <w:rsid w:val="002E3FA6"/>
    <w:rsid w:val="002E6905"/>
    <w:rsid w:val="002F406E"/>
    <w:rsid w:val="00323AA4"/>
    <w:rsid w:val="0034081D"/>
    <w:rsid w:val="00377FFB"/>
    <w:rsid w:val="00380F33"/>
    <w:rsid w:val="003C7583"/>
    <w:rsid w:val="004065EB"/>
    <w:rsid w:val="00445162"/>
    <w:rsid w:val="005041A0"/>
    <w:rsid w:val="00567B5B"/>
    <w:rsid w:val="0057398F"/>
    <w:rsid w:val="00583D70"/>
    <w:rsid w:val="005C6FA0"/>
    <w:rsid w:val="005F6BC7"/>
    <w:rsid w:val="00606BEC"/>
    <w:rsid w:val="00624B07"/>
    <w:rsid w:val="00635BD3"/>
    <w:rsid w:val="00697B1A"/>
    <w:rsid w:val="006B25BC"/>
    <w:rsid w:val="00721C5A"/>
    <w:rsid w:val="00735E4B"/>
    <w:rsid w:val="007442D0"/>
    <w:rsid w:val="00745C3A"/>
    <w:rsid w:val="007602E0"/>
    <w:rsid w:val="00762870"/>
    <w:rsid w:val="00764237"/>
    <w:rsid w:val="007C6FA3"/>
    <w:rsid w:val="00803D70"/>
    <w:rsid w:val="00805888"/>
    <w:rsid w:val="00812218"/>
    <w:rsid w:val="00890115"/>
    <w:rsid w:val="00897240"/>
    <w:rsid w:val="008A15FE"/>
    <w:rsid w:val="008B76EA"/>
    <w:rsid w:val="008C134A"/>
    <w:rsid w:val="008E588E"/>
    <w:rsid w:val="008F3103"/>
    <w:rsid w:val="00935C6B"/>
    <w:rsid w:val="00965C26"/>
    <w:rsid w:val="009D521C"/>
    <w:rsid w:val="00A22E9F"/>
    <w:rsid w:val="00A36053"/>
    <w:rsid w:val="00B329E2"/>
    <w:rsid w:val="00BD36F6"/>
    <w:rsid w:val="00C67701"/>
    <w:rsid w:val="00CC7845"/>
    <w:rsid w:val="00CD7AC0"/>
    <w:rsid w:val="00D40C42"/>
    <w:rsid w:val="00DA3A98"/>
    <w:rsid w:val="00EB2239"/>
    <w:rsid w:val="00ED0ECC"/>
    <w:rsid w:val="00F00E10"/>
    <w:rsid w:val="00F173E3"/>
    <w:rsid w:val="00F875CE"/>
    <w:rsid w:val="00FD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2DA1"/>
  <w15:chartTrackingRefBased/>
  <w15:docId w15:val="{9F20B922-164E-4781-AC17-AEB0F20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2E3F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3384">
      <w:bodyDiv w:val="1"/>
      <w:marLeft w:val="0"/>
      <w:marRight w:val="0"/>
      <w:marTop w:val="0"/>
      <w:marBottom w:val="0"/>
      <w:divBdr>
        <w:top w:val="none" w:sz="0" w:space="0" w:color="auto"/>
        <w:left w:val="none" w:sz="0" w:space="0" w:color="auto"/>
        <w:bottom w:val="none" w:sz="0" w:space="0" w:color="auto"/>
        <w:right w:val="none" w:sz="0" w:space="0" w:color="auto"/>
      </w:divBdr>
    </w:div>
    <w:div w:id="101920466">
      <w:bodyDiv w:val="1"/>
      <w:marLeft w:val="0"/>
      <w:marRight w:val="0"/>
      <w:marTop w:val="0"/>
      <w:marBottom w:val="0"/>
      <w:divBdr>
        <w:top w:val="none" w:sz="0" w:space="0" w:color="auto"/>
        <w:left w:val="none" w:sz="0" w:space="0" w:color="auto"/>
        <w:bottom w:val="none" w:sz="0" w:space="0" w:color="auto"/>
        <w:right w:val="none" w:sz="0" w:space="0" w:color="auto"/>
      </w:divBdr>
    </w:div>
    <w:div w:id="325980503">
      <w:bodyDiv w:val="1"/>
      <w:marLeft w:val="0"/>
      <w:marRight w:val="0"/>
      <w:marTop w:val="0"/>
      <w:marBottom w:val="0"/>
      <w:divBdr>
        <w:top w:val="none" w:sz="0" w:space="0" w:color="auto"/>
        <w:left w:val="none" w:sz="0" w:space="0" w:color="auto"/>
        <w:bottom w:val="none" w:sz="0" w:space="0" w:color="auto"/>
        <w:right w:val="none" w:sz="0" w:space="0" w:color="auto"/>
      </w:divBdr>
    </w:div>
    <w:div w:id="588851226">
      <w:bodyDiv w:val="1"/>
      <w:marLeft w:val="0"/>
      <w:marRight w:val="0"/>
      <w:marTop w:val="0"/>
      <w:marBottom w:val="0"/>
      <w:divBdr>
        <w:top w:val="none" w:sz="0" w:space="0" w:color="auto"/>
        <w:left w:val="none" w:sz="0" w:space="0" w:color="auto"/>
        <w:bottom w:val="none" w:sz="0" w:space="0" w:color="auto"/>
        <w:right w:val="none" w:sz="0" w:space="0" w:color="auto"/>
      </w:divBdr>
    </w:div>
    <w:div w:id="606423373">
      <w:bodyDiv w:val="1"/>
      <w:marLeft w:val="0"/>
      <w:marRight w:val="0"/>
      <w:marTop w:val="0"/>
      <w:marBottom w:val="0"/>
      <w:divBdr>
        <w:top w:val="none" w:sz="0" w:space="0" w:color="auto"/>
        <w:left w:val="none" w:sz="0" w:space="0" w:color="auto"/>
        <w:bottom w:val="none" w:sz="0" w:space="0" w:color="auto"/>
        <w:right w:val="none" w:sz="0" w:space="0" w:color="auto"/>
      </w:divBdr>
    </w:div>
    <w:div w:id="847334710">
      <w:bodyDiv w:val="1"/>
      <w:marLeft w:val="0"/>
      <w:marRight w:val="0"/>
      <w:marTop w:val="0"/>
      <w:marBottom w:val="0"/>
      <w:divBdr>
        <w:top w:val="none" w:sz="0" w:space="0" w:color="auto"/>
        <w:left w:val="none" w:sz="0" w:space="0" w:color="auto"/>
        <w:bottom w:val="none" w:sz="0" w:space="0" w:color="auto"/>
        <w:right w:val="none" w:sz="0" w:space="0" w:color="auto"/>
      </w:divBdr>
    </w:div>
    <w:div w:id="954752281">
      <w:bodyDiv w:val="1"/>
      <w:marLeft w:val="0"/>
      <w:marRight w:val="0"/>
      <w:marTop w:val="0"/>
      <w:marBottom w:val="0"/>
      <w:divBdr>
        <w:top w:val="none" w:sz="0" w:space="0" w:color="auto"/>
        <w:left w:val="none" w:sz="0" w:space="0" w:color="auto"/>
        <w:bottom w:val="none" w:sz="0" w:space="0" w:color="auto"/>
        <w:right w:val="none" w:sz="0" w:space="0" w:color="auto"/>
      </w:divBdr>
    </w:div>
    <w:div w:id="990522817">
      <w:bodyDiv w:val="1"/>
      <w:marLeft w:val="0"/>
      <w:marRight w:val="0"/>
      <w:marTop w:val="0"/>
      <w:marBottom w:val="0"/>
      <w:divBdr>
        <w:top w:val="none" w:sz="0" w:space="0" w:color="auto"/>
        <w:left w:val="none" w:sz="0" w:space="0" w:color="auto"/>
        <w:bottom w:val="none" w:sz="0" w:space="0" w:color="auto"/>
        <w:right w:val="none" w:sz="0" w:space="0" w:color="auto"/>
      </w:divBdr>
    </w:div>
    <w:div w:id="1175075153">
      <w:bodyDiv w:val="1"/>
      <w:marLeft w:val="0"/>
      <w:marRight w:val="0"/>
      <w:marTop w:val="0"/>
      <w:marBottom w:val="0"/>
      <w:divBdr>
        <w:top w:val="none" w:sz="0" w:space="0" w:color="auto"/>
        <w:left w:val="none" w:sz="0" w:space="0" w:color="auto"/>
        <w:bottom w:val="none" w:sz="0" w:space="0" w:color="auto"/>
        <w:right w:val="none" w:sz="0" w:space="0" w:color="auto"/>
      </w:divBdr>
    </w:div>
    <w:div w:id="1353454771">
      <w:bodyDiv w:val="1"/>
      <w:marLeft w:val="0"/>
      <w:marRight w:val="0"/>
      <w:marTop w:val="0"/>
      <w:marBottom w:val="0"/>
      <w:divBdr>
        <w:top w:val="none" w:sz="0" w:space="0" w:color="auto"/>
        <w:left w:val="none" w:sz="0" w:space="0" w:color="auto"/>
        <w:bottom w:val="none" w:sz="0" w:space="0" w:color="auto"/>
        <w:right w:val="none" w:sz="0" w:space="0" w:color="auto"/>
      </w:divBdr>
    </w:div>
    <w:div w:id="1575159414">
      <w:bodyDiv w:val="1"/>
      <w:marLeft w:val="0"/>
      <w:marRight w:val="0"/>
      <w:marTop w:val="0"/>
      <w:marBottom w:val="0"/>
      <w:divBdr>
        <w:top w:val="none" w:sz="0" w:space="0" w:color="auto"/>
        <w:left w:val="none" w:sz="0" w:space="0" w:color="auto"/>
        <w:bottom w:val="none" w:sz="0" w:space="0" w:color="auto"/>
        <w:right w:val="none" w:sz="0" w:space="0" w:color="auto"/>
      </w:divBdr>
    </w:div>
    <w:div w:id="1618104386">
      <w:bodyDiv w:val="1"/>
      <w:marLeft w:val="0"/>
      <w:marRight w:val="0"/>
      <w:marTop w:val="0"/>
      <w:marBottom w:val="0"/>
      <w:divBdr>
        <w:top w:val="none" w:sz="0" w:space="0" w:color="auto"/>
        <w:left w:val="none" w:sz="0" w:space="0" w:color="auto"/>
        <w:bottom w:val="none" w:sz="0" w:space="0" w:color="auto"/>
        <w:right w:val="none" w:sz="0" w:space="0" w:color="auto"/>
      </w:divBdr>
    </w:div>
    <w:div w:id="1759520080">
      <w:bodyDiv w:val="1"/>
      <w:marLeft w:val="0"/>
      <w:marRight w:val="0"/>
      <w:marTop w:val="0"/>
      <w:marBottom w:val="0"/>
      <w:divBdr>
        <w:top w:val="none" w:sz="0" w:space="0" w:color="auto"/>
        <w:left w:val="none" w:sz="0" w:space="0" w:color="auto"/>
        <w:bottom w:val="none" w:sz="0" w:space="0" w:color="auto"/>
        <w:right w:val="none" w:sz="0" w:space="0" w:color="auto"/>
      </w:divBdr>
    </w:div>
    <w:div w:id="21128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5.%202021%20Census\December%202022%20-%202nd%20phase%20main%20stats\Second%20phase%20sta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'Tenure - households'!$Q$23</c:f>
              <c:strCache>
                <c:ptCount val="1"/>
                <c:pt idx="0">
                  <c:v>Owner Occupied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'Tenure - households'!$P$24:$P$35</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'Tenure - households'!$Q$24:$Q$35</c:f>
              <c:numCache>
                <c:formatCode>0.0%</c:formatCode>
                <c:ptCount val="12"/>
                <c:pt idx="0">
                  <c:v>0.65229561376353729</c:v>
                </c:pt>
                <c:pt idx="1">
                  <c:v>0.71505457725751342</c:v>
                </c:pt>
                <c:pt idx="2">
                  <c:v>0.68653859785921834</c:v>
                </c:pt>
                <c:pt idx="3">
                  <c:v>0.50969103947456651</c:v>
                </c:pt>
                <c:pt idx="4">
                  <c:v>0.66172843794504888</c:v>
                </c:pt>
                <c:pt idx="5">
                  <c:v>0.57052597029621777</c:v>
                </c:pt>
                <c:pt idx="6">
                  <c:v>0.69042306514415752</c:v>
                </c:pt>
                <c:pt idx="7">
                  <c:v>0.74729403940477257</c:v>
                </c:pt>
                <c:pt idx="8">
                  <c:v>0.69313521953228152</c:v>
                </c:pt>
                <c:pt idx="9">
                  <c:v>0.68802192308404486</c:v>
                </c:pt>
                <c:pt idx="10">
                  <c:v>0.68661364367379185</c:v>
                </c:pt>
                <c:pt idx="11">
                  <c:v>0.72290439349847402</c:v>
                </c:pt>
              </c:numCache>
            </c:numRef>
          </c:val>
          <c:extLst>
            <c:ext xmlns:c16="http://schemas.microsoft.com/office/drawing/2014/chart" uri="{C3380CC4-5D6E-409C-BE32-E72D297353CC}">
              <c16:uniqueId val="{00000000-A718-44D9-ADBE-29391C950A86}"/>
            </c:ext>
          </c:extLst>
        </c:ser>
        <c:ser>
          <c:idx val="1"/>
          <c:order val="1"/>
          <c:tx>
            <c:strRef>
              <c:f>'Tenure - households'!$R$23</c:f>
              <c:strCache>
                <c:ptCount val="1"/>
                <c:pt idx="0">
                  <c:v>Rented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'Tenure - households'!$P$24:$P$35</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'Tenure - households'!$R$24:$R$35</c:f>
              <c:numCache>
                <c:formatCode>0.0%</c:formatCode>
                <c:ptCount val="12"/>
                <c:pt idx="0">
                  <c:v>0.34770438623646266</c:v>
                </c:pt>
                <c:pt idx="1">
                  <c:v>0.28494542274248613</c:v>
                </c:pt>
                <c:pt idx="2">
                  <c:v>0.31346140214078122</c:v>
                </c:pt>
                <c:pt idx="3">
                  <c:v>0.49030896052543432</c:v>
                </c:pt>
                <c:pt idx="4">
                  <c:v>0.33827156205495224</c:v>
                </c:pt>
                <c:pt idx="5">
                  <c:v>0.42947402970378273</c:v>
                </c:pt>
                <c:pt idx="6">
                  <c:v>0.30957693485584326</c:v>
                </c:pt>
                <c:pt idx="7">
                  <c:v>0.25270596059522815</c:v>
                </c:pt>
                <c:pt idx="8">
                  <c:v>0.3068647804677177</c:v>
                </c:pt>
                <c:pt idx="9">
                  <c:v>0.31197807691595592</c:v>
                </c:pt>
                <c:pt idx="10">
                  <c:v>0.31338635632620826</c:v>
                </c:pt>
                <c:pt idx="11">
                  <c:v>0.27709560650152582</c:v>
                </c:pt>
              </c:numCache>
            </c:numRef>
          </c:val>
          <c:extLst>
            <c:ext xmlns:c16="http://schemas.microsoft.com/office/drawing/2014/chart" uri="{C3380CC4-5D6E-409C-BE32-E72D297353CC}">
              <c16:uniqueId val="{00000001-A718-44D9-ADBE-29391C950A86}"/>
            </c:ext>
          </c:extLst>
        </c:ser>
        <c:dLbls>
          <c:showLegendKey val="0"/>
          <c:showVal val="0"/>
          <c:showCatName val="0"/>
          <c:showSerName val="0"/>
          <c:showPercent val="0"/>
          <c:showBubbleSize val="0"/>
        </c:dLbls>
        <c:gapWidth val="50"/>
        <c:axId val="480527279"/>
        <c:axId val="480529359"/>
      </c:barChart>
      <c:catAx>
        <c:axId val="4805272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529359"/>
        <c:crosses val="autoZero"/>
        <c:auto val="1"/>
        <c:lblAlgn val="ctr"/>
        <c:lblOffset val="100"/>
        <c:noMultiLvlLbl val="0"/>
      </c:catAx>
      <c:valAx>
        <c:axId val="480529359"/>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52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'2011 car or van'!$A$19</c:f>
              <c:strCache>
                <c:ptCount val="1"/>
                <c:pt idx="0">
                  <c:v>2011</c:v>
                </c:pt>
              </c:strCache>
            </c:strRef>
          </c:tx>
          <c:spPr>
            <a:solidFill>
              <a:schemeClr val="accent1"/>
            </a:solidFill>
            <a:ln>
              <a:noFill/>
            </a:ln>
            <a:effectLst/>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683-4157-BF71-1D18953FB1A7}"/>
                </c:ext>
              </c:extLst>
            </c:dLbl>
            <c:dLbl>
              <c:idx val="1"/>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683-4157-BF71-1D18953FB1A7}"/>
                </c:ext>
              </c:extLst>
            </c:dLbl>
            <c:dLbl>
              <c:idx val="2"/>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683-4157-BF71-1D18953FB1A7}"/>
                </c:ext>
              </c:extLst>
            </c:dLbl>
            <c:dLbl>
              <c:idx val="3"/>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683-4157-BF71-1D18953FB1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'2011 car or van'!$B$18:$F$18</c:f>
              <c:strCache>
                <c:ptCount val="5"/>
                <c:pt idx="0">
                  <c:v>No cars or vans </c:v>
                </c:pt>
                <c:pt idx="1">
                  <c:v>1 car or van</c:v>
                </c:pt>
                <c:pt idx="2">
                  <c:v>2 cars or vans</c:v>
                </c:pt>
                <c:pt idx="3">
                  <c:v>3 cars or vans </c:v>
                </c:pt>
                <c:pt idx="4">
                  <c:v>4 or more cars or vans </c:v>
                </c:pt>
              </c:strCache>
            </c:strRef>
          </c:cat>
          <c:val>
            <c:numRef>
              <c:f>'2011 car or van'!$B$19:$F$19</c:f>
              <c:numCache>
                <c:formatCode>0.0%</c:formatCode>
                <c:ptCount val="5"/>
                <c:pt idx="0">
                  <c:v>0.182</c:v>
                </c:pt>
                <c:pt idx="1">
                  <c:v>0.41099999999999998</c:v>
                </c:pt>
                <c:pt idx="2">
                  <c:v>0.30299999999999999</c:v>
                </c:pt>
                <c:pt idx="3">
                  <c:v>7.2999999999999995E-2</c:v>
                </c:pt>
                <c:pt idx="4">
                  <c:v>0.03</c:v>
                </c:pt>
              </c:numCache>
            </c:numRef>
          </c:val>
          <c:extLst>
            <c:ext xmlns:c16="http://schemas.microsoft.com/office/drawing/2014/chart" uri="{C3380CC4-5D6E-409C-BE32-E72D297353CC}">
              <c16:uniqueId val="{00000000-B683-4157-BF71-1D18953FB1A7}"/>
            </c:ext>
          </c:extLst>
        </c:ser>
        <c:ser>
          <c:idx val="1"/>
          <c:order val="1"/>
          <c:tx>
            <c:strRef>
              <c:f>'2011 car or van'!$A$20</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'2011 car or van'!$B$18:$F$18</c:f>
              <c:strCache>
                <c:ptCount val="5"/>
                <c:pt idx="0">
                  <c:v>No cars or vans </c:v>
                </c:pt>
                <c:pt idx="1">
                  <c:v>1 car or van</c:v>
                </c:pt>
                <c:pt idx="2">
                  <c:v>2 cars or vans</c:v>
                </c:pt>
                <c:pt idx="3">
                  <c:v>3 cars or vans </c:v>
                </c:pt>
                <c:pt idx="4">
                  <c:v>4 or more cars or vans </c:v>
                </c:pt>
              </c:strCache>
            </c:strRef>
          </c:cat>
          <c:val>
            <c:numRef>
              <c:f>'2011 car or van'!$B$20:$F$20</c:f>
              <c:numCache>
                <c:formatCode>0.0%</c:formatCode>
                <c:ptCount val="5"/>
                <c:pt idx="0">
                  <c:v>0.154960361999504</c:v>
                </c:pt>
                <c:pt idx="1">
                  <c:v>0.37772474332770201</c:v>
                </c:pt>
                <c:pt idx="2">
                  <c:v>0.32746541274323299</c:v>
                </c:pt>
                <c:pt idx="3">
                  <c:v>9.2638319490554205E-2</c:v>
                </c:pt>
                <c:pt idx="4">
                  <c:v>4.7211162439007102E-2</c:v>
                </c:pt>
              </c:numCache>
            </c:numRef>
          </c:val>
          <c:extLst>
            <c:ext xmlns:c16="http://schemas.microsoft.com/office/drawing/2014/chart" uri="{C3380CC4-5D6E-409C-BE32-E72D297353CC}">
              <c16:uniqueId val="{00000001-B683-4157-BF71-1D18953FB1A7}"/>
            </c:ext>
          </c:extLst>
        </c:ser>
        <c:dLbls>
          <c:showLegendKey val="0"/>
          <c:showVal val="0"/>
          <c:showCatName val="0"/>
          <c:showSerName val="0"/>
          <c:showPercent val="0"/>
          <c:showBubbleSize val="0"/>
        </c:dLbls>
        <c:gapWidth val="100"/>
        <c:axId val="480521871"/>
        <c:axId val="480523951"/>
      </c:barChart>
      <c:catAx>
        <c:axId val="480521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523951"/>
        <c:crosses val="autoZero"/>
        <c:auto val="1"/>
        <c:lblAlgn val="ctr"/>
        <c:lblOffset val="100"/>
        <c:noMultiLvlLbl val="0"/>
      </c:catAx>
      <c:valAx>
        <c:axId val="480523951"/>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52187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18</cp:revision>
  <dcterms:created xsi:type="dcterms:W3CDTF">2022-12-19T09:16:00Z</dcterms:created>
  <dcterms:modified xsi:type="dcterms:W3CDTF">2022-12-19T14:13:00Z</dcterms:modified>
</cp:coreProperties>
</file>