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237" w:rsidRPr="00ED1AAE" w:rsidRDefault="00764237" w:rsidP="00764237">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Armagh, Banbridge and Craigavon Borough </w:t>
      </w:r>
    </w:p>
    <w:p w:rsidR="00764237" w:rsidRDefault="00764237" w:rsidP="00764237">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Census 2021 </w:t>
      </w:r>
    </w:p>
    <w:p w:rsidR="00721C5A" w:rsidRDefault="00721C5A" w:rsidP="00764237">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64237" w:rsidRPr="00F56824" w:rsidRDefault="00764237" w:rsidP="00764237">
      <w:pPr>
        <w:jc w:val="cente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 Report 3</w:t>
      </w:r>
      <w:r w:rsidR="00721C5A">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Household Spaces &amp; Accommodation</w:t>
      </w:r>
    </w:p>
    <w:p w:rsidR="00764237" w:rsidRPr="00721C5A" w:rsidRDefault="00764237" w:rsidP="00764237">
      <w:pPr>
        <w:jc w:val="center"/>
        <w:rPr>
          <w:rFonts w:cstheme="minorHAnsi"/>
          <w:b/>
        </w:rPr>
      </w:pPr>
      <w:r w:rsidRPr="00721C5A">
        <w:rPr>
          <w:rFonts w:cstheme="minorHAnsi"/>
          <w:b/>
        </w:rPr>
        <w:t>Second Phase of main statistics (December 2022)</w:t>
      </w:r>
    </w:p>
    <w:p w:rsidR="00764237" w:rsidRDefault="00764237" w:rsidP="00764237">
      <w:r w:rsidRPr="00033A84">
        <w:rPr>
          <w:rFonts w:cstheme="minorHAnsi"/>
        </w:rPr>
        <w:t xml:space="preserve">The </w:t>
      </w:r>
      <w:r>
        <w:rPr>
          <w:rFonts w:cstheme="minorHAnsi"/>
        </w:rPr>
        <w:t xml:space="preserve">second phase of main statistics </w:t>
      </w:r>
      <w:r w:rsidRPr="00033A84">
        <w:rPr>
          <w:rFonts w:cstheme="minorHAnsi"/>
        </w:rPr>
        <w:t>from Census 2021 w</w:t>
      </w:r>
      <w:r>
        <w:rPr>
          <w:rFonts w:cstheme="minorHAnsi"/>
        </w:rPr>
        <w:t>as</w:t>
      </w:r>
      <w:r w:rsidRPr="00033A84">
        <w:rPr>
          <w:rFonts w:cstheme="minorHAnsi"/>
        </w:rPr>
        <w:t xml:space="preserve"> published </w:t>
      </w:r>
      <w:r>
        <w:rPr>
          <w:rFonts w:cstheme="minorHAnsi"/>
        </w:rPr>
        <w:t xml:space="preserve">15 December 2022 and </w:t>
      </w:r>
      <w:r>
        <w:t xml:space="preserve">provides key statistics for a number of census topics such as health, disability and unpaid care and housing and accommodation at Northern Ireland and Local Government District levels (LGD).  </w:t>
      </w:r>
    </w:p>
    <w:p w:rsidR="00764237" w:rsidRDefault="00764237" w:rsidP="00764237">
      <w:r>
        <w:t xml:space="preserve">This report </w:t>
      </w:r>
      <w:r w:rsidR="00567B5B">
        <w:t xml:space="preserve">covers census information on household spaces and accommodation including household spaces (occupied or vacant), accommodation type, housing adaptations, type of central heating available to household and renewable energy systems available to the household. The analysis focuses on </w:t>
      </w:r>
      <w:r>
        <w:t xml:space="preserve">information for </w:t>
      </w:r>
      <w:r w:rsidRPr="00567B5B">
        <w:t>Armagh City, Banbridge and Craigavon Borough.</w:t>
      </w:r>
      <w:r>
        <w:t xml:space="preserve">  Where information is available, comparisons will be made with the 2011 census results to see how things have changed in the 10 year period since the last census. Some comparatives with other LGD’s will also be included.  </w:t>
      </w:r>
    </w:p>
    <w:p w:rsidR="004065EB" w:rsidRDefault="004065EB" w:rsidP="00764237">
      <w:pPr>
        <w:rPr>
          <w:b/>
        </w:rPr>
      </w:pPr>
      <w:r w:rsidRPr="004065EB">
        <w:rPr>
          <w:b/>
        </w:rPr>
        <w:t>Household Spaces</w:t>
      </w:r>
    </w:p>
    <w:p w:rsidR="004065EB" w:rsidRPr="004065EB" w:rsidRDefault="004065EB" w:rsidP="00764237">
      <w:r w:rsidRPr="004065EB">
        <w:t>On Census Day 2021</w:t>
      </w:r>
      <w:r>
        <w:t xml:space="preserve"> there were a total of 88,383 households in the Armagh City, Banbridge and Craigavon Borough.  Of these, 84,642 (95.8%) were occupied while 3,741 (4.2%) were vacant.  </w:t>
      </w:r>
    </w:p>
    <w:p w:rsidR="00B06548" w:rsidRPr="000322C6" w:rsidRDefault="00762870">
      <w:r w:rsidRPr="000322C6">
        <w:t>Armagh C</w:t>
      </w:r>
      <w:r w:rsidR="000322C6">
        <w:t>ity, Banbridge and Craigavon have</w:t>
      </w:r>
      <w:r w:rsidRPr="000322C6">
        <w:t xml:space="preserve"> </w:t>
      </w:r>
      <w:r w:rsidR="000322C6">
        <w:t>the third</w:t>
      </w:r>
      <w:r w:rsidR="00D40C42">
        <w:t xml:space="preserve"> lowest vacancy rate</w:t>
      </w:r>
      <w:r w:rsidRPr="000322C6">
        <w:t xml:space="preserve"> of all LGD’s</w:t>
      </w:r>
      <w:r w:rsidR="000322C6">
        <w:t xml:space="preserve"> and showed the biggest decline in the vacancy rate since Census 2011.  </w:t>
      </w:r>
    </w:p>
    <w:p w:rsidR="00762870" w:rsidRDefault="00762870">
      <w:pPr>
        <w:rPr>
          <w:i/>
          <w:sz w:val="20"/>
          <w:szCs w:val="20"/>
        </w:rPr>
      </w:pPr>
      <w:r>
        <w:rPr>
          <w:noProof/>
          <w:lang w:eastAsia="en-GB"/>
        </w:rPr>
        <w:drawing>
          <wp:inline distT="0" distB="0" distL="0" distR="0" wp14:anchorId="556D474A" wp14:editId="0AB04993">
            <wp:extent cx="5829300" cy="288798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sidR="000322C6" w:rsidRPr="000322C6">
        <w:rPr>
          <w:i/>
          <w:sz w:val="20"/>
          <w:szCs w:val="20"/>
        </w:rPr>
        <w:t xml:space="preserve"> </w:t>
      </w:r>
      <w:r w:rsidR="000322C6" w:rsidRPr="00E4631D">
        <w:rPr>
          <w:i/>
          <w:sz w:val="20"/>
          <w:szCs w:val="20"/>
        </w:rPr>
        <w:t xml:space="preserve">Figure 1: </w:t>
      </w:r>
      <w:r w:rsidR="00D40C42">
        <w:rPr>
          <w:i/>
          <w:sz w:val="20"/>
          <w:szCs w:val="20"/>
        </w:rPr>
        <w:t>Household Spaces by LGD</w:t>
      </w:r>
      <w:r w:rsidR="002E6905">
        <w:rPr>
          <w:i/>
          <w:sz w:val="20"/>
          <w:szCs w:val="20"/>
        </w:rPr>
        <w:t>, 2011 and 2021</w:t>
      </w:r>
      <w:r w:rsidR="000322C6" w:rsidRPr="00E4631D">
        <w:rPr>
          <w:i/>
          <w:sz w:val="20"/>
          <w:szCs w:val="20"/>
        </w:rPr>
        <w:t>.  Source: Census 2011 &amp;</w:t>
      </w:r>
      <w:r w:rsidR="00D40C42">
        <w:rPr>
          <w:i/>
          <w:sz w:val="20"/>
          <w:szCs w:val="20"/>
        </w:rPr>
        <w:t xml:space="preserve"> Table MS-E04</w:t>
      </w:r>
      <w:r w:rsidR="000322C6">
        <w:rPr>
          <w:i/>
          <w:sz w:val="20"/>
          <w:szCs w:val="20"/>
        </w:rPr>
        <w:t>,</w:t>
      </w:r>
      <w:r w:rsidR="000322C6" w:rsidRPr="00E4631D">
        <w:rPr>
          <w:i/>
          <w:sz w:val="20"/>
          <w:szCs w:val="20"/>
        </w:rPr>
        <w:t xml:space="preserve"> 2021.</w:t>
      </w:r>
    </w:p>
    <w:p w:rsidR="00745C3A" w:rsidRPr="00745C3A" w:rsidRDefault="00745C3A">
      <w:pPr>
        <w:rPr>
          <w:b/>
        </w:rPr>
      </w:pPr>
      <w:r w:rsidRPr="00745C3A">
        <w:rPr>
          <w:b/>
        </w:rPr>
        <w:lastRenderedPageBreak/>
        <w:t>Accommodation Type</w:t>
      </w:r>
    </w:p>
    <w:p w:rsidR="002E3FA6" w:rsidRDefault="002E3FA6" w:rsidP="002E3FA6">
      <w:r>
        <w:t xml:space="preserve">On Census Day 2021, detached properties accounted for almost 45% of occupied households </w:t>
      </w:r>
      <w:r w:rsidR="00377FFB">
        <w:t xml:space="preserve">with just over 50% of all usual residents </w:t>
      </w:r>
      <w:r>
        <w:t xml:space="preserve">in Armagh City, Banbridge and Craigavon Borough </w:t>
      </w:r>
      <w:r w:rsidR="00377FFB">
        <w:t>living in detached houses.  F</w:t>
      </w:r>
      <w:r>
        <w:t>lats, maisonettes or apartments accounted for just 5.3%</w:t>
      </w:r>
      <w:r w:rsidR="00377FFB">
        <w:t xml:space="preserve"> of occupied households housing just 3.2% of all usual residents</w:t>
      </w:r>
      <w:r>
        <w:t>.</w:t>
      </w:r>
    </w:p>
    <w:tbl>
      <w:tblPr>
        <w:tblStyle w:val="GridTable1Light"/>
        <w:tblW w:w="9349" w:type="dxa"/>
        <w:tblLayout w:type="fixed"/>
        <w:tblLook w:val="04A0" w:firstRow="1" w:lastRow="0" w:firstColumn="1" w:lastColumn="0" w:noHBand="0" w:noVBand="1"/>
      </w:tblPr>
      <w:tblGrid>
        <w:gridCol w:w="3539"/>
        <w:gridCol w:w="1452"/>
        <w:gridCol w:w="1453"/>
        <w:gridCol w:w="1452"/>
        <w:gridCol w:w="1453"/>
      </w:tblGrid>
      <w:tr w:rsidR="002E3FA6" w:rsidRPr="002E3FA6" w:rsidTr="002E3FA6">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539" w:type="dxa"/>
            <w:noWrap/>
            <w:hideMark/>
          </w:tcPr>
          <w:p w:rsidR="002E3FA6" w:rsidRPr="002E3FA6" w:rsidRDefault="002E3FA6" w:rsidP="002E3FA6">
            <w:pPr>
              <w:rPr>
                <w:rFonts w:ascii="Calibri" w:eastAsia="Times New Roman" w:hAnsi="Calibri" w:cs="Calibri"/>
                <w:color w:val="000000"/>
                <w:lang w:eastAsia="en-GB"/>
              </w:rPr>
            </w:pPr>
            <w:r w:rsidRPr="002E3FA6">
              <w:rPr>
                <w:rFonts w:ascii="Calibri" w:eastAsia="Times New Roman" w:hAnsi="Calibri" w:cs="Calibri"/>
                <w:color w:val="000000"/>
                <w:lang w:eastAsia="en-GB"/>
              </w:rPr>
              <w:t> </w:t>
            </w:r>
          </w:p>
        </w:tc>
        <w:tc>
          <w:tcPr>
            <w:tcW w:w="2905" w:type="dxa"/>
            <w:gridSpan w:val="2"/>
            <w:noWrap/>
            <w:hideMark/>
          </w:tcPr>
          <w:p w:rsidR="002E3FA6" w:rsidRPr="002E3FA6" w:rsidRDefault="007442D0" w:rsidP="002E3F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Occupied </w:t>
            </w:r>
            <w:r w:rsidR="002E3FA6" w:rsidRPr="002E3FA6">
              <w:rPr>
                <w:rFonts w:ascii="Calibri" w:eastAsia="Times New Roman" w:hAnsi="Calibri" w:cs="Calibri"/>
                <w:color w:val="000000"/>
                <w:lang w:eastAsia="en-GB"/>
              </w:rPr>
              <w:t xml:space="preserve">Households </w:t>
            </w:r>
          </w:p>
        </w:tc>
        <w:tc>
          <w:tcPr>
            <w:tcW w:w="2905" w:type="dxa"/>
            <w:gridSpan w:val="2"/>
            <w:noWrap/>
            <w:hideMark/>
          </w:tcPr>
          <w:p w:rsidR="002E3FA6" w:rsidRPr="002E3FA6" w:rsidRDefault="002E3FA6" w:rsidP="002E3F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Usual Residents</w:t>
            </w:r>
          </w:p>
        </w:tc>
      </w:tr>
      <w:tr w:rsidR="002E3FA6" w:rsidRPr="002E3FA6" w:rsidTr="002E3FA6">
        <w:trPr>
          <w:trHeight w:val="389"/>
        </w:trPr>
        <w:tc>
          <w:tcPr>
            <w:cnfStyle w:val="001000000000" w:firstRow="0" w:lastRow="0" w:firstColumn="1" w:lastColumn="0" w:oddVBand="0" w:evenVBand="0" w:oddHBand="0" w:evenHBand="0" w:firstRowFirstColumn="0" w:firstRowLastColumn="0" w:lastRowFirstColumn="0" w:lastRowLastColumn="0"/>
            <w:tcW w:w="3539" w:type="dxa"/>
            <w:hideMark/>
          </w:tcPr>
          <w:p w:rsidR="002E3FA6" w:rsidRPr="002E3FA6" w:rsidRDefault="002E3FA6" w:rsidP="002E3FA6">
            <w:pPr>
              <w:jc w:val="right"/>
              <w:rPr>
                <w:rFonts w:ascii="Calibri" w:eastAsia="Times New Roman" w:hAnsi="Calibri" w:cs="Calibri"/>
                <w:color w:val="000000"/>
                <w:lang w:eastAsia="en-GB"/>
              </w:rPr>
            </w:pPr>
            <w:r w:rsidRPr="002E3FA6">
              <w:rPr>
                <w:rFonts w:ascii="Calibri" w:eastAsia="Times New Roman" w:hAnsi="Calibri" w:cs="Calibri"/>
                <w:color w:val="000000"/>
                <w:lang w:eastAsia="en-GB"/>
              </w:rPr>
              <w:t> </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E3FA6">
              <w:rPr>
                <w:rFonts w:ascii="Calibri" w:eastAsia="Times New Roman" w:hAnsi="Calibri" w:cs="Calibri"/>
                <w:b/>
                <w:bCs/>
                <w:color w:val="000000"/>
                <w:lang w:eastAsia="en-GB"/>
              </w:rPr>
              <w:t>No</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E3FA6">
              <w:rPr>
                <w:rFonts w:ascii="Calibri" w:eastAsia="Times New Roman" w:hAnsi="Calibri" w:cs="Calibri"/>
                <w:b/>
                <w:bCs/>
                <w:color w:val="000000"/>
                <w:lang w:eastAsia="en-GB"/>
              </w:rPr>
              <w:t>%</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E3FA6">
              <w:rPr>
                <w:rFonts w:ascii="Calibri" w:eastAsia="Times New Roman" w:hAnsi="Calibri" w:cs="Calibri"/>
                <w:b/>
                <w:bCs/>
                <w:color w:val="000000"/>
                <w:lang w:eastAsia="en-GB"/>
              </w:rPr>
              <w:t>No.</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E3FA6">
              <w:rPr>
                <w:rFonts w:ascii="Calibri" w:eastAsia="Times New Roman" w:hAnsi="Calibri" w:cs="Calibri"/>
                <w:b/>
                <w:bCs/>
                <w:color w:val="000000"/>
                <w:lang w:eastAsia="en-GB"/>
              </w:rPr>
              <w:t>%</w:t>
            </w:r>
          </w:p>
        </w:tc>
      </w:tr>
      <w:tr w:rsidR="002E3FA6" w:rsidRPr="002E3FA6" w:rsidTr="002E3FA6">
        <w:trPr>
          <w:trHeight w:val="389"/>
        </w:trPr>
        <w:tc>
          <w:tcPr>
            <w:cnfStyle w:val="001000000000" w:firstRow="0" w:lastRow="0" w:firstColumn="1" w:lastColumn="0" w:oddVBand="0" w:evenVBand="0" w:oddHBand="0" w:evenHBand="0" w:firstRowFirstColumn="0" w:firstRowLastColumn="0" w:lastRowFirstColumn="0" w:lastRowLastColumn="0"/>
            <w:tcW w:w="3539" w:type="dxa"/>
            <w:noWrap/>
            <w:hideMark/>
          </w:tcPr>
          <w:p w:rsidR="002E3FA6" w:rsidRPr="002E3FA6" w:rsidRDefault="002E3FA6" w:rsidP="002E3FA6">
            <w:pPr>
              <w:jc w:val="right"/>
              <w:rPr>
                <w:rFonts w:ascii="Calibri" w:eastAsia="Times New Roman" w:hAnsi="Calibri" w:cs="Calibri"/>
                <w:color w:val="000000"/>
                <w:lang w:eastAsia="en-GB"/>
              </w:rPr>
            </w:pPr>
            <w:r w:rsidRPr="002E3FA6">
              <w:rPr>
                <w:rFonts w:ascii="Calibri" w:eastAsia="Times New Roman" w:hAnsi="Calibri" w:cs="Calibri"/>
                <w:color w:val="000000"/>
                <w:lang w:eastAsia="en-GB"/>
              </w:rPr>
              <w:t>Detached</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37,768</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44.6%</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108,711</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50.1%</w:t>
            </w:r>
          </w:p>
        </w:tc>
      </w:tr>
      <w:tr w:rsidR="002E3FA6" w:rsidRPr="002E3FA6" w:rsidTr="002E3FA6">
        <w:trPr>
          <w:trHeight w:val="389"/>
        </w:trPr>
        <w:tc>
          <w:tcPr>
            <w:cnfStyle w:val="001000000000" w:firstRow="0" w:lastRow="0" w:firstColumn="1" w:lastColumn="0" w:oddVBand="0" w:evenVBand="0" w:oddHBand="0" w:evenHBand="0" w:firstRowFirstColumn="0" w:firstRowLastColumn="0" w:lastRowFirstColumn="0" w:lastRowLastColumn="0"/>
            <w:tcW w:w="3539" w:type="dxa"/>
            <w:noWrap/>
            <w:hideMark/>
          </w:tcPr>
          <w:p w:rsidR="002E3FA6" w:rsidRPr="002E3FA6" w:rsidRDefault="00377FFB" w:rsidP="002E3FA6">
            <w:pPr>
              <w:jc w:val="right"/>
              <w:rPr>
                <w:rFonts w:ascii="Calibri" w:eastAsia="Times New Roman" w:hAnsi="Calibri" w:cs="Calibri"/>
                <w:color w:val="000000"/>
                <w:lang w:eastAsia="en-GB"/>
              </w:rPr>
            </w:pPr>
            <w:r>
              <w:rPr>
                <w:rFonts w:ascii="Calibri" w:eastAsia="Times New Roman" w:hAnsi="Calibri" w:cs="Calibri"/>
                <w:color w:val="000000"/>
                <w:lang w:eastAsia="en-GB"/>
              </w:rPr>
              <w:t>Semi-deta</w:t>
            </w:r>
            <w:r w:rsidR="002E3FA6" w:rsidRPr="002E3FA6">
              <w:rPr>
                <w:rFonts w:ascii="Calibri" w:eastAsia="Times New Roman" w:hAnsi="Calibri" w:cs="Calibri"/>
                <w:color w:val="000000"/>
                <w:lang w:eastAsia="en-GB"/>
              </w:rPr>
              <w:t>ched</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24,811</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29.3%</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62,316</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28.7%</w:t>
            </w:r>
          </w:p>
        </w:tc>
      </w:tr>
      <w:tr w:rsidR="002E3FA6" w:rsidRPr="002E3FA6" w:rsidTr="002E3FA6">
        <w:trPr>
          <w:trHeight w:val="389"/>
        </w:trPr>
        <w:tc>
          <w:tcPr>
            <w:cnfStyle w:val="001000000000" w:firstRow="0" w:lastRow="0" w:firstColumn="1" w:lastColumn="0" w:oddVBand="0" w:evenVBand="0" w:oddHBand="0" w:evenHBand="0" w:firstRowFirstColumn="0" w:firstRowLastColumn="0" w:lastRowFirstColumn="0" w:lastRowLastColumn="0"/>
            <w:tcW w:w="3539" w:type="dxa"/>
            <w:hideMark/>
          </w:tcPr>
          <w:p w:rsidR="002E3FA6" w:rsidRPr="002E3FA6" w:rsidRDefault="002E3FA6" w:rsidP="002E3FA6">
            <w:pPr>
              <w:jc w:val="right"/>
              <w:rPr>
                <w:rFonts w:ascii="Calibri" w:eastAsia="Times New Roman" w:hAnsi="Calibri" w:cs="Calibri"/>
                <w:color w:val="000000"/>
                <w:lang w:eastAsia="en-GB"/>
              </w:rPr>
            </w:pPr>
            <w:r w:rsidRPr="002E3FA6">
              <w:rPr>
                <w:rFonts w:ascii="Calibri" w:eastAsia="Times New Roman" w:hAnsi="Calibri" w:cs="Calibri"/>
                <w:color w:val="000000"/>
                <w:lang w:eastAsia="en-GB"/>
              </w:rPr>
              <w:t>Terrace (including end-terrace)</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17,431</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20.6%</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38,747</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17.9%</w:t>
            </w:r>
          </w:p>
        </w:tc>
      </w:tr>
      <w:tr w:rsidR="002E3FA6" w:rsidRPr="002E3FA6" w:rsidTr="002E3FA6">
        <w:trPr>
          <w:trHeight w:val="389"/>
        </w:trPr>
        <w:tc>
          <w:tcPr>
            <w:cnfStyle w:val="001000000000" w:firstRow="0" w:lastRow="0" w:firstColumn="1" w:lastColumn="0" w:oddVBand="0" w:evenVBand="0" w:oddHBand="0" w:evenHBand="0" w:firstRowFirstColumn="0" w:firstRowLastColumn="0" w:lastRowFirstColumn="0" w:lastRowLastColumn="0"/>
            <w:tcW w:w="3539" w:type="dxa"/>
            <w:hideMark/>
          </w:tcPr>
          <w:p w:rsidR="002E3FA6" w:rsidRPr="002E3FA6" w:rsidRDefault="002E3FA6" w:rsidP="002E3FA6">
            <w:pPr>
              <w:jc w:val="right"/>
              <w:rPr>
                <w:rFonts w:ascii="Calibri" w:eastAsia="Times New Roman" w:hAnsi="Calibri" w:cs="Calibri"/>
                <w:color w:val="000000"/>
                <w:lang w:eastAsia="en-GB"/>
              </w:rPr>
            </w:pPr>
            <w:r w:rsidRPr="002E3FA6">
              <w:rPr>
                <w:rFonts w:ascii="Calibri" w:eastAsia="Times New Roman" w:hAnsi="Calibri" w:cs="Calibri"/>
                <w:color w:val="000000"/>
                <w:lang w:eastAsia="en-GB"/>
              </w:rPr>
              <w:t>Purpose-built block of flats</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3,560</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4.2%</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5,202</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2.4%</w:t>
            </w:r>
          </w:p>
        </w:tc>
      </w:tr>
      <w:tr w:rsidR="002E3FA6" w:rsidRPr="002E3FA6" w:rsidTr="002E3FA6">
        <w:trPr>
          <w:trHeight w:val="527"/>
        </w:trPr>
        <w:tc>
          <w:tcPr>
            <w:cnfStyle w:val="001000000000" w:firstRow="0" w:lastRow="0" w:firstColumn="1" w:lastColumn="0" w:oddVBand="0" w:evenVBand="0" w:oddHBand="0" w:evenHBand="0" w:firstRowFirstColumn="0" w:firstRowLastColumn="0" w:lastRowFirstColumn="0" w:lastRowLastColumn="0"/>
            <w:tcW w:w="3539" w:type="dxa"/>
            <w:hideMark/>
          </w:tcPr>
          <w:p w:rsidR="002E3FA6" w:rsidRPr="002E3FA6" w:rsidRDefault="002E3FA6" w:rsidP="002E3FA6">
            <w:pPr>
              <w:jc w:val="right"/>
              <w:rPr>
                <w:rFonts w:ascii="Calibri" w:eastAsia="Times New Roman" w:hAnsi="Calibri" w:cs="Calibri"/>
                <w:color w:val="000000"/>
                <w:lang w:eastAsia="en-GB"/>
              </w:rPr>
            </w:pPr>
            <w:r w:rsidRPr="002E3FA6">
              <w:rPr>
                <w:rFonts w:ascii="Calibri" w:eastAsia="Times New Roman" w:hAnsi="Calibri" w:cs="Calibri"/>
                <w:color w:val="000000"/>
                <w:lang w:eastAsia="en-GB"/>
              </w:rPr>
              <w:t>Part of a converted or shared house (including bed-sits)</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686</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0.8%</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1,256</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0.6%</w:t>
            </w:r>
          </w:p>
        </w:tc>
      </w:tr>
      <w:tr w:rsidR="002E3FA6" w:rsidRPr="002E3FA6" w:rsidTr="002E3FA6">
        <w:trPr>
          <w:trHeight w:val="389"/>
        </w:trPr>
        <w:tc>
          <w:tcPr>
            <w:cnfStyle w:val="001000000000" w:firstRow="0" w:lastRow="0" w:firstColumn="1" w:lastColumn="0" w:oddVBand="0" w:evenVBand="0" w:oddHBand="0" w:evenHBand="0" w:firstRowFirstColumn="0" w:firstRowLastColumn="0" w:lastRowFirstColumn="0" w:lastRowLastColumn="0"/>
            <w:tcW w:w="3539" w:type="dxa"/>
            <w:hideMark/>
          </w:tcPr>
          <w:p w:rsidR="002E3FA6" w:rsidRPr="002E3FA6" w:rsidRDefault="002E3FA6" w:rsidP="002E3FA6">
            <w:pPr>
              <w:jc w:val="right"/>
              <w:rPr>
                <w:rFonts w:ascii="Calibri" w:eastAsia="Times New Roman" w:hAnsi="Calibri" w:cs="Calibri"/>
                <w:color w:val="000000"/>
                <w:lang w:eastAsia="en-GB"/>
              </w:rPr>
            </w:pPr>
            <w:r w:rsidRPr="002E3FA6">
              <w:rPr>
                <w:rFonts w:ascii="Calibri" w:eastAsia="Times New Roman" w:hAnsi="Calibri" w:cs="Calibri"/>
                <w:color w:val="000000"/>
                <w:lang w:eastAsia="en-GB"/>
              </w:rPr>
              <w:t>In a commercial building</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239</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0.3%</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351</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0.2%</w:t>
            </w:r>
          </w:p>
        </w:tc>
      </w:tr>
      <w:tr w:rsidR="002E3FA6" w:rsidRPr="002E3FA6" w:rsidTr="002E3FA6">
        <w:trPr>
          <w:trHeight w:val="568"/>
        </w:trPr>
        <w:tc>
          <w:tcPr>
            <w:cnfStyle w:val="001000000000" w:firstRow="0" w:lastRow="0" w:firstColumn="1" w:lastColumn="0" w:oddVBand="0" w:evenVBand="0" w:oddHBand="0" w:evenHBand="0" w:firstRowFirstColumn="0" w:firstRowLastColumn="0" w:lastRowFirstColumn="0" w:lastRowLastColumn="0"/>
            <w:tcW w:w="3539" w:type="dxa"/>
            <w:hideMark/>
          </w:tcPr>
          <w:p w:rsidR="002E3FA6" w:rsidRPr="002E3FA6" w:rsidRDefault="002E3FA6" w:rsidP="002E3FA6">
            <w:pPr>
              <w:jc w:val="right"/>
              <w:rPr>
                <w:rFonts w:ascii="Calibri" w:eastAsia="Times New Roman" w:hAnsi="Calibri" w:cs="Calibri"/>
                <w:color w:val="000000"/>
                <w:lang w:eastAsia="en-GB"/>
              </w:rPr>
            </w:pPr>
            <w:r w:rsidRPr="002E3FA6">
              <w:rPr>
                <w:rFonts w:ascii="Calibri" w:eastAsia="Times New Roman" w:hAnsi="Calibri" w:cs="Calibri"/>
                <w:color w:val="000000"/>
                <w:lang w:eastAsia="en-GB"/>
              </w:rPr>
              <w:t>Caravan or other mobile or temporary structure</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147</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0.2%</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434</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E3FA6">
              <w:rPr>
                <w:rFonts w:ascii="Calibri" w:eastAsia="Times New Roman" w:hAnsi="Calibri" w:cs="Calibri"/>
                <w:color w:val="000000"/>
                <w:lang w:eastAsia="en-GB"/>
              </w:rPr>
              <w:t>0.2%</w:t>
            </w:r>
          </w:p>
        </w:tc>
      </w:tr>
      <w:tr w:rsidR="002E3FA6" w:rsidRPr="002E3FA6" w:rsidTr="002E3FA6">
        <w:trPr>
          <w:trHeight w:val="389"/>
        </w:trPr>
        <w:tc>
          <w:tcPr>
            <w:cnfStyle w:val="001000000000" w:firstRow="0" w:lastRow="0" w:firstColumn="1" w:lastColumn="0" w:oddVBand="0" w:evenVBand="0" w:oddHBand="0" w:evenHBand="0" w:firstRowFirstColumn="0" w:firstRowLastColumn="0" w:lastRowFirstColumn="0" w:lastRowLastColumn="0"/>
            <w:tcW w:w="3539" w:type="dxa"/>
            <w:noWrap/>
            <w:hideMark/>
          </w:tcPr>
          <w:p w:rsidR="002E3FA6" w:rsidRPr="002E3FA6" w:rsidRDefault="002E3FA6" w:rsidP="002E3FA6">
            <w:pPr>
              <w:rPr>
                <w:rFonts w:ascii="Calibri" w:eastAsia="Times New Roman" w:hAnsi="Calibri" w:cs="Calibri"/>
                <w:color w:val="000000"/>
                <w:lang w:eastAsia="en-GB"/>
              </w:rPr>
            </w:pPr>
            <w:r w:rsidRPr="002E3FA6">
              <w:rPr>
                <w:rFonts w:ascii="Calibri" w:eastAsia="Times New Roman" w:hAnsi="Calibri" w:cs="Calibri"/>
                <w:color w:val="000000"/>
                <w:lang w:eastAsia="en-GB"/>
              </w:rPr>
              <w:t> </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E3FA6">
              <w:rPr>
                <w:rFonts w:ascii="Calibri" w:eastAsia="Times New Roman" w:hAnsi="Calibri" w:cs="Calibri"/>
                <w:b/>
                <w:bCs/>
                <w:color w:val="000000"/>
                <w:lang w:eastAsia="en-GB"/>
              </w:rPr>
              <w:t>84,642</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E3FA6">
              <w:rPr>
                <w:rFonts w:ascii="Calibri" w:eastAsia="Times New Roman" w:hAnsi="Calibri" w:cs="Calibri"/>
                <w:b/>
                <w:bCs/>
                <w:color w:val="000000"/>
                <w:lang w:eastAsia="en-GB"/>
              </w:rPr>
              <w:t>100.0%</w:t>
            </w:r>
          </w:p>
        </w:tc>
        <w:tc>
          <w:tcPr>
            <w:tcW w:w="1452"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E3FA6">
              <w:rPr>
                <w:rFonts w:ascii="Calibri" w:eastAsia="Times New Roman" w:hAnsi="Calibri" w:cs="Calibri"/>
                <w:b/>
                <w:bCs/>
                <w:color w:val="000000"/>
                <w:lang w:eastAsia="en-GB"/>
              </w:rPr>
              <w:t>217,017</w:t>
            </w:r>
          </w:p>
        </w:tc>
        <w:tc>
          <w:tcPr>
            <w:tcW w:w="1453" w:type="dxa"/>
            <w:noWrap/>
            <w:hideMark/>
          </w:tcPr>
          <w:p w:rsidR="002E3FA6" w:rsidRPr="002E3FA6" w:rsidRDefault="002E3FA6" w:rsidP="002E3F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E3FA6">
              <w:rPr>
                <w:rFonts w:ascii="Calibri" w:eastAsia="Times New Roman" w:hAnsi="Calibri" w:cs="Calibri"/>
                <w:b/>
                <w:bCs/>
                <w:color w:val="000000"/>
                <w:lang w:eastAsia="en-GB"/>
              </w:rPr>
              <w:t>100.0%</w:t>
            </w:r>
          </w:p>
        </w:tc>
      </w:tr>
    </w:tbl>
    <w:p w:rsidR="002E6905" w:rsidRPr="00745C3A" w:rsidRDefault="002E6905" w:rsidP="002E6905">
      <w:pPr>
        <w:rPr>
          <w:b/>
          <w:sz w:val="20"/>
          <w:szCs w:val="20"/>
        </w:rPr>
      </w:pPr>
      <w:r>
        <w:rPr>
          <w:i/>
          <w:sz w:val="20"/>
          <w:szCs w:val="20"/>
        </w:rPr>
        <w:t>Table</w:t>
      </w:r>
      <w:r w:rsidRPr="00E4631D">
        <w:rPr>
          <w:i/>
          <w:sz w:val="20"/>
          <w:szCs w:val="20"/>
        </w:rPr>
        <w:t xml:space="preserve"> 1: </w:t>
      </w:r>
      <w:r>
        <w:rPr>
          <w:i/>
          <w:sz w:val="20"/>
          <w:szCs w:val="20"/>
        </w:rPr>
        <w:t xml:space="preserve">Accommodation Type in </w:t>
      </w:r>
      <w:r w:rsidRPr="00E4631D">
        <w:rPr>
          <w:i/>
          <w:sz w:val="20"/>
          <w:szCs w:val="20"/>
        </w:rPr>
        <w:t>Armagh City, Banbridge and Craigavon</w:t>
      </w:r>
      <w:r>
        <w:rPr>
          <w:i/>
          <w:sz w:val="20"/>
          <w:szCs w:val="20"/>
        </w:rPr>
        <w:t xml:space="preserve"> by households and usual residents, 2021</w:t>
      </w:r>
      <w:r w:rsidRPr="00E4631D">
        <w:rPr>
          <w:i/>
          <w:sz w:val="20"/>
          <w:szCs w:val="20"/>
        </w:rPr>
        <w:t xml:space="preserve">.  Source: </w:t>
      </w:r>
      <w:r>
        <w:rPr>
          <w:i/>
          <w:sz w:val="20"/>
          <w:szCs w:val="20"/>
        </w:rPr>
        <w:t>Table MS-E05 &amp; Table MS-E06,</w:t>
      </w:r>
      <w:r w:rsidRPr="00E4631D">
        <w:rPr>
          <w:i/>
          <w:sz w:val="20"/>
          <w:szCs w:val="20"/>
        </w:rPr>
        <w:t xml:space="preserve"> </w:t>
      </w:r>
      <w:r>
        <w:rPr>
          <w:i/>
          <w:sz w:val="20"/>
          <w:szCs w:val="20"/>
        </w:rPr>
        <w:t xml:space="preserve">Census </w:t>
      </w:r>
      <w:r w:rsidRPr="00E4631D">
        <w:rPr>
          <w:i/>
          <w:sz w:val="20"/>
          <w:szCs w:val="20"/>
        </w:rPr>
        <w:t>2021.</w:t>
      </w:r>
    </w:p>
    <w:p w:rsidR="00721C5A" w:rsidRDefault="00721C5A" w:rsidP="00DA3A98"/>
    <w:p w:rsidR="00DA3A98" w:rsidRDefault="00F875CE" w:rsidP="00DA3A98">
      <w:r>
        <w:t xml:space="preserve">Between Census Day 2011 and Census Day 2021, there has been a 19.6% increase in the number of flat, maisonette or apartment spaces in Armagh City, Banbridge and Craigavon borough.  The largest increase has been in the number of semi-detached properties which has increased by almost 22% over the decade from 2011-2021.  The number of terrace properties has fallen by 5.5%.  </w:t>
      </w:r>
    </w:p>
    <w:p w:rsidR="00721C5A" w:rsidRPr="00F875CE" w:rsidRDefault="00721C5A" w:rsidP="00DA3A98"/>
    <w:tbl>
      <w:tblPr>
        <w:tblStyle w:val="GridTable1Light"/>
        <w:tblW w:w="9520" w:type="dxa"/>
        <w:tblLook w:val="04A0" w:firstRow="1" w:lastRow="0" w:firstColumn="1" w:lastColumn="0" w:noHBand="0" w:noVBand="1"/>
      </w:tblPr>
      <w:tblGrid>
        <w:gridCol w:w="3860"/>
        <w:gridCol w:w="2020"/>
        <w:gridCol w:w="1820"/>
        <w:gridCol w:w="1820"/>
      </w:tblGrid>
      <w:tr w:rsidR="00DA3A98" w:rsidRPr="00DA3A98" w:rsidTr="00DA3A9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0" w:type="dxa"/>
            <w:noWrap/>
            <w:hideMark/>
          </w:tcPr>
          <w:p w:rsidR="00DA3A98" w:rsidRPr="00DA3A98" w:rsidRDefault="00DA3A98" w:rsidP="00DA3A98">
            <w:pPr>
              <w:rPr>
                <w:rFonts w:ascii="Calibri" w:eastAsia="Times New Roman" w:hAnsi="Calibri" w:cs="Calibri"/>
                <w:color w:val="000000"/>
                <w:lang w:eastAsia="en-GB"/>
              </w:rPr>
            </w:pPr>
            <w:r w:rsidRPr="00DA3A98">
              <w:rPr>
                <w:rFonts w:ascii="Calibri" w:eastAsia="Times New Roman" w:hAnsi="Calibri" w:cs="Calibri"/>
                <w:color w:val="000000"/>
                <w:lang w:eastAsia="en-GB"/>
              </w:rPr>
              <w:t> </w:t>
            </w:r>
          </w:p>
        </w:tc>
        <w:tc>
          <w:tcPr>
            <w:tcW w:w="2020" w:type="dxa"/>
            <w:noWrap/>
            <w:hideMark/>
          </w:tcPr>
          <w:p w:rsidR="00DA3A98" w:rsidRPr="00DA3A98" w:rsidRDefault="00DA3A98" w:rsidP="00DA3A9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Census 2011</w:t>
            </w:r>
          </w:p>
        </w:tc>
        <w:tc>
          <w:tcPr>
            <w:tcW w:w="1820" w:type="dxa"/>
            <w:noWrap/>
            <w:hideMark/>
          </w:tcPr>
          <w:p w:rsidR="00DA3A98" w:rsidRPr="00DA3A98" w:rsidRDefault="00DA3A98" w:rsidP="00DA3A9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Census 2021</w:t>
            </w:r>
          </w:p>
        </w:tc>
        <w:tc>
          <w:tcPr>
            <w:tcW w:w="1820" w:type="dxa"/>
            <w:noWrap/>
            <w:hideMark/>
          </w:tcPr>
          <w:p w:rsidR="00DA3A98" w:rsidRPr="00DA3A98" w:rsidRDefault="00DA3A98" w:rsidP="00DA3A9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Percentage Change</w:t>
            </w:r>
          </w:p>
        </w:tc>
      </w:tr>
      <w:tr w:rsidR="00DA3A98" w:rsidRPr="00DA3A98" w:rsidTr="00DA3A98">
        <w:trPr>
          <w:trHeight w:val="288"/>
        </w:trPr>
        <w:tc>
          <w:tcPr>
            <w:cnfStyle w:val="001000000000" w:firstRow="0" w:lastRow="0" w:firstColumn="1" w:lastColumn="0" w:oddVBand="0" w:evenVBand="0" w:oddHBand="0" w:evenHBand="0" w:firstRowFirstColumn="0" w:firstRowLastColumn="0" w:lastRowFirstColumn="0" w:lastRowLastColumn="0"/>
            <w:tcW w:w="3860" w:type="dxa"/>
            <w:noWrap/>
            <w:hideMark/>
          </w:tcPr>
          <w:p w:rsidR="00DA3A98" w:rsidRPr="00DA3A98" w:rsidRDefault="00DA3A98" w:rsidP="00DA3A98">
            <w:pPr>
              <w:jc w:val="right"/>
              <w:rPr>
                <w:rFonts w:ascii="Calibri" w:eastAsia="Times New Roman" w:hAnsi="Calibri" w:cs="Calibri"/>
                <w:color w:val="000000"/>
                <w:lang w:eastAsia="en-GB"/>
              </w:rPr>
            </w:pPr>
            <w:r w:rsidRPr="00DA3A98">
              <w:rPr>
                <w:rFonts w:ascii="Calibri" w:eastAsia="Times New Roman" w:hAnsi="Calibri" w:cs="Calibri"/>
                <w:color w:val="000000"/>
                <w:lang w:eastAsia="en-GB"/>
              </w:rPr>
              <w:t>Detached</w:t>
            </w:r>
          </w:p>
        </w:tc>
        <w:tc>
          <w:tcPr>
            <w:tcW w:w="20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35,240</w:t>
            </w:r>
          </w:p>
        </w:tc>
        <w:tc>
          <w:tcPr>
            <w:tcW w:w="18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39,225</w:t>
            </w:r>
          </w:p>
        </w:tc>
        <w:tc>
          <w:tcPr>
            <w:tcW w:w="18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11.3%</w:t>
            </w:r>
          </w:p>
        </w:tc>
      </w:tr>
      <w:tr w:rsidR="00DA3A98" w:rsidRPr="00DA3A98" w:rsidTr="00DA3A98">
        <w:trPr>
          <w:trHeight w:val="288"/>
        </w:trPr>
        <w:tc>
          <w:tcPr>
            <w:cnfStyle w:val="001000000000" w:firstRow="0" w:lastRow="0" w:firstColumn="1" w:lastColumn="0" w:oddVBand="0" w:evenVBand="0" w:oddHBand="0" w:evenHBand="0" w:firstRowFirstColumn="0" w:firstRowLastColumn="0" w:lastRowFirstColumn="0" w:lastRowLastColumn="0"/>
            <w:tcW w:w="3860" w:type="dxa"/>
            <w:noWrap/>
            <w:hideMark/>
          </w:tcPr>
          <w:p w:rsidR="00DA3A98" w:rsidRPr="00DA3A98" w:rsidRDefault="00DA3A98" w:rsidP="00DA3A98">
            <w:pPr>
              <w:jc w:val="right"/>
              <w:rPr>
                <w:rFonts w:ascii="Calibri" w:eastAsia="Times New Roman" w:hAnsi="Calibri" w:cs="Calibri"/>
                <w:color w:val="000000"/>
                <w:lang w:eastAsia="en-GB"/>
              </w:rPr>
            </w:pPr>
            <w:r w:rsidRPr="00DA3A98">
              <w:rPr>
                <w:rFonts w:ascii="Calibri" w:eastAsia="Times New Roman" w:hAnsi="Calibri" w:cs="Calibri"/>
                <w:color w:val="000000"/>
                <w:lang w:eastAsia="en-GB"/>
              </w:rPr>
              <w:t>Semi-</w:t>
            </w:r>
            <w:proofErr w:type="spellStart"/>
            <w:r w:rsidRPr="00DA3A98">
              <w:rPr>
                <w:rFonts w:ascii="Calibri" w:eastAsia="Times New Roman" w:hAnsi="Calibri" w:cs="Calibri"/>
                <w:color w:val="000000"/>
                <w:lang w:eastAsia="en-GB"/>
              </w:rPr>
              <w:t>detatched</w:t>
            </w:r>
            <w:proofErr w:type="spellEnd"/>
          </w:p>
        </w:tc>
        <w:tc>
          <w:tcPr>
            <w:tcW w:w="20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20,967</w:t>
            </w:r>
          </w:p>
        </w:tc>
        <w:tc>
          <w:tcPr>
            <w:tcW w:w="18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25,497</w:t>
            </w:r>
          </w:p>
        </w:tc>
        <w:tc>
          <w:tcPr>
            <w:tcW w:w="18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21.6%</w:t>
            </w:r>
          </w:p>
        </w:tc>
      </w:tr>
      <w:tr w:rsidR="00DA3A98" w:rsidRPr="00DA3A98" w:rsidTr="00DA3A98">
        <w:trPr>
          <w:trHeight w:val="288"/>
        </w:trPr>
        <w:tc>
          <w:tcPr>
            <w:cnfStyle w:val="001000000000" w:firstRow="0" w:lastRow="0" w:firstColumn="1" w:lastColumn="0" w:oddVBand="0" w:evenVBand="0" w:oddHBand="0" w:evenHBand="0" w:firstRowFirstColumn="0" w:firstRowLastColumn="0" w:lastRowFirstColumn="0" w:lastRowLastColumn="0"/>
            <w:tcW w:w="3860" w:type="dxa"/>
            <w:hideMark/>
          </w:tcPr>
          <w:p w:rsidR="00DA3A98" w:rsidRPr="00DA3A98" w:rsidRDefault="00DA3A98" w:rsidP="00DA3A98">
            <w:pPr>
              <w:jc w:val="right"/>
              <w:rPr>
                <w:rFonts w:ascii="Calibri" w:eastAsia="Times New Roman" w:hAnsi="Calibri" w:cs="Calibri"/>
                <w:color w:val="000000"/>
                <w:lang w:eastAsia="en-GB"/>
              </w:rPr>
            </w:pPr>
            <w:r w:rsidRPr="00DA3A98">
              <w:rPr>
                <w:rFonts w:ascii="Calibri" w:eastAsia="Times New Roman" w:hAnsi="Calibri" w:cs="Calibri"/>
                <w:color w:val="000000"/>
                <w:lang w:eastAsia="en-GB"/>
              </w:rPr>
              <w:t>Terrace (including end-terrace)</w:t>
            </w:r>
          </w:p>
        </w:tc>
        <w:tc>
          <w:tcPr>
            <w:tcW w:w="20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19,505</w:t>
            </w:r>
          </w:p>
        </w:tc>
        <w:tc>
          <w:tcPr>
            <w:tcW w:w="18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18,438</w:t>
            </w:r>
          </w:p>
        </w:tc>
        <w:tc>
          <w:tcPr>
            <w:tcW w:w="18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-5.5%</w:t>
            </w:r>
          </w:p>
        </w:tc>
      </w:tr>
      <w:tr w:rsidR="00DA3A98" w:rsidRPr="00DA3A98" w:rsidTr="00DA3A98">
        <w:trPr>
          <w:trHeight w:val="288"/>
        </w:trPr>
        <w:tc>
          <w:tcPr>
            <w:cnfStyle w:val="001000000000" w:firstRow="0" w:lastRow="0" w:firstColumn="1" w:lastColumn="0" w:oddVBand="0" w:evenVBand="0" w:oddHBand="0" w:evenHBand="0" w:firstRowFirstColumn="0" w:firstRowLastColumn="0" w:lastRowFirstColumn="0" w:lastRowLastColumn="0"/>
            <w:tcW w:w="3860" w:type="dxa"/>
            <w:hideMark/>
          </w:tcPr>
          <w:p w:rsidR="00DA3A98" w:rsidRPr="00DA3A98" w:rsidRDefault="00DA3A98" w:rsidP="00DA3A98">
            <w:pPr>
              <w:jc w:val="right"/>
              <w:rPr>
                <w:rFonts w:ascii="Calibri" w:eastAsia="Times New Roman" w:hAnsi="Calibri" w:cs="Calibri"/>
                <w:color w:val="000000"/>
                <w:lang w:eastAsia="en-GB"/>
              </w:rPr>
            </w:pPr>
            <w:r w:rsidRPr="00DA3A98">
              <w:rPr>
                <w:rFonts w:ascii="Calibri" w:eastAsia="Times New Roman" w:hAnsi="Calibri" w:cs="Calibri"/>
                <w:color w:val="000000"/>
                <w:lang w:eastAsia="en-GB"/>
              </w:rPr>
              <w:t>Flat, maisonette or apartment</w:t>
            </w:r>
          </w:p>
        </w:tc>
        <w:tc>
          <w:tcPr>
            <w:tcW w:w="20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4,217</w:t>
            </w:r>
          </w:p>
        </w:tc>
        <w:tc>
          <w:tcPr>
            <w:tcW w:w="18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5,045</w:t>
            </w:r>
          </w:p>
        </w:tc>
        <w:tc>
          <w:tcPr>
            <w:tcW w:w="18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19.6%</w:t>
            </w:r>
          </w:p>
        </w:tc>
      </w:tr>
      <w:tr w:rsidR="00DA3A98" w:rsidRPr="00DA3A98" w:rsidTr="00DA3A98">
        <w:trPr>
          <w:trHeight w:val="288"/>
        </w:trPr>
        <w:tc>
          <w:tcPr>
            <w:cnfStyle w:val="001000000000" w:firstRow="0" w:lastRow="0" w:firstColumn="1" w:lastColumn="0" w:oddVBand="0" w:evenVBand="0" w:oddHBand="0" w:evenHBand="0" w:firstRowFirstColumn="0" w:firstRowLastColumn="0" w:lastRowFirstColumn="0" w:lastRowLastColumn="0"/>
            <w:tcW w:w="3860" w:type="dxa"/>
            <w:hideMark/>
          </w:tcPr>
          <w:p w:rsidR="00DA3A98" w:rsidRPr="00DA3A98" w:rsidRDefault="00DA3A98" w:rsidP="00DA3A98">
            <w:pPr>
              <w:jc w:val="right"/>
              <w:rPr>
                <w:rFonts w:ascii="Calibri" w:eastAsia="Times New Roman" w:hAnsi="Calibri" w:cs="Calibri"/>
                <w:color w:val="000000"/>
                <w:lang w:eastAsia="en-GB"/>
              </w:rPr>
            </w:pPr>
            <w:r w:rsidRPr="00DA3A98">
              <w:rPr>
                <w:rFonts w:ascii="Calibri" w:eastAsia="Times New Roman" w:hAnsi="Calibri" w:cs="Calibri"/>
                <w:color w:val="000000"/>
                <w:lang w:eastAsia="en-GB"/>
              </w:rPr>
              <w:t>Caravan or other mobile structure</w:t>
            </w:r>
          </w:p>
        </w:tc>
        <w:tc>
          <w:tcPr>
            <w:tcW w:w="20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191</w:t>
            </w:r>
          </w:p>
        </w:tc>
        <w:tc>
          <w:tcPr>
            <w:tcW w:w="18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180</w:t>
            </w:r>
          </w:p>
        </w:tc>
        <w:tc>
          <w:tcPr>
            <w:tcW w:w="18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3A98">
              <w:rPr>
                <w:rFonts w:ascii="Calibri" w:eastAsia="Times New Roman" w:hAnsi="Calibri" w:cs="Calibri"/>
                <w:color w:val="000000"/>
                <w:lang w:eastAsia="en-GB"/>
              </w:rPr>
              <w:t>-5.8%</w:t>
            </w:r>
          </w:p>
        </w:tc>
      </w:tr>
      <w:tr w:rsidR="00DA3A98" w:rsidRPr="00DA3A98" w:rsidTr="00DA3A98">
        <w:trPr>
          <w:trHeight w:val="288"/>
        </w:trPr>
        <w:tc>
          <w:tcPr>
            <w:cnfStyle w:val="001000000000" w:firstRow="0" w:lastRow="0" w:firstColumn="1" w:lastColumn="0" w:oddVBand="0" w:evenVBand="0" w:oddHBand="0" w:evenHBand="0" w:firstRowFirstColumn="0" w:firstRowLastColumn="0" w:lastRowFirstColumn="0" w:lastRowLastColumn="0"/>
            <w:tcW w:w="3860" w:type="dxa"/>
            <w:hideMark/>
          </w:tcPr>
          <w:p w:rsidR="00DA3A98" w:rsidRPr="00DA3A98" w:rsidRDefault="00DA3A98" w:rsidP="00DA3A98">
            <w:pPr>
              <w:jc w:val="right"/>
              <w:rPr>
                <w:rFonts w:ascii="Calibri" w:eastAsia="Times New Roman" w:hAnsi="Calibri" w:cs="Calibri"/>
                <w:color w:val="000000"/>
                <w:lang w:eastAsia="en-GB"/>
              </w:rPr>
            </w:pPr>
            <w:r w:rsidRPr="00DA3A98">
              <w:rPr>
                <w:rFonts w:ascii="Calibri" w:eastAsia="Times New Roman" w:hAnsi="Calibri" w:cs="Calibri"/>
                <w:color w:val="000000"/>
                <w:lang w:eastAsia="en-GB"/>
              </w:rPr>
              <w:t>All Household Spaces</w:t>
            </w:r>
          </w:p>
        </w:tc>
        <w:tc>
          <w:tcPr>
            <w:tcW w:w="20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DA3A98">
              <w:rPr>
                <w:rFonts w:ascii="Calibri" w:eastAsia="Times New Roman" w:hAnsi="Calibri" w:cs="Calibri"/>
                <w:b/>
                <w:color w:val="000000"/>
                <w:lang w:eastAsia="en-GB"/>
              </w:rPr>
              <w:t>80,120</w:t>
            </w:r>
          </w:p>
        </w:tc>
        <w:tc>
          <w:tcPr>
            <w:tcW w:w="18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DA3A98">
              <w:rPr>
                <w:rFonts w:ascii="Calibri" w:eastAsia="Times New Roman" w:hAnsi="Calibri" w:cs="Calibri"/>
                <w:b/>
                <w:color w:val="000000"/>
                <w:lang w:eastAsia="en-GB"/>
              </w:rPr>
              <w:t>88,385</w:t>
            </w:r>
          </w:p>
        </w:tc>
        <w:tc>
          <w:tcPr>
            <w:tcW w:w="1820" w:type="dxa"/>
            <w:noWrap/>
            <w:hideMark/>
          </w:tcPr>
          <w:p w:rsidR="00DA3A98" w:rsidRPr="00DA3A98" w:rsidRDefault="00DA3A98" w:rsidP="00DA3A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DA3A98">
              <w:rPr>
                <w:rFonts w:ascii="Calibri" w:eastAsia="Times New Roman" w:hAnsi="Calibri" w:cs="Calibri"/>
                <w:b/>
                <w:color w:val="000000"/>
                <w:lang w:eastAsia="en-GB"/>
              </w:rPr>
              <w:t>10.3%</w:t>
            </w:r>
          </w:p>
        </w:tc>
      </w:tr>
    </w:tbl>
    <w:p w:rsidR="00DA3A98" w:rsidRPr="00DA3A98" w:rsidRDefault="00DA3A98" w:rsidP="00DA3A98">
      <w:r>
        <w:rPr>
          <w:i/>
          <w:sz w:val="20"/>
          <w:szCs w:val="20"/>
        </w:rPr>
        <w:t>Table</w:t>
      </w:r>
      <w:r w:rsidRPr="00E4631D">
        <w:rPr>
          <w:i/>
          <w:sz w:val="20"/>
          <w:szCs w:val="20"/>
        </w:rPr>
        <w:t xml:space="preserve"> </w:t>
      </w:r>
      <w:r>
        <w:rPr>
          <w:i/>
          <w:sz w:val="20"/>
          <w:szCs w:val="20"/>
        </w:rPr>
        <w:t>2</w:t>
      </w:r>
      <w:r w:rsidRPr="00E4631D">
        <w:rPr>
          <w:i/>
          <w:sz w:val="20"/>
          <w:szCs w:val="20"/>
        </w:rPr>
        <w:t xml:space="preserve">: </w:t>
      </w:r>
      <w:r>
        <w:rPr>
          <w:i/>
          <w:sz w:val="20"/>
          <w:szCs w:val="20"/>
        </w:rPr>
        <w:t xml:space="preserve">Household Spaces by Accommodation Type in </w:t>
      </w:r>
      <w:r w:rsidRPr="00E4631D">
        <w:rPr>
          <w:i/>
          <w:sz w:val="20"/>
          <w:szCs w:val="20"/>
        </w:rPr>
        <w:t>Armagh City, Banbridge and Craigavon</w:t>
      </w:r>
      <w:r>
        <w:rPr>
          <w:i/>
          <w:sz w:val="20"/>
          <w:szCs w:val="20"/>
        </w:rPr>
        <w:t>,</w:t>
      </w:r>
      <w:r w:rsidRPr="00E4631D">
        <w:rPr>
          <w:i/>
          <w:sz w:val="20"/>
          <w:szCs w:val="20"/>
        </w:rPr>
        <w:t xml:space="preserve"> </w:t>
      </w:r>
      <w:r>
        <w:rPr>
          <w:i/>
          <w:sz w:val="20"/>
          <w:szCs w:val="20"/>
        </w:rPr>
        <w:t>2011 &amp; 2021</w:t>
      </w:r>
      <w:r w:rsidRPr="00E4631D">
        <w:rPr>
          <w:i/>
          <w:sz w:val="20"/>
          <w:szCs w:val="20"/>
        </w:rPr>
        <w:t xml:space="preserve">.  Source: </w:t>
      </w:r>
      <w:r>
        <w:rPr>
          <w:i/>
          <w:sz w:val="20"/>
          <w:szCs w:val="20"/>
        </w:rPr>
        <w:t>Census 2011 &amp; Table MS-E07,</w:t>
      </w:r>
      <w:r w:rsidRPr="00E4631D">
        <w:rPr>
          <w:i/>
          <w:sz w:val="20"/>
          <w:szCs w:val="20"/>
        </w:rPr>
        <w:t xml:space="preserve"> 2021.</w:t>
      </w:r>
    </w:p>
    <w:p w:rsidR="00EB2239" w:rsidRDefault="00EB2239"/>
    <w:p w:rsidR="00721C5A" w:rsidRDefault="00721C5A">
      <w:pPr>
        <w:rPr>
          <w:b/>
        </w:rPr>
      </w:pPr>
    </w:p>
    <w:p w:rsidR="00721C5A" w:rsidRDefault="00721C5A">
      <w:pPr>
        <w:rPr>
          <w:b/>
        </w:rPr>
      </w:pPr>
    </w:p>
    <w:p w:rsidR="00721C5A" w:rsidRDefault="00721C5A">
      <w:pPr>
        <w:rPr>
          <w:b/>
        </w:rPr>
      </w:pPr>
    </w:p>
    <w:p w:rsidR="00EB2239" w:rsidRPr="00F875CE" w:rsidRDefault="00F875CE">
      <w:pPr>
        <w:rPr>
          <w:b/>
        </w:rPr>
      </w:pPr>
      <w:r w:rsidRPr="00F875CE">
        <w:rPr>
          <w:b/>
        </w:rPr>
        <w:lastRenderedPageBreak/>
        <w:t xml:space="preserve">Adaption of Accommodation </w:t>
      </w:r>
    </w:p>
    <w:p w:rsidR="0057398F" w:rsidRDefault="0057398F">
      <w:pPr>
        <w:rPr>
          <w:b/>
          <w:sz w:val="20"/>
          <w:szCs w:val="20"/>
        </w:rPr>
      </w:pPr>
      <w:r>
        <w:t xml:space="preserve">The majority of occupied households </w:t>
      </w:r>
      <w:r w:rsidR="00803D70">
        <w:t xml:space="preserve">in Armagh City, Banbridge and Craigavon Borough </w:t>
      </w:r>
      <w:r>
        <w:t>ha</w:t>
      </w:r>
      <w:r w:rsidR="00803D70">
        <w:t>ve no reported adaptations (82</w:t>
      </w:r>
      <w:r>
        <w:t xml:space="preserve">% of all </w:t>
      </w:r>
      <w:r w:rsidR="00803D70">
        <w:t xml:space="preserve">occupied </w:t>
      </w:r>
      <w:r>
        <w:t xml:space="preserve">households). </w:t>
      </w:r>
      <w:r w:rsidR="00803D70">
        <w:t>Of the</w:t>
      </w:r>
      <w:r>
        <w:t xml:space="preserve"> households </w:t>
      </w:r>
      <w:r w:rsidR="00803D70">
        <w:t xml:space="preserve">who </w:t>
      </w:r>
      <w:r>
        <w:t xml:space="preserve">reported </w:t>
      </w:r>
      <w:r w:rsidR="00803D70">
        <w:t xml:space="preserve">having made adaptions to their property, the majority (11.6%) had made just </w:t>
      </w:r>
      <w:r>
        <w:t xml:space="preserve">one </w:t>
      </w:r>
      <w:r w:rsidR="00803D70">
        <w:t xml:space="preserve">adaptation while 1.3% had made 3 or more adaptions.  </w:t>
      </w:r>
      <w:r>
        <w:t xml:space="preserve">Table </w:t>
      </w:r>
      <w:r w:rsidR="00803D70">
        <w:t>3</w:t>
      </w:r>
      <w:r>
        <w:t xml:space="preserve"> shows the reported number of adaptations made to the accommodation for all occupied households in </w:t>
      </w:r>
      <w:r w:rsidR="00803D70">
        <w:t>the borough</w:t>
      </w:r>
      <w:r>
        <w:t>.</w:t>
      </w:r>
    </w:p>
    <w:tbl>
      <w:tblPr>
        <w:tblStyle w:val="GridTable1Light"/>
        <w:tblW w:w="7140" w:type="dxa"/>
        <w:tblLayout w:type="fixed"/>
        <w:tblLook w:val="04A0" w:firstRow="1" w:lastRow="0" w:firstColumn="1" w:lastColumn="0" w:noHBand="0" w:noVBand="1"/>
      </w:tblPr>
      <w:tblGrid>
        <w:gridCol w:w="2860"/>
        <w:gridCol w:w="2140"/>
        <w:gridCol w:w="2140"/>
      </w:tblGrid>
      <w:tr w:rsidR="0057398F" w:rsidRPr="0057398F" w:rsidTr="0057398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0" w:type="dxa"/>
            <w:noWrap/>
            <w:hideMark/>
          </w:tcPr>
          <w:p w:rsidR="0057398F" w:rsidRPr="0057398F" w:rsidRDefault="0057398F" w:rsidP="0057398F">
            <w:pPr>
              <w:rPr>
                <w:rFonts w:ascii="Calibri" w:eastAsia="Times New Roman" w:hAnsi="Calibri" w:cs="Calibri"/>
                <w:color w:val="000000"/>
                <w:lang w:eastAsia="en-GB"/>
              </w:rPr>
            </w:pPr>
            <w:r w:rsidRPr="0057398F">
              <w:rPr>
                <w:rFonts w:ascii="Calibri" w:eastAsia="Times New Roman" w:hAnsi="Calibri" w:cs="Calibri"/>
                <w:color w:val="000000"/>
                <w:lang w:eastAsia="en-GB"/>
              </w:rPr>
              <w:t>Number of adaptions made</w:t>
            </w:r>
          </w:p>
        </w:tc>
        <w:tc>
          <w:tcPr>
            <w:tcW w:w="2140" w:type="dxa"/>
            <w:noWrap/>
            <w:hideMark/>
          </w:tcPr>
          <w:p w:rsidR="0057398F" w:rsidRPr="0057398F" w:rsidRDefault="0057398F" w:rsidP="005739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Occupied Households</w:t>
            </w:r>
          </w:p>
        </w:tc>
        <w:tc>
          <w:tcPr>
            <w:tcW w:w="2140" w:type="dxa"/>
            <w:noWrap/>
            <w:hideMark/>
          </w:tcPr>
          <w:p w:rsidR="0057398F" w:rsidRPr="0057398F" w:rsidRDefault="0057398F" w:rsidP="005739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 xml:space="preserve">Percentage </w:t>
            </w:r>
          </w:p>
        </w:tc>
      </w:tr>
      <w:tr w:rsidR="0057398F" w:rsidRPr="0057398F" w:rsidTr="0057398F">
        <w:trPr>
          <w:trHeight w:val="288"/>
        </w:trPr>
        <w:tc>
          <w:tcPr>
            <w:cnfStyle w:val="001000000000" w:firstRow="0" w:lastRow="0" w:firstColumn="1" w:lastColumn="0" w:oddVBand="0" w:evenVBand="0" w:oddHBand="0" w:evenHBand="0" w:firstRowFirstColumn="0" w:firstRowLastColumn="0" w:lastRowFirstColumn="0" w:lastRowLastColumn="0"/>
            <w:tcW w:w="2860" w:type="dxa"/>
            <w:noWrap/>
            <w:hideMark/>
          </w:tcPr>
          <w:p w:rsidR="0057398F" w:rsidRPr="0057398F" w:rsidRDefault="0057398F" w:rsidP="0057398F">
            <w:pPr>
              <w:rPr>
                <w:rFonts w:ascii="Calibri" w:eastAsia="Times New Roman" w:hAnsi="Calibri" w:cs="Calibri"/>
                <w:color w:val="000000"/>
                <w:lang w:eastAsia="en-GB"/>
              </w:rPr>
            </w:pPr>
            <w:r w:rsidRPr="0057398F">
              <w:rPr>
                <w:rFonts w:ascii="Calibri" w:eastAsia="Times New Roman" w:hAnsi="Calibri" w:cs="Calibri"/>
                <w:color w:val="000000"/>
                <w:lang w:eastAsia="en-GB"/>
              </w:rPr>
              <w:t>No adaptions</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69,375</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82.0%</w:t>
            </w:r>
          </w:p>
        </w:tc>
      </w:tr>
      <w:tr w:rsidR="0057398F" w:rsidRPr="0057398F" w:rsidTr="0057398F">
        <w:trPr>
          <w:trHeight w:val="288"/>
        </w:trPr>
        <w:tc>
          <w:tcPr>
            <w:cnfStyle w:val="001000000000" w:firstRow="0" w:lastRow="0" w:firstColumn="1" w:lastColumn="0" w:oddVBand="0" w:evenVBand="0" w:oddHBand="0" w:evenHBand="0" w:firstRowFirstColumn="0" w:firstRowLastColumn="0" w:lastRowFirstColumn="0" w:lastRowLastColumn="0"/>
            <w:tcW w:w="2860" w:type="dxa"/>
            <w:noWrap/>
            <w:hideMark/>
          </w:tcPr>
          <w:p w:rsidR="0057398F" w:rsidRPr="0057398F" w:rsidRDefault="0057398F" w:rsidP="0057398F">
            <w:pPr>
              <w:rPr>
                <w:rFonts w:ascii="Calibri" w:eastAsia="Times New Roman" w:hAnsi="Calibri" w:cs="Calibri"/>
                <w:color w:val="000000"/>
                <w:lang w:eastAsia="en-GB"/>
              </w:rPr>
            </w:pPr>
            <w:r w:rsidRPr="0057398F">
              <w:rPr>
                <w:rFonts w:ascii="Calibri" w:eastAsia="Times New Roman" w:hAnsi="Calibri" w:cs="Calibri"/>
                <w:color w:val="000000"/>
                <w:lang w:eastAsia="en-GB"/>
              </w:rPr>
              <w:t>1 or more adaptions</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15,267</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18.0%</w:t>
            </w:r>
          </w:p>
        </w:tc>
      </w:tr>
      <w:tr w:rsidR="0057398F" w:rsidRPr="0057398F" w:rsidTr="0057398F">
        <w:trPr>
          <w:trHeight w:val="288"/>
        </w:trPr>
        <w:tc>
          <w:tcPr>
            <w:cnfStyle w:val="001000000000" w:firstRow="0" w:lastRow="0" w:firstColumn="1" w:lastColumn="0" w:oddVBand="0" w:evenVBand="0" w:oddHBand="0" w:evenHBand="0" w:firstRowFirstColumn="0" w:firstRowLastColumn="0" w:lastRowFirstColumn="0" w:lastRowLastColumn="0"/>
            <w:tcW w:w="2860" w:type="dxa"/>
            <w:noWrap/>
            <w:hideMark/>
          </w:tcPr>
          <w:p w:rsidR="0057398F" w:rsidRPr="0057398F" w:rsidRDefault="0057398F" w:rsidP="0057398F">
            <w:pPr>
              <w:rPr>
                <w:rFonts w:ascii="Calibri" w:eastAsia="Times New Roman" w:hAnsi="Calibri" w:cs="Calibri"/>
                <w:color w:val="000000"/>
                <w:lang w:eastAsia="en-GB"/>
              </w:rPr>
            </w:pPr>
            <w:r w:rsidRPr="0057398F">
              <w:rPr>
                <w:rFonts w:ascii="Calibri" w:eastAsia="Times New Roman" w:hAnsi="Calibri" w:cs="Calibri"/>
                <w:color w:val="000000"/>
                <w:lang w:eastAsia="en-GB"/>
              </w:rPr>
              <w:t>1 adaption</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9,812</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11.6%</w:t>
            </w:r>
          </w:p>
        </w:tc>
      </w:tr>
      <w:tr w:rsidR="0057398F" w:rsidRPr="0057398F" w:rsidTr="0057398F">
        <w:trPr>
          <w:trHeight w:val="288"/>
        </w:trPr>
        <w:tc>
          <w:tcPr>
            <w:cnfStyle w:val="001000000000" w:firstRow="0" w:lastRow="0" w:firstColumn="1" w:lastColumn="0" w:oddVBand="0" w:evenVBand="0" w:oddHBand="0" w:evenHBand="0" w:firstRowFirstColumn="0" w:firstRowLastColumn="0" w:lastRowFirstColumn="0" w:lastRowLastColumn="0"/>
            <w:tcW w:w="2860" w:type="dxa"/>
            <w:noWrap/>
            <w:hideMark/>
          </w:tcPr>
          <w:p w:rsidR="0057398F" w:rsidRPr="0057398F" w:rsidRDefault="0057398F" w:rsidP="0057398F">
            <w:pPr>
              <w:rPr>
                <w:rFonts w:ascii="Calibri" w:eastAsia="Times New Roman" w:hAnsi="Calibri" w:cs="Calibri"/>
                <w:color w:val="000000"/>
                <w:lang w:eastAsia="en-GB"/>
              </w:rPr>
            </w:pPr>
            <w:r w:rsidRPr="0057398F">
              <w:rPr>
                <w:rFonts w:ascii="Calibri" w:eastAsia="Times New Roman" w:hAnsi="Calibri" w:cs="Calibri"/>
                <w:color w:val="000000"/>
                <w:lang w:eastAsia="en-GB"/>
              </w:rPr>
              <w:t>2 adaptions</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4,360</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5.2%</w:t>
            </w:r>
          </w:p>
        </w:tc>
      </w:tr>
      <w:tr w:rsidR="0057398F" w:rsidRPr="0057398F" w:rsidTr="0057398F">
        <w:trPr>
          <w:trHeight w:val="288"/>
        </w:trPr>
        <w:tc>
          <w:tcPr>
            <w:cnfStyle w:val="001000000000" w:firstRow="0" w:lastRow="0" w:firstColumn="1" w:lastColumn="0" w:oddVBand="0" w:evenVBand="0" w:oddHBand="0" w:evenHBand="0" w:firstRowFirstColumn="0" w:firstRowLastColumn="0" w:lastRowFirstColumn="0" w:lastRowLastColumn="0"/>
            <w:tcW w:w="2860" w:type="dxa"/>
            <w:noWrap/>
            <w:hideMark/>
          </w:tcPr>
          <w:p w:rsidR="0057398F" w:rsidRPr="0057398F" w:rsidRDefault="0057398F" w:rsidP="0057398F">
            <w:pPr>
              <w:rPr>
                <w:rFonts w:ascii="Calibri" w:eastAsia="Times New Roman" w:hAnsi="Calibri" w:cs="Calibri"/>
                <w:color w:val="000000"/>
                <w:lang w:eastAsia="en-GB"/>
              </w:rPr>
            </w:pPr>
            <w:r w:rsidRPr="0057398F">
              <w:rPr>
                <w:rFonts w:ascii="Calibri" w:eastAsia="Times New Roman" w:hAnsi="Calibri" w:cs="Calibri"/>
                <w:color w:val="000000"/>
                <w:lang w:eastAsia="en-GB"/>
              </w:rPr>
              <w:t>3 adaptions</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937</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1.1%</w:t>
            </w:r>
          </w:p>
        </w:tc>
      </w:tr>
      <w:tr w:rsidR="0057398F" w:rsidRPr="0057398F" w:rsidTr="0057398F">
        <w:trPr>
          <w:trHeight w:val="288"/>
        </w:trPr>
        <w:tc>
          <w:tcPr>
            <w:cnfStyle w:val="001000000000" w:firstRow="0" w:lastRow="0" w:firstColumn="1" w:lastColumn="0" w:oddVBand="0" w:evenVBand="0" w:oddHBand="0" w:evenHBand="0" w:firstRowFirstColumn="0" w:firstRowLastColumn="0" w:lastRowFirstColumn="0" w:lastRowLastColumn="0"/>
            <w:tcW w:w="2860" w:type="dxa"/>
            <w:noWrap/>
            <w:hideMark/>
          </w:tcPr>
          <w:p w:rsidR="0057398F" w:rsidRPr="0057398F" w:rsidRDefault="0057398F" w:rsidP="0057398F">
            <w:pPr>
              <w:rPr>
                <w:rFonts w:ascii="Calibri" w:eastAsia="Times New Roman" w:hAnsi="Calibri" w:cs="Calibri"/>
                <w:color w:val="000000"/>
                <w:lang w:eastAsia="en-GB"/>
              </w:rPr>
            </w:pPr>
            <w:r w:rsidRPr="0057398F">
              <w:rPr>
                <w:rFonts w:ascii="Calibri" w:eastAsia="Times New Roman" w:hAnsi="Calibri" w:cs="Calibri"/>
                <w:color w:val="000000"/>
                <w:lang w:eastAsia="en-GB"/>
              </w:rPr>
              <w:t>4 or more adaptions</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158</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0.2%</w:t>
            </w:r>
          </w:p>
        </w:tc>
      </w:tr>
      <w:tr w:rsidR="0057398F" w:rsidRPr="0057398F" w:rsidTr="0057398F">
        <w:trPr>
          <w:trHeight w:val="288"/>
        </w:trPr>
        <w:tc>
          <w:tcPr>
            <w:cnfStyle w:val="001000000000" w:firstRow="0" w:lastRow="0" w:firstColumn="1" w:lastColumn="0" w:oddVBand="0" w:evenVBand="0" w:oddHBand="0" w:evenHBand="0" w:firstRowFirstColumn="0" w:firstRowLastColumn="0" w:lastRowFirstColumn="0" w:lastRowLastColumn="0"/>
            <w:tcW w:w="2860" w:type="dxa"/>
            <w:noWrap/>
            <w:hideMark/>
          </w:tcPr>
          <w:p w:rsidR="0057398F" w:rsidRPr="0057398F" w:rsidRDefault="0057398F" w:rsidP="0057398F">
            <w:pPr>
              <w:rPr>
                <w:rFonts w:ascii="Calibri" w:eastAsia="Times New Roman" w:hAnsi="Calibri" w:cs="Calibri"/>
                <w:color w:val="000000"/>
                <w:lang w:eastAsia="en-GB"/>
              </w:rPr>
            </w:pPr>
            <w:r w:rsidRPr="0057398F">
              <w:rPr>
                <w:rFonts w:ascii="Calibri" w:eastAsia="Times New Roman" w:hAnsi="Calibri" w:cs="Calibri"/>
                <w:color w:val="000000"/>
                <w:lang w:eastAsia="en-GB"/>
              </w:rPr>
              <w:t xml:space="preserve">Total </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84,642</w:t>
            </w:r>
          </w:p>
        </w:tc>
        <w:tc>
          <w:tcPr>
            <w:tcW w:w="2140" w:type="dxa"/>
            <w:noWrap/>
            <w:hideMark/>
          </w:tcPr>
          <w:p w:rsidR="0057398F" w:rsidRPr="0057398F" w:rsidRDefault="0057398F" w:rsidP="005739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7398F">
              <w:rPr>
                <w:rFonts w:ascii="Calibri" w:eastAsia="Times New Roman" w:hAnsi="Calibri" w:cs="Calibri"/>
                <w:color w:val="000000"/>
                <w:lang w:eastAsia="en-GB"/>
              </w:rPr>
              <w:t>100.0%</w:t>
            </w:r>
          </w:p>
        </w:tc>
      </w:tr>
    </w:tbl>
    <w:p w:rsidR="0057398F" w:rsidRPr="00DA3A98" w:rsidRDefault="0057398F" w:rsidP="0057398F">
      <w:r>
        <w:rPr>
          <w:i/>
          <w:sz w:val="20"/>
          <w:szCs w:val="20"/>
        </w:rPr>
        <w:t>Table</w:t>
      </w:r>
      <w:r w:rsidRPr="00E4631D">
        <w:rPr>
          <w:i/>
          <w:sz w:val="20"/>
          <w:szCs w:val="20"/>
        </w:rPr>
        <w:t xml:space="preserve"> </w:t>
      </w:r>
      <w:r>
        <w:rPr>
          <w:i/>
          <w:sz w:val="20"/>
          <w:szCs w:val="20"/>
        </w:rPr>
        <w:t>3</w:t>
      </w:r>
      <w:r w:rsidRPr="00E4631D">
        <w:rPr>
          <w:i/>
          <w:sz w:val="20"/>
          <w:szCs w:val="20"/>
        </w:rPr>
        <w:t xml:space="preserve">: </w:t>
      </w:r>
      <w:r>
        <w:rPr>
          <w:i/>
          <w:sz w:val="20"/>
          <w:szCs w:val="20"/>
        </w:rPr>
        <w:t xml:space="preserve">Occupied households by number of adaptions in </w:t>
      </w:r>
      <w:r w:rsidRPr="00E4631D">
        <w:rPr>
          <w:i/>
          <w:sz w:val="20"/>
          <w:szCs w:val="20"/>
        </w:rPr>
        <w:t>Armagh City, Banbridge and Craigavon</w:t>
      </w:r>
      <w:r>
        <w:rPr>
          <w:i/>
          <w:sz w:val="20"/>
          <w:szCs w:val="20"/>
        </w:rPr>
        <w:t>,</w:t>
      </w:r>
      <w:r w:rsidRPr="00E4631D">
        <w:rPr>
          <w:i/>
          <w:sz w:val="20"/>
          <w:szCs w:val="20"/>
        </w:rPr>
        <w:t xml:space="preserve"> </w:t>
      </w:r>
      <w:r>
        <w:rPr>
          <w:i/>
          <w:sz w:val="20"/>
          <w:szCs w:val="20"/>
        </w:rPr>
        <w:t>2021</w:t>
      </w:r>
      <w:r w:rsidRPr="00E4631D">
        <w:rPr>
          <w:i/>
          <w:sz w:val="20"/>
          <w:szCs w:val="20"/>
        </w:rPr>
        <w:t xml:space="preserve">.  Source: </w:t>
      </w:r>
      <w:r>
        <w:rPr>
          <w:i/>
          <w:sz w:val="20"/>
          <w:szCs w:val="20"/>
        </w:rPr>
        <w:t>Table MS-E08,</w:t>
      </w:r>
      <w:r w:rsidRPr="00E4631D">
        <w:rPr>
          <w:i/>
          <w:sz w:val="20"/>
          <w:szCs w:val="20"/>
        </w:rPr>
        <w:t xml:space="preserve"> 2021.</w:t>
      </w:r>
    </w:p>
    <w:p w:rsidR="00567B5B" w:rsidRDefault="00567B5B" w:rsidP="00567B5B"/>
    <w:p w:rsidR="00697B1A" w:rsidRPr="00567B5B" w:rsidRDefault="00803D70">
      <w:pPr>
        <w:rPr>
          <w:b/>
          <w:sz w:val="20"/>
          <w:szCs w:val="20"/>
        </w:rPr>
      </w:pPr>
      <w:r>
        <w:t xml:space="preserve">The question on adaptations of accommodation in the census was a multi-tick question. The table below presents information on the individual types of adaptions made to the accommodation for all occupied households in the borough.  </w:t>
      </w:r>
      <w:r w:rsidR="00567B5B">
        <w:t xml:space="preserve">Internal wheelchair usage is the most prevalent type of adaptation of all occupied households in Armagh City, Banbridge and Craigavon borough accounting for 9.6% of adaptions made.  Approximately 8.6% of occupied households in the borough have been adapted for external wheelchair access with a further 6.6% of adaptions relating to other physical or mobility difficulties.  </w:t>
      </w:r>
    </w:p>
    <w:tbl>
      <w:tblPr>
        <w:tblStyle w:val="GridTable1Light"/>
        <w:tblW w:w="8642" w:type="dxa"/>
        <w:tblLayout w:type="fixed"/>
        <w:tblLook w:val="04A0" w:firstRow="1" w:lastRow="0" w:firstColumn="1" w:lastColumn="0" w:noHBand="0" w:noVBand="1"/>
      </w:tblPr>
      <w:tblGrid>
        <w:gridCol w:w="3681"/>
        <w:gridCol w:w="2480"/>
        <w:gridCol w:w="2481"/>
      </w:tblGrid>
      <w:tr w:rsidR="00803D70" w:rsidRPr="00803D70" w:rsidTr="00697B1A">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681" w:type="dxa"/>
            <w:noWrap/>
            <w:hideMark/>
          </w:tcPr>
          <w:p w:rsidR="00803D70" w:rsidRPr="00803D70" w:rsidRDefault="00803D70" w:rsidP="00803D70">
            <w:pPr>
              <w:rPr>
                <w:rFonts w:ascii="Calibri" w:eastAsia="Times New Roman" w:hAnsi="Calibri" w:cs="Calibri"/>
                <w:color w:val="000000"/>
                <w:lang w:eastAsia="en-GB"/>
              </w:rPr>
            </w:pPr>
            <w:r w:rsidRPr="00803D70">
              <w:rPr>
                <w:rFonts w:ascii="Calibri" w:eastAsia="Times New Roman" w:hAnsi="Calibri" w:cs="Calibri"/>
                <w:color w:val="000000"/>
                <w:lang w:eastAsia="en-GB"/>
              </w:rPr>
              <w:t>Type of adaption</w:t>
            </w:r>
          </w:p>
        </w:tc>
        <w:tc>
          <w:tcPr>
            <w:tcW w:w="2480" w:type="dxa"/>
            <w:hideMark/>
          </w:tcPr>
          <w:p w:rsidR="00803D70" w:rsidRPr="00803D70" w:rsidRDefault="00803D70" w:rsidP="00803D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 xml:space="preserve">No. of households with this adaption </w:t>
            </w:r>
          </w:p>
        </w:tc>
        <w:tc>
          <w:tcPr>
            <w:tcW w:w="2481" w:type="dxa"/>
            <w:hideMark/>
          </w:tcPr>
          <w:p w:rsidR="00803D70" w:rsidRPr="00803D70" w:rsidRDefault="00803D70" w:rsidP="00803D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 xml:space="preserve">Percentage of all households with this adaption  </w:t>
            </w:r>
          </w:p>
        </w:tc>
      </w:tr>
      <w:tr w:rsidR="00803D70" w:rsidRPr="00803D70" w:rsidTr="00697B1A">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rsidR="00803D70" w:rsidRPr="00803D70" w:rsidRDefault="00803D70" w:rsidP="00697B1A">
            <w:pPr>
              <w:rPr>
                <w:rFonts w:ascii="Calibri" w:eastAsia="Times New Roman" w:hAnsi="Calibri" w:cs="Calibri"/>
                <w:color w:val="000000"/>
                <w:lang w:eastAsia="en-GB"/>
              </w:rPr>
            </w:pPr>
            <w:r w:rsidRPr="00803D70">
              <w:rPr>
                <w:rFonts w:ascii="Calibri" w:eastAsia="Times New Roman" w:hAnsi="Calibri" w:cs="Calibri"/>
                <w:color w:val="000000"/>
                <w:lang w:eastAsia="en-GB"/>
              </w:rPr>
              <w:t>Internal wheelchair</w:t>
            </w:r>
            <w:r w:rsidR="001338D1">
              <w:rPr>
                <w:rFonts w:ascii="Calibri" w:eastAsia="Times New Roman" w:hAnsi="Calibri" w:cs="Calibri"/>
                <w:color w:val="000000"/>
                <w:lang w:eastAsia="en-GB"/>
              </w:rPr>
              <w:t xml:space="preserve"> usage</w:t>
            </w:r>
          </w:p>
        </w:tc>
        <w:tc>
          <w:tcPr>
            <w:tcW w:w="2480" w:type="dxa"/>
            <w:noWrap/>
            <w:hideMark/>
          </w:tcPr>
          <w:p w:rsidR="00803D70" w:rsidRPr="00803D70" w:rsidRDefault="00803D70" w:rsidP="00803D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8,120</w:t>
            </w:r>
          </w:p>
        </w:tc>
        <w:tc>
          <w:tcPr>
            <w:tcW w:w="2481" w:type="dxa"/>
            <w:noWrap/>
            <w:hideMark/>
          </w:tcPr>
          <w:p w:rsidR="00803D70" w:rsidRPr="00803D70" w:rsidRDefault="00803D70" w:rsidP="00803D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9.6%</w:t>
            </w:r>
          </w:p>
        </w:tc>
      </w:tr>
      <w:tr w:rsidR="00803D70" w:rsidRPr="00803D70" w:rsidTr="00697B1A">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rsidR="00803D70" w:rsidRPr="00803D70" w:rsidRDefault="00803D70" w:rsidP="001338D1">
            <w:pPr>
              <w:rPr>
                <w:rFonts w:ascii="Calibri" w:eastAsia="Times New Roman" w:hAnsi="Calibri" w:cs="Calibri"/>
                <w:color w:val="000000"/>
                <w:lang w:eastAsia="en-GB"/>
              </w:rPr>
            </w:pPr>
            <w:r w:rsidRPr="00803D70">
              <w:rPr>
                <w:rFonts w:ascii="Calibri" w:eastAsia="Times New Roman" w:hAnsi="Calibri" w:cs="Calibri"/>
                <w:color w:val="000000"/>
                <w:lang w:eastAsia="en-GB"/>
              </w:rPr>
              <w:t xml:space="preserve">External wheelchair </w:t>
            </w:r>
            <w:r w:rsidR="001338D1">
              <w:rPr>
                <w:rFonts w:ascii="Calibri" w:eastAsia="Times New Roman" w:hAnsi="Calibri" w:cs="Calibri"/>
                <w:color w:val="000000"/>
                <w:lang w:eastAsia="en-GB"/>
              </w:rPr>
              <w:t>access</w:t>
            </w:r>
          </w:p>
        </w:tc>
        <w:tc>
          <w:tcPr>
            <w:tcW w:w="2480" w:type="dxa"/>
            <w:noWrap/>
            <w:hideMark/>
          </w:tcPr>
          <w:p w:rsidR="00803D70" w:rsidRPr="00803D70" w:rsidRDefault="00803D70" w:rsidP="00803D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7,240</w:t>
            </w:r>
          </w:p>
        </w:tc>
        <w:tc>
          <w:tcPr>
            <w:tcW w:w="2481" w:type="dxa"/>
            <w:noWrap/>
            <w:hideMark/>
          </w:tcPr>
          <w:p w:rsidR="00803D70" w:rsidRPr="00803D70" w:rsidRDefault="00803D70" w:rsidP="00803D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8.6%</w:t>
            </w:r>
          </w:p>
        </w:tc>
      </w:tr>
      <w:tr w:rsidR="00803D70" w:rsidRPr="00803D70" w:rsidTr="00697B1A">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rsidR="00803D70" w:rsidRPr="00803D70" w:rsidRDefault="00803D70" w:rsidP="00803D70">
            <w:pPr>
              <w:rPr>
                <w:rFonts w:ascii="Calibri" w:eastAsia="Times New Roman" w:hAnsi="Calibri" w:cs="Calibri"/>
                <w:color w:val="000000"/>
                <w:lang w:eastAsia="en-GB"/>
              </w:rPr>
            </w:pPr>
            <w:r w:rsidRPr="00803D70">
              <w:rPr>
                <w:rFonts w:ascii="Calibri" w:eastAsia="Times New Roman" w:hAnsi="Calibri" w:cs="Calibri"/>
                <w:color w:val="000000"/>
                <w:lang w:eastAsia="en-GB"/>
              </w:rPr>
              <w:t>Other ph</w:t>
            </w:r>
            <w:r w:rsidR="00697B1A">
              <w:rPr>
                <w:rFonts w:ascii="Calibri" w:eastAsia="Times New Roman" w:hAnsi="Calibri" w:cs="Calibri"/>
                <w:color w:val="000000"/>
                <w:lang w:eastAsia="en-GB"/>
              </w:rPr>
              <w:t>y</w:t>
            </w:r>
            <w:r w:rsidRPr="00803D70">
              <w:rPr>
                <w:rFonts w:ascii="Calibri" w:eastAsia="Times New Roman" w:hAnsi="Calibri" w:cs="Calibri"/>
                <w:color w:val="000000"/>
                <w:lang w:eastAsia="en-GB"/>
              </w:rPr>
              <w:t xml:space="preserve">sical or mobility difficulties </w:t>
            </w:r>
          </w:p>
        </w:tc>
        <w:tc>
          <w:tcPr>
            <w:tcW w:w="2480" w:type="dxa"/>
            <w:noWrap/>
            <w:hideMark/>
          </w:tcPr>
          <w:p w:rsidR="00803D70" w:rsidRPr="00803D70" w:rsidRDefault="00803D70" w:rsidP="00803D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5,553</w:t>
            </w:r>
          </w:p>
        </w:tc>
        <w:tc>
          <w:tcPr>
            <w:tcW w:w="2481" w:type="dxa"/>
            <w:noWrap/>
            <w:hideMark/>
          </w:tcPr>
          <w:p w:rsidR="00803D70" w:rsidRPr="00803D70" w:rsidRDefault="00803D70" w:rsidP="00803D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6.6%</w:t>
            </w:r>
          </w:p>
        </w:tc>
      </w:tr>
      <w:tr w:rsidR="00803D70" w:rsidRPr="00803D70" w:rsidTr="00697B1A">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rsidR="00803D70" w:rsidRPr="00803D70" w:rsidRDefault="00803D70" w:rsidP="00803D70">
            <w:pPr>
              <w:rPr>
                <w:rFonts w:ascii="Calibri" w:eastAsia="Times New Roman" w:hAnsi="Calibri" w:cs="Calibri"/>
                <w:color w:val="000000"/>
                <w:lang w:eastAsia="en-GB"/>
              </w:rPr>
            </w:pPr>
            <w:r w:rsidRPr="00803D70">
              <w:rPr>
                <w:rFonts w:ascii="Calibri" w:eastAsia="Times New Roman" w:hAnsi="Calibri" w:cs="Calibri"/>
                <w:color w:val="000000"/>
                <w:lang w:eastAsia="en-GB"/>
              </w:rPr>
              <w:t>Visual difficulties</w:t>
            </w:r>
          </w:p>
        </w:tc>
        <w:tc>
          <w:tcPr>
            <w:tcW w:w="2480" w:type="dxa"/>
            <w:noWrap/>
            <w:hideMark/>
          </w:tcPr>
          <w:p w:rsidR="00803D70" w:rsidRPr="00803D70" w:rsidRDefault="00803D70" w:rsidP="00803D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359</w:t>
            </w:r>
          </w:p>
        </w:tc>
        <w:tc>
          <w:tcPr>
            <w:tcW w:w="2481" w:type="dxa"/>
            <w:noWrap/>
            <w:hideMark/>
          </w:tcPr>
          <w:p w:rsidR="00803D70" w:rsidRPr="00803D70" w:rsidRDefault="00803D70" w:rsidP="00803D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0.4%</w:t>
            </w:r>
          </w:p>
        </w:tc>
      </w:tr>
      <w:tr w:rsidR="00803D70" w:rsidRPr="00803D70" w:rsidTr="00697B1A">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rsidR="00803D70" w:rsidRPr="00803D70" w:rsidRDefault="00803D70" w:rsidP="00803D70">
            <w:pPr>
              <w:rPr>
                <w:rFonts w:ascii="Calibri" w:eastAsia="Times New Roman" w:hAnsi="Calibri" w:cs="Calibri"/>
                <w:color w:val="000000"/>
                <w:lang w:eastAsia="en-GB"/>
              </w:rPr>
            </w:pPr>
            <w:r w:rsidRPr="00803D70">
              <w:rPr>
                <w:rFonts w:ascii="Calibri" w:eastAsia="Times New Roman" w:hAnsi="Calibri" w:cs="Calibri"/>
                <w:color w:val="000000"/>
                <w:lang w:eastAsia="en-GB"/>
              </w:rPr>
              <w:t xml:space="preserve">Hearing difficulties </w:t>
            </w:r>
          </w:p>
        </w:tc>
        <w:tc>
          <w:tcPr>
            <w:tcW w:w="2480" w:type="dxa"/>
            <w:noWrap/>
            <w:hideMark/>
          </w:tcPr>
          <w:p w:rsidR="00803D70" w:rsidRPr="00803D70" w:rsidRDefault="00803D70" w:rsidP="00803D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626</w:t>
            </w:r>
          </w:p>
        </w:tc>
        <w:tc>
          <w:tcPr>
            <w:tcW w:w="2481" w:type="dxa"/>
            <w:noWrap/>
            <w:hideMark/>
          </w:tcPr>
          <w:p w:rsidR="00803D70" w:rsidRPr="00803D70" w:rsidRDefault="00803D70" w:rsidP="00803D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0.7%</w:t>
            </w:r>
          </w:p>
        </w:tc>
      </w:tr>
      <w:tr w:rsidR="00803D70" w:rsidRPr="00803D70" w:rsidTr="00697B1A">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rsidR="00803D70" w:rsidRPr="00803D70" w:rsidRDefault="00803D70" w:rsidP="00803D70">
            <w:pPr>
              <w:rPr>
                <w:rFonts w:ascii="Calibri" w:eastAsia="Times New Roman" w:hAnsi="Calibri" w:cs="Calibri"/>
                <w:color w:val="000000"/>
                <w:lang w:eastAsia="en-GB"/>
              </w:rPr>
            </w:pPr>
            <w:r w:rsidRPr="00803D70">
              <w:rPr>
                <w:rFonts w:ascii="Calibri" w:eastAsia="Times New Roman" w:hAnsi="Calibri" w:cs="Calibri"/>
                <w:color w:val="000000"/>
                <w:lang w:eastAsia="en-GB"/>
              </w:rPr>
              <w:t xml:space="preserve">Other types of adaption </w:t>
            </w:r>
          </w:p>
        </w:tc>
        <w:tc>
          <w:tcPr>
            <w:tcW w:w="2480" w:type="dxa"/>
            <w:noWrap/>
            <w:hideMark/>
          </w:tcPr>
          <w:p w:rsidR="00803D70" w:rsidRPr="00803D70" w:rsidRDefault="00803D70" w:rsidP="00803D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161</w:t>
            </w:r>
          </w:p>
        </w:tc>
        <w:tc>
          <w:tcPr>
            <w:tcW w:w="2481" w:type="dxa"/>
            <w:noWrap/>
            <w:hideMark/>
          </w:tcPr>
          <w:p w:rsidR="00803D70" w:rsidRPr="00803D70" w:rsidRDefault="00803D70" w:rsidP="00803D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D70">
              <w:rPr>
                <w:rFonts w:ascii="Calibri" w:eastAsia="Times New Roman" w:hAnsi="Calibri" w:cs="Calibri"/>
                <w:color w:val="000000"/>
                <w:lang w:eastAsia="en-GB"/>
              </w:rPr>
              <w:t>0.2%</w:t>
            </w:r>
          </w:p>
        </w:tc>
      </w:tr>
    </w:tbl>
    <w:p w:rsidR="00803D70" w:rsidRDefault="00697B1A">
      <w:r>
        <w:rPr>
          <w:i/>
          <w:sz w:val="20"/>
          <w:szCs w:val="20"/>
        </w:rPr>
        <w:t>Table</w:t>
      </w:r>
      <w:r w:rsidRPr="00E4631D">
        <w:rPr>
          <w:i/>
          <w:sz w:val="20"/>
          <w:szCs w:val="20"/>
        </w:rPr>
        <w:t xml:space="preserve"> </w:t>
      </w:r>
      <w:r w:rsidR="00606BEC">
        <w:rPr>
          <w:i/>
          <w:sz w:val="20"/>
          <w:szCs w:val="20"/>
        </w:rPr>
        <w:t>4</w:t>
      </w:r>
      <w:r w:rsidRPr="00E4631D">
        <w:rPr>
          <w:i/>
          <w:sz w:val="20"/>
          <w:szCs w:val="20"/>
        </w:rPr>
        <w:t xml:space="preserve">: </w:t>
      </w:r>
      <w:r>
        <w:rPr>
          <w:i/>
          <w:sz w:val="20"/>
          <w:szCs w:val="20"/>
        </w:rPr>
        <w:t xml:space="preserve">Occupied households by type of adaptions in </w:t>
      </w:r>
      <w:r w:rsidRPr="00E4631D">
        <w:rPr>
          <w:i/>
          <w:sz w:val="20"/>
          <w:szCs w:val="20"/>
        </w:rPr>
        <w:t>Armagh City, Banbridge and Craigavon</w:t>
      </w:r>
      <w:r>
        <w:rPr>
          <w:i/>
          <w:sz w:val="20"/>
          <w:szCs w:val="20"/>
        </w:rPr>
        <w:t>,</w:t>
      </w:r>
      <w:r w:rsidRPr="00E4631D">
        <w:rPr>
          <w:i/>
          <w:sz w:val="20"/>
          <w:szCs w:val="20"/>
        </w:rPr>
        <w:t xml:space="preserve"> </w:t>
      </w:r>
      <w:r>
        <w:rPr>
          <w:i/>
          <w:sz w:val="20"/>
          <w:szCs w:val="20"/>
        </w:rPr>
        <w:t>2021</w:t>
      </w:r>
      <w:r w:rsidRPr="00E4631D">
        <w:rPr>
          <w:i/>
          <w:sz w:val="20"/>
          <w:szCs w:val="20"/>
        </w:rPr>
        <w:t xml:space="preserve">.  Source: </w:t>
      </w:r>
      <w:r>
        <w:rPr>
          <w:i/>
          <w:sz w:val="20"/>
          <w:szCs w:val="20"/>
        </w:rPr>
        <w:t>Table MS-E09,</w:t>
      </w:r>
      <w:r w:rsidRPr="00E4631D">
        <w:rPr>
          <w:i/>
          <w:sz w:val="20"/>
          <w:szCs w:val="20"/>
        </w:rPr>
        <w:t xml:space="preserve"> 2021.</w:t>
      </w:r>
    </w:p>
    <w:p w:rsidR="00DA3A98" w:rsidRDefault="00DA3A98">
      <w:pPr>
        <w:rPr>
          <w:b/>
          <w:sz w:val="20"/>
          <w:szCs w:val="20"/>
        </w:rPr>
      </w:pPr>
    </w:p>
    <w:p w:rsidR="00606BEC" w:rsidRDefault="00606BEC">
      <w:pPr>
        <w:rPr>
          <w:b/>
        </w:rPr>
      </w:pPr>
    </w:p>
    <w:p w:rsidR="00567B5B" w:rsidRDefault="00567B5B">
      <w:pPr>
        <w:rPr>
          <w:b/>
        </w:rPr>
      </w:pPr>
    </w:p>
    <w:p w:rsidR="00567B5B" w:rsidRDefault="00567B5B">
      <w:pPr>
        <w:rPr>
          <w:b/>
        </w:rPr>
      </w:pPr>
    </w:p>
    <w:p w:rsidR="00606BEC" w:rsidRDefault="00606BEC">
      <w:pPr>
        <w:rPr>
          <w:b/>
        </w:rPr>
      </w:pPr>
    </w:p>
    <w:p w:rsidR="00606BEC" w:rsidRDefault="00606BEC">
      <w:pPr>
        <w:rPr>
          <w:b/>
        </w:rPr>
      </w:pPr>
    </w:p>
    <w:p w:rsidR="00606BEC" w:rsidRDefault="00606BEC">
      <w:pPr>
        <w:rPr>
          <w:b/>
        </w:rPr>
      </w:pPr>
      <w:r w:rsidRPr="00606BEC">
        <w:rPr>
          <w:b/>
        </w:rPr>
        <w:lastRenderedPageBreak/>
        <w:t>Central Heating (Household based)</w:t>
      </w:r>
    </w:p>
    <w:p w:rsidR="00606BEC" w:rsidRDefault="00606BEC">
      <w:r w:rsidRPr="00606BEC">
        <w:t>The Census 2021</w:t>
      </w:r>
      <w:r>
        <w:t xml:space="preserve"> central heating (household based) statistics classify the exact nature of central heating that a household has.  This is presented in Table 5.</w:t>
      </w:r>
    </w:p>
    <w:tbl>
      <w:tblPr>
        <w:tblStyle w:val="GridTable1Light"/>
        <w:tblW w:w="8642" w:type="dxa"/>
        <w:tblLayout w:type="fixed"/>
        <w:tblLook w:val="04A0" w:firstRow="1" w:lastRow="0" w:firstColumn="1" w:lastColumn="0" w:noHBand="0" w:noVBand="1"/>
      </w:tblPr>
      <w:tblGrid>
        <w:gridCol w:w="4673"/>
        <w:gridCol w:w="1984"/>
        <w:gridCol w:w="1985"/>
      </w:tblGrid>
      <w:tr w:rsidR="00606BEC" w:rsidRPr="00606BEC" w:rsidTr="00606BE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73" w:type="dxa"/>
            <w:noWrap/>
            <w:hideMark/>
          </w:tcPr>
          <w:p w:rsidR="00606BEC" w:rsidRPr="00606BEC" w:rsidRDefault="00606BEC" w:rsidP="00606BEC">
            <w:pPr>
              <w:rPr>
                <w:rFonts w:ascii="Calibri" w:eastAsia="Times New Roman" w:hAnsi="Calibri" w:cs="Calibri"/>
                <w:color w:val="000000"/>
                <w:lang w:eastAsia="en-GB"/>
              </w:rPr>
            </w:pPr>
            <w:r w:rsidRPr="00606BEC">
              <w:rPr>
                <w:rFonts w:ascii="Calibri" w:eastAsia="Times New Roman" w:hAnsi="Calibri" w:cs="Calibri"/>
                <w:color w:val="000000"/>
                <w:lang w:eastAsia="en-GB"/>
              </w:rPr>
              <w:t> </w:t>
            </w:r>
          </w:p>
        </w:tc>
        <w:tc>
          <w:tcPr>
            <w:tcW w:w="1984" w:type="dxa"/>
            <w:noWrap/>
            <w:hideMark/>
          </w:tcPr>
          <w:p w:rsidR="00606BEC" w:rsidRPr="00606BEC" w:rsidRDefault="00606BEC" w:rsidP="00606B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Occupied Households</w:t>
            </w:r>
          </w:p>
        </w:tc>
        <w:tc>
          <w:tcPr>
            <w:tcW w:w="1985" w:type="dxa"/>
            <w:noWrap/>
            <w:hideMark/>
          </w:tcPr>
          <w:p w:rsidR="00606BEC" w:rsidRPr="00606BEC" w:rsidRDefault="00606BEC" w:rsidP="00606B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 xml:space="preserve">Percentage </w:t>
            </w:r>
          </w:p>
        </w:tc>
      </w:tr>
      <w:tr w:rsidR="00606BEC" w:rsidRPr="00606BEC" w:rsidTr="00606BEC">
        <w:trPr>
          <w:trHeight w:val="286"/>
        </w:trPr>
        <w:tc>
          <w:tcPr>
            <w:cnfStyle w:val="001000000000" w:firstRow="0" w:lastRow="0" w:firstColumn="1" w:lastColumn="0" w:oddVBand="0" w:evenVBand="0" w:oddHBand="0" w:evenHBand="0" w:firstRowFirstColumn="0" w:firstRowLastColumn="0" w:lastRowFirstColumn="0" w:lastRowLastColumn="0"/>
            <w:tcW w:w="4673" w:type="dxa"/>
            <w:hideMark/>
          </w:tcPr>
          <w:p w:rsidR="00606BEC" w:rsidRPr="00606BEC" w:rsidRDefault="00606BEC" w:rsidP="00606BEC">
            <w:pPr>
              <w:jc w:val="right"/>
              <w:rPr>
                <w:rFonts w:ascii="Calibri" w:eastAsia="Times New Roman" w:hAnsi="Calibri" w:cs="Calibri"/>
                <w:color w:val="000000"/>
                <w:lang w:eastAsia="en-GB"/>
              </w:rPr>
            </w:pPr>
            <w:r w:rsidRPr="00606BEC">
              <w:rPr>
                <w:rFonts w:ascii="Calibri" w:eastAsia="Times New Roman" w:hAnsi="Calibri" w:cs="Calibri"/>
                <w:color w:val="000000"/>
                <w:lang w:eastAsia="en-GB"/>
              </w:rPr>
              <w:t>Oil only</w:t>
            </w:r>
          </w:p>
        </w:tc>
        <w:tc>
          <w:tcPr>
            <w:tcW w:w="1984"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55,166</w:t>
            </w:r>
          </w:p>
        </w:tc>
        <w:tc>
          <w:tcPr>
            <w:tcW w:w="1985"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65.2%</w:t>
            </w:r>
          </w:p>
        </w:tc>
      </w:tr>
      <w:tr w:rsidR="00606BEC" w:rsidRPr="00606BEC" w:rsidTr="00606BEC">
        <w:trPr>
          <w:trHeight w:val="286"/>
        </w:trPr>
        <w:tc>
          <w:tcPr>
            <w:cnfStyle w:val="001000000000" w:firstRow="0" w:lastRow="0" w:firstColumn="1" w:lastColumn="0" w:oddVBand="0" w:evenVBand="0" w:oddHBand="0" w:evenHBand="0" w:firstRowFirstColumn="0" w:firstRowLastColumn="0" w:lastRowFirstColumn="0" w:lastRowLastColumn="0"/>
            <w:tcW w:w="4673" w:type="dxa"/>
            <w:hideMark/>
          </w:tcPr>
          <w:p w:rsidR="00606BEC" w:rsidRPr="00606BEC" w:rsidRDefault="00606BEC" w:rsidP="00606BEC">
            <w:pPr>
              <w:jc w:val="right"/>
              <w:rPr>
                <w:rFonts w:ascii="Calibri" w:eastAsia="Times New Roman" w:hAnsi="Calibri" w:cs="Calibri"/>
                <w:color w:val="000000"/>
                <w:lang w:eastAsia="en-GB"/>
              </w:rPr>
            </w:pPr>
            <w:r w:rsidRPr="00606BEC">
              <w:rPr>
                <w:rFonts w:ascii="Calibri" w:eastAsia="Times New Roman" w:hAnsi="Calibri" w:cs="Calibri"/>
                <w:color w:val="000000"/>
                <w:lang w:eastAsia="en-GB"/>
              </w:rPr>
              <w:t>Mains gas only</w:t>
            </w:r>
          </w:p>
        </w:tc>
        <w:tc>
          <w:tcPr>
            <w:tcW w:w="1984"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12,253</w:t>
            </w:r>
          </w:p>
        </w:tc>
        <w:tc>
          <w:tcPr>
            <w:tcW w:w="1985"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14.5%</w:t>
            </w:r>
          </w:p>
        </w:tc>
      </w:tr>
      <w:tr w:rsidR="00606BEC" w:rsidRPr="00606BEC" w:rsidTr="00606BEC">
        <w:trPr>
          <w:trHeight w:val="286"/>
        </w:trPr>
        <w:tc>
          <w:tcPr>
            <w:cnfStyle w:val="001000000000" w:firstRow="0" w:lastRow="0" w:firstColumn="1" w:lastColumn="0" w:oddVBand="0" w:evenVBand="0" w:oddHBand="0" w:evenHBand="0" w:firstRowFirstColumn="0" w:firstRowLastColumn="0" w:lastRowFirstColumn="0" w:lastRowLastColumn="0"/>
            <w:tcW w:w="4673" w:type="dxa"/>
            <w:hideMark/>
          </w:tcPr>
          <w:p w:rsidR="00606BEC" w:rsidRPr="00606BEC" w:rsidRDefault="00606BEC" w:rsidP="00606BEC">
            <w:pPr>
              <w:jc w:val="right"/>
              <w:rPr>
                <w:rFonts w:ascii="Calibri" w:eastAsia="Times New Roman" w:hAnsi="Calibri" w:cs="Calibri"/>
                <w:color w:val="000000"/>
                <w:lang w:eastAsia="en-GB"/>
              </w:rPr>
            </w:pPr>
            <w:r w:rsidRPr="00606BEC">
              <w:rPr>
                <w:rFonts w:ascii="Calibri" w:eastAsia="Times New Roman" w:hAnsi="Calibri" w:cs="Calibri"/>
                <w:color w:val="000000"/>
                <w:lang w:eastAsia="en-GB"/>
              </w:rPr>
              <w:t>Electric (for example storage heaters) only</w:t>
            </w:r>
          </w:p>
        </w:tc>
        <w:tc>
          <w:tcPr>
            <w:tcW w:w="1984"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1,048</w:t>
            </w:r>
          </w:p>
        </w:tc>
        <w:tc>
          <w:tcPr>
            <w:tcW w:w="1985"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1.2%</w:t>
            </w:r>
          </w:p>
        </w:tc>
      </w:tr>
      <w:tr w:rsidR="00606BEC" w:rsidRPr="00606BEC" w:rsidTr="00606BEC">
        <w:trPr>
          <w:trHeight w:val="286"/>
        </w:trPr>
        <w:tc>
          <w:tcPr>
            <w:cnfStyle w:val="001000000000" w:firstRow="0" w:lastRow="0" w:firstColumn="1" w:lastColumn="0" w:oddVBand="0" w:evenVBand="0" w:oddHBand="0" w:evenHBand="0" w:firstRowFirstColumn="0" w:firstRowLastColumn="0" w:lastRowFirstColumn="0" w:lastRowLastColumn="0"/>
            <w:tcW w:w="4673" w:type="dxa"/>
            <w:hideMark/>
          </w:tcPr>
          <w:p w:rsidR="00606BEC" w:rsidRPr="00606BEC" w:rsidRDefault="00606BEC" w:rsidP="00606BEC">
            <w:pPr>
              <w:jc w:val="right"/>
              <w:rPr>
                <w:rFonts w:ascii="Calibri" w:eastAsia="Times New Roman" w:hAnsi="Calibri" w:cs="Calibri"/>
                <w:color w:val="000000"/>
                <w:lang w:eastAsia="en-GB"/>
              </w:rPr>
            </w:pPr>
            <w:r w:rsidRPr="00606BEC">
              <w:rPr>
                <w:rFonts w:ascii="Calibri" w:eastAsia="Times New Roman" w:hAnsi="Calibri" w:cs="Calibri"/>
                <w:color w:val="000000"/>
                <w:lang w:eastAsia="en-GB"/>
              </w:rPr>
              <w:t>Tank or bottled gas only</w:t>
            </w:r>
          </w:p>
        </w:tc>
        <w:tc>
          <w:tcPr>
            <w:tcW w:w="1984"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471</w:t>
            </w:r>
          </w:p>
        </w:tc>
        <w:tc>
          <w:tcPr>
            <w:tcW w:w="1985"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0.6%</w:t>
            </w:r>
          </w:p>
        </w:tc>
      </w:tr>
      <w:tr w:rsidR="00606BEC" w:rsidRPr="00606BEC" w:rsidTr="00606BEC">
        <w:trPr>
          <w:trHeight w:val="286"/>
        </w:trPr>
        <w:tc>
          <w:tcPr>
            <w:cnfStyle w:val="001000000000" w:firstRow="0" w:lastRow="0" w:firstColumn="1" w:lastColumn="0" w:oddVBand="0" w:evenVBand="0" w:oddHBand="0" w:evenHBand="0" w:firstRowFirstColumn="0" w:firstRowLastColumn="0" w:lastRowFirstColumn="0" w:lastRowLastColumn="0"/>
            <w:tcW w:w="4673" w:type="dxa"/>
            <w:hideMark/>
          </w:tcPr>
          <w:p w:rsidR="00606BEC" w:rsidRPr="00606BEC" w:rsidRDefault="00606BEC" w:rsidP="00606BEC">
            <w:pPr>
              <w:jc w:val="right"/>
              <w:rPr>
                <w:rFonts w:ascii="Calibri" w:eastAsia="Times New Roman" w:hAnsi="Calibri" w:cs="Calibri"/>
                <w:color w:val="000000"/>
                <w:lang w:eastAsia="en-GB"/>
              </w:rPr>
            </w:pPr>
            <w:r w:rsidRPr="00606BEC">
              <w:rPr>
                <w:rFonts w:ascii="Calibri" w:eastAsia="Times New Roman" w:hAnsi="Calibri" w:cs="Calibri"/>
                <w:color w:val="000000"/>
                <w:lang w:eastAsia="en-GB"/>
              </w:rPr>
              <w:t>Solid fuel (for example coal) only</w:t>
            </w:r>
          </w:p>
        </w:tc>
        <w:tc>
          <w:tcPr>
            <w:tcW w:w="1984"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537</w:t>
            </w:r>
          </w:p>
        </w:tc>
        <w:tc>
          <w:tcPr>
            <w:tcW w:w="1985"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0.6%</w:t>
            </w:r>
          </w:p>
        </w:tc>
      </w:tr>
      <w:tr w:rsidR="00606BEC" w:rsidRPr="00606BEC" w:rsidTr="00606BEC">
        <w:trPr>
          <w:trHeight w:val="286"/>
        </w:trPr>
        <w:tc>
          <w:tcPr>
            <w:cnfStyle w:val="001000000000" w:firstRow="0" w:lastRow="0" w:firstColumn="1" w:lastColumn="0" w:oddVBand="0" w:evenVBand="0" w:oddHBand="0" w:evenHBand="0" w:firstRowFirstColumn="0" w:firstRowLastColumn="0" w:lastRowFirstColumn="0" w:lastRowLastColumn="0"/>
            <w:tcW w:w="4673" w:type="dxa"/>
            <w:hideMark/>
          </w:tcPr>
          <w:p w:rsidR="00606BEC" w:rsidRPr="00606BEC" w:rsidRDefault="00606BEC" w:rsidP="00606BEC">
            <w:pPr>
              <w:jc w:val="right"/>
              <w:rPr>
                <w:rFonts w:ascii="Calibri" w:eastAsia="Times New Roman" w:hAnsi="Calibri" w:cs="Calibri"/>
                <w:color w:val="000000"/>
                <w:lang w:eastAsia="en-GB"/>
              </w:rPr>
            </w:pPr>
            <w:r w:rsidRPr="00606BEC">
              <w:rPr>
                <w:rFonts w:ascii="Calibri" w:eastAsia="Times New Roman" w:hAnsi="Calibri" w:cs="Calibri"/>
                <w:color w:val="000000"/>
                <w:lang w:eastAsia="en-GB"/>
              </w:rPr>
              <w:t>Renewable heating system only</w:t>
            </w:r>
          </w:p>
        </w:tc>
        <w:tc>
          <w:tcPr>
            <w:tcW w:w="1984"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384</w:t>
            </w:r>
          </w:p>
        </w:tc>
        <w:tc>
          <w:tcPr>
            <w:tcW w:w="1985"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0.5%</w:t>
            </w:r>
          </w:p>
        </w:tc>
      </w:tr>
      <w:tr w:rsidR="00606BEC" w:rsidRPr="00606BEC" w:rsidTr="00606BEC">
        <w:trPr>
          <w:trHeight w:val="286"/>
        </w:trPr>
        <w:tc>
          <w:tcPr>
            <w:cnfStyle w:val="001000000000" w:firstRow="0" w:lastRow="0" w:firstColumn="1" w:lastColumn="0" w:oddVBand="0" w:evenVBand="0" w:oddHBand="0" w:evenHBand="0" w:firstRowFirstColumn="0" w:firstRowLastColumn="0" w:lastRowFirstColumn="0" w:lastRowLastColumn="0"/>
            <w:tcW w:w="4673" w:type="dxa"/>
            <w:hideMark/>
          </w:tcPr>
          <w:p w:rsidR="00606BEC" w:rsidRPr="00606BEC" w:rsidRDefault="00606BEC" w:rsidP="00606BEC">
            <w:pPr>
              <w:jc w:val="right"/>
              <w:rPr>
                <w:rFonts w:ascii="Calibri" w:eastAsia="Times New Roman" w:hAnsi="Calibri" w:cs="Calibri"/>
                <w:color w:val="000000"/>
                <w:lang w:eastAsia="en-GB"/>
              </w:rPr>
            </w:pPr>
            <w:r w:rsidRPr="00606BEC">
              <w:rPr>
                <w:rFonts w:ascii="Calibri" w:eastAsia="Times New Roman" w:hAnsi="Calibri" w:cs="Calibri"/>
                <w:color w:val="000000"/>
                <w:lang w:eastAsia="en-GB"/>
              </w:rPr>
              <w:t>Wood (for example logs or waste wood) only</w:t>
            </w:r>
          </w:p>
        </w:tc>
        <w:tc>
          <w:tcPr>
            <w:tcW w:w="1984"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100</w:t>
            </w:r>
          </w:p>
        </w:tc>
        <w:tc>
          <w:tcPr>
            <w:tcW w:w="1985"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0.1%</w:t>
            </w:r>
          </w:p>
        </w:tc>
      </w:tr>
      <w:tr w:rsidR="00606BEC" w:rsidRPr="00606BEC" w:rsidTr="00606BEC">
        <w:trPr>
          <w:trHeight w:val="286"/>
        </w:trPr>
        <w:tc>
          <w:tcPr>
            <w:cnfStyle w:val="001000000000" w:firstRow="0" w:lastRow="0" w:firstColumn="1" w:lastColumn="0" w:oddVBand="0" w:evenVBand="0" w:oddHBand="0" w:evenHBand="0" w:firstRowFirstColumn="0" w:firstRowLastColumn="0" w:lastRowFirstColumn="0" w:lastRowLastColumn="0"/>
            <w:tcW w:w="4673" w:type="dxa"/>
            <w:hideMark/>
          </w:tcPr>
          <w:p w:rsidR="00606BEC" w:rsidRPr="00606BEC" w:rsidRDefault="00606BEC" w:rsidP="00606BEC">
            <w:pPr>
              <w:jc w:val="right"/>
              <w:rPr>
                <w:rFonts w:ascii="Calibri" w:eastAsia="Times New Roman" w:hAnsi="Calibri" w:cs="Calibri"/>
                <w:color w:val="000000"/>
                <w:lang w:eastAsia="en-GB"/>
              </w:rPr>
            </w:pPr>
            <w:r w:rsidRPr="00606BEC">
              <w:rPr>
                <w:rFonts w:ascii="Calibri" w:eastAsia="Times New Roman" w:hAnsi="Calibri" w:cs="Calibri"/>
                <w:color w:val="000000"/>
                <w:lang w:eastAsia="en-GB"/>
              </w:rPr>
              <w:t>Other central heating only</w:t>
            </w:r>
          </w:p>
        </w:tc>
        <w:tc>
          <w:tcPr>
            <w:tcW w:w="1984"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184</w:t>
            </w:r>
          </w:p>
        </w:tc>
        <w:tc>
          <w:tcPr>
            <w:tcW w:w="1985"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0.2%</w:t>
            </w:r>
          </w:p>
        </w:tc>
      </w:tr>
      <w:tr w:rsidR="00606BEC" w:rsidRPr="00606BEC" w:rsidTr="00606BEC">
        <w:trPr>
          <w:trHeight w:val="286"/>
        </w:trPr>
        <w:tc>
          <w:tcPr>
            <w:cnfStyle w:val="001000000000" w:firstRow="0" w:lastRow="0" w:firstColumn="1" w:lastColumn="0" w:oddVBand="0" w:evenVBand="0" w:oddHBand="0" w:evenHBand="0" w:firstRowFirstColumn="0" w:firstRowLastColumn="0" w:lastRowFirstColumn="0" w:lastRowLastColumn="0"/>
            <w:tcW w:w="4673" w:type="dxa"/>
            <w:hideMark/>
          </w:tcPr>
          <w:p w:rsidR="00606BEC" w:rsidRPr="00606BEC" w:rsidRDefault="00606BEC" w:rsidP="00606BEC">
            <w:pPr>
              <w:jc w:val="right"/>
              <w:rPr>
                <w:rFonts w:ascii="Calibri" w:eastAsia="Times New Roman" w:hAnsi="Calibri" w:cs="Calibri"/>
                <w:color w:val="000000"/>
                <w:lang w:eastAsia="en-GB"/>
              </w:rPr>
            </w:pPr>
            <w:r w:rsidRPr="00606BEC">
              <w:rPr>
                <w:rFonts w:ascii="Calibri" w:eastAsia="Times New Roman" w:hAnsi="Calibri" w:cs="Calibri"/>
                <w:color w:val="000000"/>
                <w:lang w:eastAsia="en-GB"/>
              </w:rPr>
              <w:t>Two or more types of central heating</w:t>
            </w:r>
          </w:p>
        </w:tc>
        <w:tc>
          <w:tcPr>
            <w:tcW w:w="1984"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14,262</w:t>
            </w:r>
          </w:p>
        </w:tc>
        <w:tc>
          <w:tcPr>
            <w:tcW w:w="1985"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16.9%</w:t>
            </w:r>
          </w:p>
        </w:tc>
      </w:tr>
      <w:tr w:rsidR="00606BEC" w:rsidRPr="00606BEC" w:rsidTr="00606BEC">
        <w:trPr>
          <w:trHeight w:val="286"/>
        </w:trPr>
        <w:tc>
          <w:tcPr>
            <w:cnfStyle w:val="001000000000" w:firstRow="0" w:lastRow="0" w:firstColumn="1" w:lastColumn="0" w:oddVBand="0" w:evenVBand="0" w:oddHBand="0" w:evenHBand="0" w:firstRowFirstColumn="0" w:firstRowLastColumn="0" w:lastRowFirstColumn="0" w:lastRowLastColumn="0"/>
            <w:tcW w:w="4673" w:type="dxa"/>
            <w:hideMark/>
          </w:tcPr>
          <w:p w:rsidR="00606BEC" w:rsidRPr="00606BEC" w:rsidRDefault="00606BEC" w:rsidP="00606BEC">
            <w:pPr>
              <w:jc w:val="right"/>
              <w:rPr>
                <w:rFonts w:ascii="Calibri" w:eastAsia="Times New Roman" w:hAnsi="Calibri" w:cs="Calibri"/>
                <w:color w:val="000000"/>
                <w:lang w:eastAsia="en-GB"/>
              </w:rPr>
            </w:pPr>
            <w:r w:rsidRPr="00606BEC">
              <w:rPr>
                <w:rFonts w:ascii="Calibri" w:eastAsia="Times New Roman" w:hAnsi="Calibri" w:cs="Calibri"/>
                <w:color w:val="000000"/>
                <w:lang w:eastAsia="en-GB"/>
              </w:rPr>
              <w:t>No central heating</w:t>
            </w:r>
          </w:p>
        </w:tc>
        <w:tc>
          <w:tcPr>
            <w:tcW w:w="1984"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235</w:t>
            </w:r>
          </w:p>
        </w:tc>
        <w:tc>
          <w:tcPr>
            <w:tcW w:w="1985"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06BEC">
              <w:rPr>
                <w:rFonts w:ascii="Calibri" w:eastAsia="Times New Roman" w:hAnsi="Calibri" w:cs="Calibri"/>
                <w:color w:val="000000"/>
                <w:lang w:eastAsia="en-GB"/>
              </w:rPr>
              <w:t>0.3%</w:t>
            </w:r>
          </w:p>
        </w:tc>
      </w:tr>
      <w:tr w:rsidR="00606BEC" w:rsidRPr="00606BEC" w:rsidTr="00606BEC">
        <w:trPr>
          <w:trHeight w:val="286"/>
        </w:trPr>
        <w:tc>
          <w:tcPr>
            <w:cnfStyle w:val="001000000000" w:firstRow="0" w:lastRow="0" w:firstColumn="1" w:lastColumn="0" w:oddVBand="0" w:evenVBand="0" w:oddHBand="0" w:evenHBand="0" w:firstRowFirstColumn="0" w:firstRowLastColumn="0" w:lastRowFirstColumn="0" w:lastRowLastColumn="0"/>
            <w:tcW w:w="4673" w:type="dxa"/>
            <w:hideMark/>
          </w:tcPr>
          <w:p w:rsidR="00606BEC" w:rsidRPr="00606BEC" w:rsidRDefault="00606BEC" w:rsidP="00606BEC">
            <w:pPr>
              <w:jc w:val="right"/>
              <w:rPr>
                <w:rFonts w:ascii="Calibri" w:eastAsia="Times New Roman" w:hAnsi="Calibri" w:cs="Calibri"/>
                <w:color w:val="000000"/>
                <w:lang w:eastAsia="en-GB"/>
              </w:rPr>
            </w:pPr>
            <w:r w:rsidRPr="00606BEC">
              <w:rPr>
                <w:rFonts w:ascii="Calibri" w:eastAsia="Times New Roman" w:hAnsi="Calibri" w:cs="Calibri"/>
                <w:color w:val="000000"/>
                <w:lang w:eastAsia="en-GB"/>
              </w:rPr>
              <w:t>Total</w:t>
            </w:r>
          </w:p>
        </w:tc>
        <w:tc>
          <w:tcPr>
            <w:tcW w:w="1984"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606BEC">
              <w:rPr>
                <w:rFonts w:ascii="Calibri" w:eastAsia="Times New Roman" w:hAnsi="Calibri" w:cs="Calibri"/>
                <w:b/>
                <w:color w:val="000000"/>
                <w:lang w:eastAsia="en-GB"/>
              </w:rPr>
              <w:t>84,640</w:t>
            </w:r>
          </w:p>
        </w:tc>
        <w:tc>
          <w:tcPr>
            <w:tcW w:w="1985" w:type="dxa"/>
            <w:noWrap/>
            <w:hideMark/>
          </w:tcPr>
          <w:p w:rsidR="00606BEC" w:rsidRPr="00606BEC" w:rsidRDefault="00606BEC" w:rsidP="00606B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606BEC">
              <w:rPr>
                <w:rFonts w:ascii="Calibri" w:eastAsia="Times New Roman" w:hAnsi="Calibri" w:cs="Calibri"/>
                <w:b/>
                <w:color w:val="000000"/>
                <w:lang w:eastAsia="en-GB"/>
              </w:rPr>
              <w:t>100.0%</w:t>
            </w:r>
          </w:p>
        </w:tc>
      </w:tr>
    </w:tbl>
    <w:p w:rsidR="00606BEC" w:rsidRDefault="00606BEC" w:rsidP="00606BEC">
      <w:r>
        <w:rPr>
          <w:i/>
          <w:sz w:val="20"/>
          <w:szCs w:val="20"/>
        </w:rPr>
        <w:t>Table</w:t>
      </w:r>
      <w:r w:rsidRPr="00E4631D">
        <w:rPr>
          <w:i/>
          <w:sz w:val="20"/>
          <w:szCs w:val="20"/>
        </w:rPr>
        <w:t xml:space="preserve"> </w:t>
      </w:r>
      <w:r>
        <w:rPr>
          <w:i/>
          <w:sz w:val="20"/>
          <w:szCs w:val="20"/>
        </w:rPr>
        <w:t>5</w:t>
      </w:r>
      <w:r w:rsidRPr="00E4631D">
        <w:rPr>
          <w:i/>
          <w:sz w:val="20"/>
          <w:szCs w:val="20"/>
        </w:rPr>
        <w:t xml:space="preserve">: </w:t>
      </w:r>
      <w:r>
        <w:rPr>
          <w:i/>
          <w:sz w:val="20"/>
          <w:szCs w:val="20"/>
        </w:rPr>
        <w:t xml:space="preserve">Occupied households by central heating (household based) in </w:t>
      </w:r>
      <w:r w:rsidRPr="00E4631D">
        <w:rPr>
          <w:i/>
          <w:sz w:val="20"/>
          <w:szCs w:val="20"/>
        </w:rPr>
        <w:t>Armagh City, Banbridge and Craigavon</w:t>
      </w:r>
      <w:r>
        <w:rPr>
          <w:i/>
          <w:sz w:val="20"/>
          <w:szCs w:val="20"/>
        </w:rPr>
        <w:t>,</w:t>
      </w:r>
      <w:r w:rsidRPr="00E4631D">
        <w:rPr>
          <w:i/>
          <w:sz w:val="20"/>
          <w:szCs w:val="20"/>
        </w:rPr>
        <w:t xml:space="preserve"> </w:t>
      </w:r>
      <w:r>
        <w:rPr>
          <w:i/>
          <w:sz w:val="20"/>
          <w:szCs w:val="20"/>
        </w:rPr>
        <w:t>2021</w:t>
      </w:r>
      <w:r w:rsidRPr="00E4631D">
        <w:rPr>
          <w:i/>
          <w:sz w:val="20"/>
          <w:szCs w:val="20"/>
        </w:rPr>
        <w:t xml:space="preserve">.  Source: </w:t>
      </w:r>
      <w:r>
        <w:rPr>
          <w:i/>
          <w:sz w:val="20"/>
          <w:szCs w:val="20"/>
        </w:rPr>
        <w:t>Table MS-E11,</w:t>
      </w:r>
      <w:r w:rsidRPr="00E4631D">
        <w:rPr>
          <w:i/>
          <w:sz w:val="20"/>
          <w:szCs w:val="20"/>
        </w:rPr>
        <w:t xml:space="preserve"> 2021.</w:t>
      </w:r>
    </w:p>
    <w:p w:rsidR="007C6FA3" w:rsidRDefault="00606BEC">
      <w:r>
        <w:t xml:space="preserve">In Armagh City, Banbridge and Craigavon Borough, oil </w:t>
      </w:r>
      <w:r w:rsidR="007C6FA3">
        <w:t xml:space="preserve">is the most common type of central heating system with 55,166 (or 65.2%) of occupied households having this central heating system.  A total of 235 (0.3%) of occupied households in the borough have no access to any type of central heating system.  </w:t>
      </w:r>
    </w:p>
    <w:p w:rsidR="00BD36F6" w:rsidRDefault="00BD36F6">
      <w:r>
        <w:t xml:space="preserve">As we would expect, oil and mains gas are the most common type of central heating systems in Northern Ireland overall.  Figure 2 presents the percentage of occupied households with oil only and mains gas only by LGD in 2021.  </w:t>
      </w:r>
    </w:p>
    <w:p w:rsidR="00BD36F6" w:rsidRDefault="00BD36F6" w:rsidP="00BD36F6">
      <w:r w:rsidRPr="00BD36F6">
        <w:rPr>
          <w:noProof/>
          <w:lang w:eastAsia="en-GB"/>
        </w:rPr>
        <w:drawing>
          <wp:inline distT="0" distB="0" distL="0" distR="0" wp14:anchorId="274BC039" wp14:editId="464F3EE6">
            <wp:extent cx="5996940" cy="3059430"/>
            <wp:effectExtent l="0" t="0" r="381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BD36F6">
        <w:rPr>
          <w:i/>
          <w:sz w:val="20"/>
          <w:szCs w:val="20"/>
        </w:rPr>
        <w:t xml:space="preserve"> </w:t>
      </w:r>
      <w:r>
        <w:rPr>
          <w:i/>
          <w:sz w:val="20"/>
          <w:szCs w:val="20"/>
        </w:rPr>
        <w:t>Figure 2</w:t>
      </w:r>
      <w:r w:rsidRPr="00E4631D">
        <w:rPr>
          <w:i/>
          <w:sz w:val="20"/>
          <w:szCs w:val="20"/>
        </w:rPr>
        <w:t xml:space="preserve">: </w:t>
      </w:r>
      <w:r>
        <w:rPr>
          <w:i/>
          <w:sz w:val="20"/>
          <w:szCs w:val="20"/>
        </w:rPr>
        <w:t>Occupied households by central heating system – oil only and mains gas only (household based) by LGD,</w:t>
      </w:r>
      <w:r w:rsidRPr="00E4631D">
        <w:rPr>
          <w:i/>
          <w:sz w:val="20"/>
          <w:szCs w:val="20"/>
        </w:rPr>
        <w:t xml:space="preserve"> </w:t>
      </w:r>
      <w:r>
        <w:rPr>
          <w:i/>
          <w:sz w:val="20"/>
          <w:szCs w:val="20"/>
        </w:rPr>
        <w:t>2021</w:t>
      </w:r>
      <w:r w:rsidRPr="00E4631D">
        <w:rPr>
          <w:i/>
          <w:sz w:val="20"/>
          <w:szCs w:val="20"/>
        </w:rPr>
        <w:t xml:space="preserve">.  Source: </w:t>
      </w:r>
      <w:r>
        <w:rPr>
          <w:i/>
          <w:sz w:val="20"/>
          <w:szCs w:val="20"/>
        </w:rPr>
        <w:t>Table MS-E11,</w:t>
      </w:r>
      <w:r w:rsidRPr="00E4631D">
        <w:rPr>
          <w:i/>
          <w:sz w:val="20"/>
          <w:szCs w:val="20"/>
        </w:rPr>
        <w:t xml:space="preserve"> 2021.</w:t>
      </w:r>
    </w:p>
    <w:p w:rsidR="00F00E10" w:rsidRDefault="00F00E10">
      <w:r>
        <w:lastRenderedPageBreak/>
        <w:t xml:space="preserve">Oil only central heating is the most prevalent for almost 50% of all occupied households in Northern Ireland compared to approximately 32% of households with mains gas only. </w:t>
      </w:r>
      <w:r w:rsidR="00635BD3">
        <w:t xml:space="preserve"> In Armagh City, Banbridge and Craigavon Borough, oil only is the most prevalent central heating system in 65.2% of households compared to 14.5% with mains gas only. </w:t>
      </w:r>
      <w:r>
        <w:t xml:space="preserve"> However, as presented in figure 2, the ratio varies across the LGD’s.  Oil only households are the most prevalent in all LGD’s except Belfast where mains gas is the most prevalent central heating system for 71% of occupied households (compared to 20% oil only) and </w:t>
      </w:r>
      <w:proofErr w:type="spellStart"/>
      <w:r>
        <w:t>Ards</w:t>
      </w:r>
      <w:proofErr w:type="spellEnd"/>
      <w:r>
        <w:t xml:space="preserve"> and North Down where mains gas accounts for 46% of central heating systems compared to 40% that are oil only.  </w:t>
      </w:r>
    </w:p>
    <w:p w:rsidR="005F6BC7" w:rsidRDefault="005F6BC7">
      <w:r>
        <w:t xml:space="preserve">Table 6 presents the central heating source by household for Armagh City, Banbridge and Craigavon from Census 2011.  The question has changed slightly so the results may not be directly comparable but the figures </w:t>
      </w:r>
      <w:r w:rsidR="000D7C00">
        <w:t xml:space="preserve">show there has been </w:t>
      </w:r>
      <w:r>
        <w:t>an increase in gas central heating in the borough</w:t>
      </w:r>
      <w:r w:rsidR="000D7C00">
        <w:t xml:space="preserve"> since 2011</w:t>
      </w:r>
      <w:r w:rsidR="00A22E9F">
        <w:t xml:space="preserve"> and a decline in the number of households with no central heating.  </w:t>
      </w:r>
      <w:r w:rsidR="000D7C00">
        <w:t xml:space="preserve">The percentage of households with two or more types of central heating has remained relatively unchanged. </w:t>
      </w:r>
    </w:p>
    <w:p w:rsidR="000D7C00" w:rsidRDefault="000D7C00">
      <w:bookmarkStart w:id="0" w:name="_GoBack"/>
      <w:bookmarkEnd w:id="0"/>
    </w:p>
    <w:tbl>
      <w:tblPr>
        <w:tblStyle w:val="GridTable1Light"/>
        <w:tblW w:w="7225" w:type="dxa"/>
        <w:tblLook w:val="04A0" w:firstRow="1" w:lastRow="0" w:firstColumn="1" w:lastColumn="0" w:noHBand="0" w:noVBand="1"/>
      </w:tblPr>
      <w:tblGrid>
        <w:gridCol w:w="5098"/>
        <w:gridCol w:w="2127"/>
      </w:tblGrid>
      <w:tr w:rsidR="005F6BC7" w:rsidRPr="005F6BC7" w:rsidTr="005F6BC7">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98" w:type="dxa"/>
            <w:noWrap/>
            <w:hideMark/>
          </w:tcPr>
          <w:p w:rsidR="005F6BC7" w:rsidRPr="005F6BC7" w:rsidRDefault="005F6BC7" w:rsidP="005F6BC7">
            <w:pPr>
              <w:rPr>
                <w:rFonts w:ascii="Calibri" w:eastAsia="Times New Roman" w:hAnsi="Calibri" w:cs="Calibri"/>
                <w:color w:val="000000"/>
                <w:lang w:eastAsia="en-GB"/>
              </w:rPr>
            </w:pPr>
            <w:r w:rsidRPr="005F6BC7">
              <w:rPr>
                <w:rFonts w:ascii="Calibri" w:eastAsia="Times New Roman" w:hAnsi="Calibri" w:cs="Calibri"/>
                <w:color w:val="000000"/>
                <w:lang w:eastAsia="en-GB"/>
              </w:rPr>
              <w:t> </w:t>
            </w:r>
          </w:p>
        </w:tc>
        <w:tc>
          <w:tcPr>
            <w:tcW w:w="2127" w:type="dxa"/>
            <w:hideMark/>
          </w:tcPr>
          <w:p w:rsidR="005F6BC7" w:rsidRPr="005F6BC7" w:rsidRDefault="005F6BC7" w:rsidP="005F6B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F6BC7">
              <w:rPr>
                <w:rFonts w:ascii="Calibri" w:eastAsia="Times New Roman" w:hAnsi="Calibri" w:cs="Calibri"/>
                <w:color w:val="000000"/>
                <w:lang w:eastAsia="en-GB"/>
              </w:rPr>
              <w:t xml:space="preserve">Census 2011 </w:t>
            </w:r>
            <w:r>
              <w:rPr>
                <w:rFonts w:ascii="Calibri" w:eastAsia="Times New Roman" w:hAnsi="Calibri" w:cs="Calibri"/>
                <w:color w:val="000000"/>
                <w:lang w:eastAsia="en-GB"/>
              </w:rPr>
              <w:t xml:space="preserve">            </w:t>
            </w:r>
            <w:r w:rsidRPr="005F6BC7">
              <w:rPr>
                <w:rFonts w:ascii="Calibri" w:eastAsia="Times New Roman" w:hAnsi="Calibri" w:cs="Calibri"/>
                <w:color w:val="000000"/>
                <w:lang w:eastAsia="en-GB"/>
              </w:rPr>
              <w:t>% of Households</w:t>
            </w:r>
          </w:p>
        </w:tc>
      </w:tr>
      <w:tr w:rsidR="005F6BC7" w:rsidRPr="005F6BC7" w:rsidTr="005F6BC7">
        <w:trPr>
          <w:trHeight w:val="299"/>
        </w:trPr>
        <w:tc>
          <w:tcPr>
            <w:cnfStyle w:val="001000000000" w:firstRow="0" w:lastRow="0" w:firstColumn="1" w:lastColumn="0" w:oddVBand="0" w:evenVBand="0" w:oddHBand="0" w:evenHBand="0" w:firstRowFirstColumn="0" w:firstRowLastColumn="0" w:lastRowFirstColumn="0" w:lastRowLastColumn="0"/>
            <w:tcW w:w="5098" w:type="dxa"/>
            <w:hideMark/>
          </w:tcPr>
          <w:p w:rsidR="005F6BC7" w:rsidRPr="005F6BC7" w:rsidRDefault="005F6BC7" w:rsidP="005F6BC7">
            <w:pPr>
              <w:rPr>
                <w:rFonts w:ascii="Calibri" w:eastAsia="Times New Roman" w:hAnsi="Calibri" w:cs="Calibri"/>
                <w:lang w:eastAsia="en-GB"/>
              </w:rPr>
            </w:pPr>
            <w:r w:rsidRPr="005F6BC7">
              <w:rPr>
                <w:rFonts w:ascii="Calibri" w:eastAsia="Times New Roman" w:hAnsi="Calibri" w:cs="Calibri"/>
                <w:lang w:eastAsia="en-GB"/>
              </w:rPr>
              <w:t xml:space="preserve">Oil central heating </w:t>
            </w:r>
          </w:p>
        </w:tc>
        <w:tc>
          <w:tcPr>
            <w:tcW w:w="2127" w:type="dxa"/>
            <w:hideMark/>
          </w:tcPr>
          <w:p w:rsidR="005F6BC7" w:rsidRPr="005F6BC7" w:rsidRDefault="005F6BC7" w:rsidP="005F6B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5F6BC7">
              <w:rPr>
                <w:rFonts w:ascii="Calibri" w:eastAsia="Times New Roman" w:hAnsi="Calibri" w:cs="Calibri"/>
                <w:lang w:eastAsia="en-GB"/>
              </w:rPr>
              <w:t>73.1%</w:t>
            </w:r>
          </w:p>
        </w:tc>
      </w:tr>
      <w:tr w:rsidR="005F6BC7" w:rsidRPr="005F6BC7" w:rsidTr="005F6BC7">
        <w:trPr>
          <w:trHeight w:val="299"/>
        </w:trPr>
        <w:tc>
          <w:tcPr>
            <w:cnfStyle w:val="001000000000" w:firstRow="0" w:lastRow="0" w:firstColumn="1" w:lastColumn="0" w:oddVBand="0" w:evenVBand="0" w:oddHBand="0" w:evenHBand="0" w:firstRowFirstColumn="0" w:firstRowLastColumn="0" w:lastRowFirstColumn="0" w:lastRowLastColumn="0"/>
            <w:tcW w:w="5098" w:type="dxa"/>
            <w:hideMark/>
          </w:tcPr>
          <w:p w:rsidR="005F6BC7" w:rsidRPr="005F6BC7" w:rsidRDefault="005F6BC7" w:rsidP="005F6BC7">
            <w:pPr>
              <w:rPr>
                <w:rFonts w:ascii="Calibri" w:eastAsia="Times New Roman" w:hAnsi="Calibri" w:cs="Calibri"/>
                <w:lang w:eastAsia="en-GB"/>
              </w:rPr>
            </w:pPr>
            <w:r w:rsidRPr="005F6BC7">
              <w:rPr>
                <w:rFonts w:ascii="Calibri" w:eastAsia="Times New Roman" w:hAnsi="Calibri" w:cs="Calibri"/>
                <w:lang w:eastAsia="en-GB"/>
              </w:rPr>
              <w:t xml:space="preserve">Gas central heating </w:t>
            </w:r>
          </w:p>
        </w:tc>
        <w:tc>
          <w:tcPr>
            <w:tcW w:w="2127" w:type="dxa"/>
            <w:hideMark/>
          </w:tcPr>
          <w:p w:rsidR="005F6BC7" w:rsidRPr="005F6BC7" w:rsidRDefault="005F6BC7" w:rsidP="005F6B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5F6BC7">
              <w:rPr>
                <w:rFonts w:ascii="Calibri" w:eastAsia="Times New Roman" w:hAnsi="Calibri" w:cs="Calibri"/>
                <w:lang w:eastAsia="en-GB"/>
              </w:rPr>
              <w:t>2.5%</w:t>
            </w:r>
          </w:p>
        </w:tc>
      </w:tr>
      <w:tr w:rsidR="005F6BC7" w:rsidRPr="005F6BC7" w:rsidTr="005F6BC7">
        <w:trPr>
          <w:trHeight w:val="299"/>
        </w:trPr>
        <w:tc>
          <w:tcPr>
            <w:cnfStyle w:val="001000000000" w:firstRow="0" w:lastRow="0" w:firstColumn="1" w:lastColumn="0" w:oddVBand="0" w:evenVBand="0" w:oddHBand="0" w:evenHBand="0" w:firstRowFirstColumn="0" w:firstRowLastColumn="0" w:lastRowFirstColumn="0" w:lastRowLastColumn="0"/>
            <w:tcW w:w="5098" w:type="dxa"/>
            <w:hideMark/>
          </w:tcPr>
          <w:p w:rsidR="005F6BC7" w:rsidRPr="005F6BC7" w:rsidRDefault="005F6BC7" w:rsidP="005F6BC7">
            <w:pPr>
              <w:rPr>
                <w:rFonts w:ascii="Calibri" w:eastAsia="Times New Roman" w:hAnsi="Calibri" w:cs="Calibri"/>
                <w:lang w:eastAsia="en-GB"/>
              </w:rPr>
            </w:pPr>
            <w:r w:rsidRPr="005F6BC7">
              <w:rPr>
                <w:rFonts w:ascii="Calibri" w:eastAsia="Times New Roman" w:hAnsi="Calibri" w:cs="Calibri"/>
                <w:lang w:eastAsia="en-GB"/>
              </w:rPr>
              <w:t xml:space="preserve">Electric (including storage heaters) central heating </w:t>
            </w:r>
          </w:p>
        </w:tc>
        <w:tc>
          <w:tcPr>
            <w:tcW w:w="2127" w:type="dxa"/>
            <w:hideMark/>
          </w:tcPr>
          <w:p w:rsidR="005F6BC7" w:rsidRPr="005F6BC7" w:rsidRDefault="005F6BC7" w:rsidP="005F6B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5F6BC7">
              <w:rPr>
                <w:rFonts w:ascii="Calibri" w:eastAsia="Times New Roman" w:hAnsi="Calibri" w:cs="Calibri"/>
                <w:lang w:eastAsia="en-GB"/>
              </w:rPr>
              <w:t>3.2%</w:t>
            </w:r>
          </w:p>
        </w:tc>
      </w:tr>
      <w:tr w:rsidR="005F6BC7" w:rsidRPr="005F6BC7" w:rsidTr="005F6BC7">
        <w:trPr>
          <w:trHeight w:val="299"/>
        </w:trPr>
        <w:tc>
          <w:tcPr>
            <w:cnfStyle w:val="001000000000" w:firstRow="0" w:lastRow="0" w:firstColumn="1" w:lastColumn="0" w:oddVBand="0" w:evenVBand="0" w:oddHBand="0" w:evenHBand="0" w:firstRowFirstColumn="0" w:firstRowLastColumn="0" w:lastRowFirstColumn="0" w:lastRowLastColumn="0"/>
            <w:tcW w:w="5098" w:type="dxa"/>
            <w:hideMark/>
          </w:tcPr>
          <w:p w:rsidR="005F6BC7" w:rsidRPr="005F6BC7" w:rsidRDefault="005F6BC7" w:rsidP="005F6BC7">
            <w:pPr>
              <w:rPr>
                <w:rFonts w:ascii="Calibri" w:eastAsia="Times New Roman" w:hAnsi="Calibri" w:cs="Calibri"/>
                <w:lang w:eastAsia="en-GB"/>
              </w:rPr>
            </w:pPr>
            <w:r w:rsidRPr="005F6BC7">
              <w:rPr>
                <w:rFonts w:ascii="Calibri" w:eastAsia="Times New Roman" w:hAnsi="Calibri" w:cs="Calibri"/>
                <w:lang w:eastAsia="en-GB"/>
              </w:rPr>
              <w:t xml:space="preserve">Solid fuel (for example wood, coal) central heating </w:t>
            </w:r>
          </w:p>
        </w:tc>
        <w:tc>
          <w:tcPr>
            <w:tcW w:w="2127" w:type="dxa"/>
            <w:hideMark/>
          </w:tcPr>
          <w:p w:rsidR="005F6BC7" w:rsidRPr="005F6BC7" w:rsidRDefault="005F6BC7" w:rsidP="005F6B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5F6BC7">
              <w:rPr>
                <w:rFonts w:ascii="Calibri" w:eastAsia="Times New Roman" w:hAnsi="Calibri" w:cs="Calibri"/>
                <w:lang w:eastAsia="en-GB"/>
              </w:rPr>
              <w:t>3.1%</w:t>
            </w:r>
          </w:p>
        </w:tc>
      </w:tr>
      <w:tr w:rsidR="005F6BC7" w:rsidRPr="005F6BC7" w:rsidTr="005F6BC7">
        <w:trPr>
          <w:trHeight w:val="299"/>
        </w:trPr>
        <w:tc>
          <w:tcPr>
            <w:cnfStyle w:val="001000000000" w:firstRow="0" w:lastRow="0" w:firstColumn="1" w:lastColumn="0" w:oddVBand="0" w:evenVBand="0" w:oddHBand="0" w:evenHBand="0" w:firstRowFirstColumn="0" w:firstRowLastColumn="0" w:lastRowFirstColumn="0" w:lastRowLastColumn="0"/>
            <w:tcW w:w="5098" w:type="dxa"/>
            <w:hideMark/>
          </w:tcPr>
          <w:p w:rsidR="005F6BC7" w:rsidRPr="005F6BC7" w:rsidRDefault="005F6BC7" w:rsidP="005F6BC7">
            <w:pPr>
              <w:rPr>
                <w:rFonts w:ascii="Calibri" w:eastAsia="Times New Roman" w:hAnsi="Calibri" w:cs="Calibri"/>
                <w:lang w:eastAsia="en-GB"/>
              </w:rPr>
            </w:pPr>
            <w:r w:rsidRPr="005F6BC7">
              <w:rPr>
                <w:rFonts w:ascii="Calibri" w:eastAsia="Times New Roman" w:hAnsi="Calibri" w:cs="Calibri"/>
                <w:lang w:eastAsia="en-GB"/>
              </w:rPr>
              <w:t xml:space="preserve">Other central heating </w:t>
            </w:r>
          </w:p>
        </w:tc>
        <w:tc>
          <w:tcPr>
            <w:tcW w:w="2127" w:type="dxa"/>
            <w:hideMark/>
          </w:tcPr>
          <w:p w:rsidR="005F6BC7" w:rsidRPr="005F6BC7" w:rsidRDefault="005F6BC7" w:rsidP="005F6B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5F6BC7">
              <w:rPr>
                <w:rFonts w:ascii="Calibri" w:eastAsia="Times New Roman" w:hAnsi="Calibri" w:cs="Calibri"/>
                <w:lang w:eastAsia="en-GB"/>
              </w:rPr>
              <w:t>6.3%</w:t>
            </w:r>
          </w:p>
        </w:tc>
      </w:tr>
      <w:tr w:rsidR="005F6BC7" w:rsidRPr="005F6BC7" w:rsidTr="005F6BC7">
        <w:trPr>
          <w:trHeight w:val="299"/>
        </w:trPr>
        <w:tc>
          <w:tcPr>
            <w:cnfStyle w:val="001000000000" w:firstRow="0" w:lastRow="0" w:firstColumn="1" w:lastColumn="0" w:oddVBand="0" w:evenVBand="0" w:oddHBand="0" w:evenHBand="0" w:firstRowFirstColumn="0" w:firstRowLastColumn="0" w:lastRowFirstColumn="0" w:lastRowLastColumn="0"/>
            <w:tcW w:w="5098" w:type="dxa"/>
            <w:hideMark/>
          </w:tcPr>
          <w:p w:rsidR="005F6BC7" w:rsidRPr="005F6BC7" w:rsidRDefault="005F6BC7" w:rsidP="005F6BC7">
            <w:pPr>
              <w:rPr>
                <w:rFonts w:ascii="Calibri" w:eastAsia="Times New Roman" w:hAnsi="Calibri" w:cs="Calibri"/>
                <w:lang w:eastAsia="en-GB"/>
              </w:rPr>
            </w:pPr>
            <w:r w:rsidRPr="005F6BC7">
              <w:rPr>
                <w:rFonts w:ascii="Calibri" w:eastAsia="Times New Roman" w:hAnsi="Calibri" w:cs="Calibri"/>
                <w:lang w:eastAsia="en-GB"/>
              </w:rPr>
              <w:t xml:space="preserve">Two or more types of central heating </w:t>
            </w:r>
          </w:p>
        </w:tc>
        <w:tc>
          <w:tcPr>
            <w:tcW w:w="2127" w:type="dxa"/>
            <w:hideMark/>
          </w:tcPr>
          <w:p w:rsidR="005F6BC7" w:rsidRPr="005F6BC7" w:rsidRDefault="005F6BC7" w:rsidP="005F6B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5F6BC7">
              <w:rPr>
                <w:rFonts w:ascii="Calibri" w:eastAsia="Times New Roman" w:hAnsi="Calibri" w:cs="Calibri"/>
                <w:lang w:eastAsia="en-GB"/>
              </w:rPr>
              <w:t>17.0%</w:t>
            </w:r>
          </w:p>
        </w:tc>
      </w:tr>
      <w:tr w:rsidR="005F6BC7" w:rsidRPr="005F6BC7" w:rsidTr="005F6BC7">
        <w:trPr>
          <w:trHeight w:val="299"/>
        </w:trPr>
        <w:tc>
          <w:tcPr>
            <w:cnfStyle w:val="001000000000" w:firstRow="0" w:lastRow="0" w:firstColumn="1" w:lastColumn="0" w:oddVBand="0" w:evenVBand="0" w:oddHBand="0" w:evenHBand="0" w:firstRowFirstColumn="0" w:firstRowLastColumn="0" w:lastRowFirstColumn="0" w:lastRowLastColumn="0"/>
            <w:tcW w:w="5098" w:type="dxa"/>
            <w:hideMark/>
          </w:tcPr>
          <w:p w:rsidR="005F6BC7" w:rsidRPr="005F6BC7" w:rsidRDefault="005F6BC7" w:rsidP="005F6BC7">
            <w:pPr>
              <w:rPr>
                <w:rFonts w:ascii="Calibri" w:eastAsia="Times New Roman" w:hAnsi="Calibri" w:cs="Calibri"/>
                <w:lang w:eastAsia="en-GB"/>
              </w:rPr>
            </w:pPr>
            <w:r w:rsidRPr="005F6BC7">
              <w:rPr>
                <w:rFonts w:ascii="Calibri" w:eastAsia="Times New Roman" w:hAnsi="Calibri" w:cs="Calibri"/>
                <w:lang w:eastAsia="en-GB"/>
              </w:rPr>
              <w:t xml:space="preserve">No central heating </w:t>
            </w:r>
          </w:p>
        </w:tc>
        <w:tc>
          <w:tcPr>
            <w:tcW w:w="2127" w:type="dxa"/>
            <w:hideMark/>
          </w:tcPr>
          <w:p w:rsidR="005F6BC7" w:rsidRPr="005F6BC7" w:rsidRDefault="005F6BC7" w:rsidP="005F6B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5F6BC7">
              <w:rPr>
                <w:rFonts w:ascii="Calibri" w:eastAsia="Times New Roman" w:hAnsi="Calibri" w:cs="Calibri"/>
                <w:lang w:eastAsia="en-GB"/>
              </w:rPr>
              <w:t>0.5%</w:t>
            </w:r>
          </w:p>
        </w:tc>
      </w:tr>
    </w:tbl>
    <w:p w:rsidR="00635BD3" w:rsidRDefault="00635BD3">
      <w:r>
        <w:rPr>
          <w:i/>
          <w:sz w:val="20"/>
          <w:szCs w:val="20"/>
        </w:rPr>
        <w:t>Table 6</w:t>
      </w:r>
      <w:r w:rsidRPr="00E4631D">
        <w:rPr>
          <w:i/>
          <w:sz w:val="20"/>
          <w:szCs w:val="20"/>
        </w:rPr>
        <w:t xml:space="preserve">: </w:t>
      </w:r>
      <w:r w:rsidR="005F6BC7">
        <w:rPr>
          <w:i/>
          <w:sz w:val="20"/>
          <w:szCs w:val="20"/>
        </w:rPr>
        <w:t>Households</w:t>
      </w:r>
      <w:r>
        <w:rPr>
          <w:i/>
          <w:sz w:val="20"/>
          <w:szCs w:val="20"/>
        </w:rPr>
        <w:t xml:space="preserve"> by central heating system, Armagh City, Banbridge and Craigavon Borough, 2011</w:t>
      </w:r>
      <w:r w:rsidRPr="00E4631D">
        <w:rPr>
          <w:i/>
          <w:sz w:val="20"/>
          <w:szCs w:val="20"/>
        </w:rPr>
        <w:t xml:space="preserve">.  Source: </w:t>
      </w:r>
      <w:r w:rsidR="005F6BC7">
        <w:rPr>
          <w:i/>
          <w:sz w:val="20"/>
          <w:szCs w:val="20"/>
        </w:rPr>
        <w:t xml:space="preserve">Census 2011 </w:t>
      </w:r>
    </w:p>
    <w:p w:rsidR="00635BD3" w:rsidRDefault="00635BD3"/>
    <w:p w:rsidR="00F00E10" w:rsidRDefault="00F00E10">
      <w:pPr>
        <w:rPr>
          <w:b/>
        </w:rPr>
      </w:pPr>
      <w:r w:rsidRPr="00F00E10">
        <w:rPr>
          <w:b/>
        </w:rPr>
        <w:t>Renewable Energy Systems</w:t>
      </w:r>
    </w:p>
    <w:p w:rsidR="00445162" w:rsidRDefault="00445162">
      <w:r>
        <w:t xml:space="preserve">The Census 2021 asked a multi-tick question on renewable energy systems giving respondents the option to select more than one type of renewable energy systems their household had access to. </w:t>
      </w:r>
    </w:p>
    <w:p w:rsidR="00445162" w:rsidRDefault="00445162">
      <w:r>
        <w:t xml:space="preserve">In Armagh City, Banbridge and Craigavon borough, just 5.3% of occupied households had any renewable energy system.  This is the same for Northern Ireland overall.  Newry, </w:t>
      </w:r>
      <w:proofErr w:type="spellStart"/>
      <w:r>
        <w:t>Mourne</w:t>
      </w:r>
      <w:proofErr w:type="spellEnd"/>
      <w:r>
        <w:t xml:space="preserve"> and Down had the greatest percentage of households with a renewable energy system at 7.6% while Belfast had the least at 3.3%.</w:t>
      </w:r>
    </w:p>
    <w:p w:rsidR="00445162" w:rsidRDefault="00445162" w:rsidP="00445162">
      <w:pPr>
        <w:rPr>
          <w:i/>
          <w:sz w:val="20"/>
          <w:szCs w:val="20"/>
        </w:rPr>
      </w:pPr>
      <w:r>
        <w:rPr>
          <w:noProof/>
          <w:lang w:eastAsia="en-GB"/>
        </w:rPr>
        <w:lastRenderedPageBreak/>
        <w:drawing>
          <wp:inline distT="0" distB="0" distL="0" distR="0" wp14:anchorId="2C0974D3" wp14:editId="76B11CE1">
            <wp:extent cx="56388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445162">
        <w:rPr>
          <w:i/>
          <w:sz w:val="20"/>
          <w:szCs w:val="20"/>
        </w:rPr>
        <w:t xml:space="preserve"> </w:t>
      </w:r>
      <w:r>
        <w:rPr>
          <w:i/>
          <w:sz w:val="20"/>
          <w:szCs w:val="20"/>
        </w:rPr>
        <w:t>Figure 3: Percentage of households with a renewable energy system by LGD,</w:t>
      </w:r>
      <w:r w:rsidRPr="00E4631D">
        <w:rPr>
          <w:i/>
          <w:sz w:val="20"/>
          <w:szCs w:val="20"/>
        </w:rPr>
        <w:t xml:space="preserve"> </w:t>
      </w:r>
      <w:r>
        <w:rPr>
          <w:i/>
          <w:sz w:val="20"/>
          <w:szCs w:val="20"/>
        </w:rPr>
        <w:t>2021</w:t>
      </w:r>
      <w:r w:rsidRPr="00E4631D">
        <w:rPr>
          <w:i/>
          <w:sz w:val="20"/>
          <w:szCs w:val="20"/>
        </w:rPr>
        <w:t xml:space="preserve">.  Source: </w:t>
      </w:r>
      <w:r>
        <w:rPr>
          <w:i/>
          <w:sz w:val="20"/>
          <w:szCs w:val="20"/>
        </w:rPr>
        <w:t>Table MS-E13,</w:t>
      </w:r>
      <w:r w:rsidRPr="00E4631D">
        <w:rPr>
          <w:i/>
          <w:sz w:val="20"/>
          <w:szCs w:val="20"/>
        </w:rPr>
        <w:t xml:space="preserve"> 2021.</w:t>
      </w:r>
    </w:p>
    <w:p w:rsidR="00635BD3" w:rsidRDefault="001D0AE3" w:rsidP="00445162">
      <w:r>
        <w:t>Of the 4,483 occupied household</w:t>
      </w:r>
      <w:r w:rsidR="000216DA">
        <w:t>s</w:t>
      </w:r>
      <w:r>
        <w:t xml:space="preserve"> within the borough who indicated that they had access to renewable energy systems, </w:t>
      </w:r>
      <w:r w:rsidR="00FD3620">
        <w:t>almost 58%</w:t>
      </w:r>
      <w:r>
        <w:t xml:space="preserve"> had solar panels </w:t>
      </w:r>
      <w:r w:rsidR="00FD3620">
        <w:t>for electricity while 45% had solar panels for heating water.</w:t>
      </w:r>
    </w:p>
    <w:tbl>
      <w:tblPr>
        <w:tblStyle w:val="GridTable1Light"/>
        <w:tblW w:w="8926" w:type="dxa"/>
        <w:tblLayout w:type="fixed"/>
        <w:tblLook w:val="04A0" w:firstRow="1" w:lastRow="0" w:firstColumn="1" w:lastColumn="0" w:noHBand="0" w:noVBand="1"/>
      </w:tblPr>
      <w:tblGrid>
        <w:gridCol w:w="3114"/>
        <w:gridCol w:w="2693"/>
        <w:gridCol w:w="3119"/>
      </w:tblGrid>
      <w:tr w:rsidR="001D0AE3" w:rsidRPr="001D0AE3" w:rsidTr="001D0AE3">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114" w:type="dxa"/>
            <w:noWrap/>
            <w:hideMark/>
          </w:tcPr>
          <w:p w:rsidR="001D0AE3" w:rsidRPr="001D0AE3" w:rsidRDefault="001D0AE3" w:rsidP="001D0AE3">
            <w:pPr>
              <w:rPr>
                <w:rFonts w:ascii="Times New Roman" w:eastAsia="Times New Roman" w:hAnsi="Times New Roman" w:cs="Times New Roman"/>
                <w:sz w:val="24"/>
                <w:szCs w:val="24"/>
                <w:lang w:eastAsia="en-GB"/>
              </w:rPr>
            </w:pPr>
          </w:p>
        </w:tc>
        <w:tc>
          <w:tcPr>
            <w:tcW w:w="2693" w:type="dxa"/>
            <w:noWrap/>
            <w:hideMark/>
          </w:tcPr>
          <w:p w:rsidR="001D0AE3" w:rsidRPr="001D0AE3" w:rsidRDefault="001D0AE3" w:rsidP="001D0AE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Number of households</w:t>
            </w:r>
          </w:p>
        </w:tc>
        <w:tc>
          <w:tcPr>
            <w:tcW w:w="3119" w:type="dxa"/>
            <w:hideMark/>
          </w:tcPr>
          <w:p w:rsidR="001D0AE3" w:rsidRPr="001D0AE3" w:rsidRDefault="001D0AE3" w:rsidP="001D0AE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 of households with access to a renewable energy system</w:t>
            </w:r>
          </w:p>
        </w:tc>
      </w:tr>
      <w:tr w:rsidR="001D0AE3" w:rsidRPr="001D0AE3" w:rsidTr="001D0AE3">
        <w:trPr>
          <w:trHeight w:val="288"/>
        </w:trPr>
        <w:tc>
          <w:tcPr>
            <w:cnfStyle w:val="001000000000" w:firstRow="0" w:lastRow="0" w:firstColumn="1" w:lastColumn="0" w:oddVBand="0" w:evenVBand="0" w:oddHBand="0" w:evenHBand="0" w:firstRowFirstColumn="0" w:firstRowLastColumn="0" w:lastRowFirstColumn="0" w:lastRowLastColumn="0"/>
            <w:tcW w:w="3114" w:type="dxa"/>
            <w:hideMark/>
          </w:tcPr>
          <w:p w:rsidR="001D0AE3" w:rsidRPr="001D0AE3" w:rsidRDefault="001D0AE3" w:rsidP="001D0AE3">
            <w:pPr>
              <w:jc w:val="right"/>
              <w:rPr>
                <w:rFonts w:ascii="Calibri" w:eastAsia="Times New Roman" w:hAnsi="Calibri" w:cs="Calibri"/>
                <w:color w:val="000000"/>
                <w:lang w:eastAsia="en-GB"/>
              </w:rPr>
            </w:pPr>
            <w:r w:rsidRPr="001D0AE3">
              <w:rPr>
                <w:rFonts w:ascii="Calibri" w:eastAsia="Times New Roman" w:hAnsi="Calibri" w:cs="Calibri"/>
                <w:color w:val="000000"/>
                <w:lang w:eastAsia="en-GB"/>
              </w:rPr>
              <w:t>Solar panels for electricity</w:t>
            </w:r>
          </w:p>
        </w:tc>
        <w:tc>
          <w:tcPr>
            <w:tcW w:w="2693"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2,581</w:t>
            </w:r>
          </w:p>
        </w:tc>
        <w:tc>
          <w:tcPr>
            <w:tcW w:w="3119"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57.6%</w:t>
            </w:r>
          </w:p>
        </w:tc>
      </w:tr>
      <w:tr w:rsidR="001D0AE3" w:rsidRPr="001D0AE3" w:rsidTr="001D0AE3">
        <w:trPr>
          <w:trHeight w:val="288"/>
        </w:trPr>
        <w:tc>
          <w:tcPr>
            <w:cnfStyle w:val="001000000000" w:firstRow="0" w:lastRow="0" w:firstColumn="1" w:lastColumn="0" w:oddVBand="0" w:evenVBand="0" w:oddHBand="0" w:evenHBand="0" w:firstRowFirstColumn="0" w:firstRowLastColumn="0" w:lastRowFirstColumn="0" w:lastRowLastColumn="0"/>
            <w:tcW w:w="3114" w:type="dxa"/>
            <w:hideMark/>
          </w:tcPr>
          <w:p w:rsidR="001D0AE3" w:rsidRPr="001D0AE3" w:rsidRDefault="001D0AE3" w:rsidP="001D0AE3">
            <w:pPr>
              <w:jc w:val="right"/>
              <w:rPr>
                <w:rFonts w:ascii="Calibri" w:eastAsia="Times New Roman" w:hAnsi="Calibri" w:cs="Calibri"/>
                <w:color w:val="000000"/>
                <w:lang w:eastAsia="en-GB"/>
              </w:rPr>
            </w:pPr>
            <w:r w:rsidRPr="001D0AE3">
              <w:rPr>
                <w:rFonts w:ascii="Calibri" w:eastAsia="Times New Roman" w:hAnsi="Calibri" w:cs="Calibri"/>
                <w:color w:val="000000"/>
                <w:lang w:eastAsia="en-GB"/>
              </w:rPr>
              <w:t>Solar panels for heating water</w:t>
            </w:r>
          </w:p>
        </w:tc>
        <w:tc>
          <w:tcPr>
            <w:tcW w:w="2693"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2,022</w:t>
            </w:r>
          </w:p>
        </w:tc>
        <w:tc>
          <w:tcPr>
            <w:tcW w:w="3119"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45.1%</w:t>
            </w:r>
          </w:p>
        </w:tc>
      </w:tr>
      <w:tr w:rsidR="001D0AE3" w:rsidRPr="001D0AE3" w:rsidTr="001D0AE3">
        <w:trPr>
          <w:trHeight w:val="288"/>
        </w:trPr>
        <w:tc>
          <w:tcPr>
            <w:cnfStyle w:val="001000000000" w:firstRow="0" w:lastRow="0" w:firstColumn="1" w:lastColumn="0" w:oddVBand="0" w:evenVBand="0" w:oddHBand="0" w:evenHBand="0" w:firstRowFirstColumn="0" w:firstRowLastColumn="0" w:lastRowFirstColumn="0" w:lastRowLastColumn="0"/>
            <w:tcW w:w="3114" w:type="dxa"/>
            <w:hideMark/>
          </w:tcPr>
          <w:p w:rsidR="001D0AE3" w:rsidRPr="001D0AE3" w:rsidRDefault="001D0AE3" w:rsidP="001D0AE3">
            <w:pPr>
              <w:jc w:val="right"/>
              <w:rPr>
                <w:rFonts w:ascii="Calibri" w:eastAsia="Times New Roman" w:hAnsi="Calibri" w:cs="Calibri"/>
                <w:color w:val="000000"/>
                <w:lang w:eastAsia="en-GB"/>
              </w:rPr>
            </w:pPr>
            <w:r w:rsidRPr="001D0AE3">
              <w:rPr>
                <w:rFonts w:ascii="Calibri" w:eastAsia="Times New Roman" w:hAnsi="Calibri" w:cs="Calibri"/>
                <w:color w:val="000000"/>
                <w:lang w:eastAsia="en-GB"/>
              </w:rPr>
              <w:t>Biomass</w:t>
            </w:r>
          </w:p>
        </w:tc>
        <w:tc>
          <w:tcPr>
            <w:tcW w:w="2693"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228</w:t>
            </w:r>
          </w:p>
        </w:tc>
        <w:tc>
          <w:tcPr>
            <w:tcW w:w="3119"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5.1%</w:t>
            </w:r>
          </w:p>
        </w:tc>
      </w:tr>
      <w:tr w:rsidR="001D0AE3" w:rsidRPr="001D0AE3" w:rsidTr="001D0AE3">
        <w:trPr>
          <w:trHeight w:val="288"/>
        </w:trPr>
        <w:tc>
          <w:tcPr>
            <w:cnfStyle w:val="001000000000" w:firstRow="0" w:lastRow="0" w:firstColumn="1" w:lastColumn="0" w:oddVBand="0" w:evenVBand="0" w:oddHBand="0" w:evenHBand="0" w:firstRowFirstColumn="0" w:firstRowLastColumn="0" w:lastRowFirstColumn="0" w:lastRowLastColumn="0"/>
            <w:tcW w:w="3114" w:type="dxa"/>
            <w:hideMark/>
          </w:tcPr>
          <w:p w:rsidR="001D0AE3" w:rsidRPr="001D0AE3" w:rsidRDefault="001D0AE3" w:rsidP="001D0AE3">
            <w:pPr>
              <w:jc w:val="right"/>
              <w:rPr>
                <w:rFonts w:ascii="Calibri" w:eastAsia="Times New Roman" w:hAnsi="Calibri" w:cs="Calibri"/>
                <w:color w:val="000000"/>
                <w:lang w:eastAsia="en-GB"/>
              </w:rPr>
            </w:pPr>
            <w:r w:rsidRPr="001D0AE3">
              <w:rPr>
                <w:rFonts w:ascii="Calibri" w:eastAsia="Times New Roman" w:hAnsi="Calibri" w:cs="Calibri"/>
                <w:color w:val="000000"/>
                <w:lang w:eastAsia="en-GB"/>
              </w:rPr>
              <w:t>Wind turbine</w:t>
            </w:r>
          </w:p>
        </w:tc>
        <w:tc>
          <w:tcPr>
            <w:tcW w:w="2693"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101</w:t>
            </w:r>
          </w:p>
        </w:tc>
        <w:tc>
          <w:tcPr>
            <w:tcW w:w="3119"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2.3%</w:t>
            </w:r>
          </w:p>
        </w:tc>
      </w:tr>
      <w:tr w:rsidR="001D0AE3" w:rsidRPr="001D0AE3" w:rsidTr="001D0AE3">
        <w:trPr>
          <w:trHeight w:val="288"/>
        </w:trPr>
        <w:tc>
          <w:tcPr>
            <w:cnfStyle w:val="001000000000" w:firstRow="0" w:lastRow="0" w:firstColumn="1" w:lastColumn="0" w:oddVBand="0" w:evenVBand="0" w:oddHBand="0" w:evenHBand="0" w:firstRowFirstColumn="0" w:firstRowLastColumn="0" w:lastRowFirstColumn="0" w:lastRowLastColumn="0"/>
            <w:tcW w:w="3114" w:type="dxa"/>
            <w:hideMark/>
          </w:tcPr>
          <w:p w:rsidR="001D0AE3" w:rsidRPr="001D0AE3" w:rsidRDefault="001D0AE3" w:rsidP="001D0AE3">
            <w:pPr>
              <w:jc w:val="right"/>
              <w:rPr>
                <w:rFonts w:ascii="Calibri" w:eastAsia="Times New Roman" w:hAnsi="Calibri" w:cs="Calibri"/>
                <w:color w:val="000000"/>
                <w:lang w:eastAsia="en-GB"/>
              </w:rPr>
            </w:pPr>
            <w:r w:rsidRPr="001D0AE3">
              <w:rPr>
                <w:rFonts w:ascii="Calibri" w:eastAsia="Times New Roman" w:hAnsi="Calibri" w:cs="Calibri"/>
                <w:color w:val="000000"/>
                <w:lang w:eastAsia="en-GB"/>
              </w:rPr>
              <w:t>Air source</w:t>
            </w:r>
          </w:p>
        </w:tc>
        <w:tc>
          <w:tcPr>
            <w:tcW w:w="2693"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86</w:t>
            </w:r>
          </w:p>
        </w:tc>
        <w:tc>
          <w:tcPr>
            <w:tcW w:w="3119"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1.9%</w:t>
            </w:r>
          </w:p>
        </w:tc>
      </w:tr>
      <w:tr w:rsidR="001D0AE3" w:rsidRPr="001D0AE3" w:rsidTr="001D0AE3">
        <w:trPr>
          <w:trHeight w:val="288"/>
        </w:trPr>
        <w:tc>
          <w:tcPr>
            <w:cnfStyle w:val="001000000000" w:firstRow="0" w:lastRow="0" w:firstColumn="1" w:lastColumn="0" w:oddVBand="0" w:evenVBand="0" w:oddHBand="0" w:evenHBand="0" w:firstRowFirstColumn="0" w:firstRowLastColumn="0" w:lastRowFirstColumn="0" w:lastRowLastColumn="0"/>
            <w:tcW w:w="3114" w:type="dxa"/>
            <w:hideMark/>
          </w:tcPr>
          <w:p w:rsidR="001D0AE3" w:rsidRPr="001D0AE3" w:rsidRDefault="001D0AE3" w:rsidP="001D0AE3">
            <w:pPr>
              <w:jc w:val="right"/>
              <w:rPr>
                <w:rFonts w:ascii="Calibri" w:eastAsia="Times New Roman" w:hAnsi="Calibri" w:cs="Calibri"/>
                <w:color w:val="000000"/>
                <w:lang w:eastAsia="en-GB"/>
              </w:rPr>
            </w:pPr>
            <w:r w:rsidRPr="001D0AE3">
              <w:rPr>
                <w:rFonts w:ascii="Calibri" w:eastAsia="Times New Roman" w:hAnsi="Calibri" w:cs="Calibri"/>
                <w:color w:val="000000"/>
                <w:lang w:eastAsia="en-GB"/>
              </w:rPr>
              <w:t>Geothermal</w:t>
            </w:r>
          </w:p>
        </w:tc>
        <w:tc>
          <w:tcPr>
            <w:tcW w:w="2693"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68</w:t>
            </w:r>
          </w:p>
        </w:tc>
        <w:tc>
          <w:tcPr>
            <w:tcW w:w="3119"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1.5%</w:t>
            </w:r>
          </w:p>
        </w:tc>
      </w:tr>
      <w:tr w:rsidR="001D0AE3" w:rsidRPr="001D0AE3" w:rsidTr="001D0AE3">
        <w:trPr>
          <w:trHeight w:val="288"/>
        </w:trPr>
        <w:tc>
          <w:tcPr>
            <w:cnfStyle w:val="001000000000" w:firstRow="0" w:lastRow="0" w:firstColumn="1" w:lastColumn="0" w:oddVBand="0" w:evenVBand="0" w:oddHBand="0" w:evenHBand="0" w:firstRowFirstColumn="0" w:firstRowLastColumn="0" w:lastRowFirstColumn="0" w:lastRowLastColumn="0"/>
            <w:tcW w:w="3114" w:type="dxa"/>
            <w:hideMark/>
          </w:tcPr>
          <w:p w:rsidR="001D0AE3" w:rsidRPr="001D0AE3" w:rsidRDefault="001D0AE3" w:rsidP="001D0AE3">
            <w:pPr>
              <w:jc w:val="right"/>
              <w:rPr>
                <w:rFonts w:ascii="Calibri" w:eastAsia="Times New Roman" w:hAnsi="Calibri" w:cs="Calibri"/>
                <w:color w:val="000000"/>
                <w:lang w:eastAsia="en-GB"/>
              </w:rPr>
            </w:pPr>
            <w:r w:rsidRPr="001D0AE3">
              <w:rPr>
                <w:rFonts w:ascii="Calibri" w:eastAsia="Times New Roman" w:hAnsi="Calibri" w:cs="Calibri"/>
                <w:color w:val="000000"/>
                <w:lang w:eastAsia="en-GB"/>
              </w:rPr>
              <w:t>Other</w:t>
            </w:r>
          </w:p>
        </w:tc>
        <w:tc>
          <w:tcPr>
            <w:tcW w:w="2693"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184</w:t>
            </w:r>
          </w:p>
        </w:tc>
        <w:tc>
          <w:tcPr>
            <w:tcW w:w="3119" w:type="dxa"/>
            <w:noWrap/>
            <w:hideMark/>
          </w:tcPr>
          <w:p w:rsidR="001D0AE3" w:rsidRPr="001D0AE3" w:rsidRDefault="001D0AE3" w:rsidP="001D0A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D0AE3">
              <w:rPr>
                <w:rFonts w:ascii="Calibri" w:eastAsia="Times New Roman" w:hAnsi="Calibri" w:cs="Calibri"/>
                <w:color w:val="000000"/>
                <w:lang w:eastAsia="en-GB"/>
              </w:rPr>
              <w:t>4.1%</w:t>
            </w:r>
          </w:p>
        </w:tc>
      </w:tr>
    </w:tbl>
    <w:p w:rsidR="00445162" w:rsidRPr="00F00E10" w:rsidRDefault="001D0AE3">
      <w:pPr>
        <w:rPr>
          <w:b/>
        </w:rPr>
      </w:pPr>
      <w:r>
        <w:rPr>
          <w:i/>
          <w:sz w:val="20"/>
          <w:szCs w:val="20"/>
        </w:rPr>
        <w:t xml:space="preserve">Table </w:t>
      </w:r>
      <w:r w:rsidR="000216DA">
        <w:rPr>
          <w:i/>
          <w:sz w:val="20"/>
          <w:szCs w:val="20"/>
        </w:rPr>
        <w:t>7</w:t>
      </w:r>
      <w:r>
        <w:rPr>
          <w:i/>
          <w:sz w:val="20"/>
          <w:szCs w:val="20"/>
        </w:rPr>
        <w:t>: Number of households with a renewable energy system in Armagh City, Banbridge and Craigavon Borough,</w:t>
      </w:r>
      <w:r w:rsidRPr="00E4631D">
        <w:rPr>
          <w:i/>
          <w:sz w:val="20"/>
          <w:szCs w:val="20"/>
        </w:rPr>
        <w:t xml:space="preserve"> </w:t>
      </w:r>
      <w:r>
        <w:rPr>
          <w:i/>
          <w:sz w:val="20"/>
          <w:szCs w:val="20"/>
        </w:rPr>
        <w:t>2021</w:t>
      </w:r>
      <w:r w:rsidRPr="00E4631D">
        <w:rPr>
          <w:i/>
          <w:sz w:val="20"/>
          <w:szCs w:val="20"/>
        </w:rPr>
        <w:t xml:space="preserve">.  Source: </w:t>
      </w:r>
      <w:r>
        <w:rPr>
          <w:i/>
          <w:sz w:val="20"/>
          <w:szCs w:val="20"/>
        </w:rPr>
        <w:t>Table MS-E13,</w:t>
      </w:r>
      <w:r w:rsidRPr="00E4631D">
        <w:rPr>
          <w:i/>
          <w:sz w:val="20"/>
          <w:szCs w:val="20"/>
        </w:rPr>
        <w:t xml:space="preserve"> 2021.</w:t>
      </w:r>
      <w:r w:rsidR="00FD3620">
        <w:rPr>
          <w:i/>
          <w:sz w:val="20"/>
          <w:szCs w:val="20"/>
        </w:rPr>
        <w:t xml:space="preserve"> Note: access to each system is reported individually, even if in combination with other systems so figures will not sum. </w:t>
      </w:r>
    </w:p>
    <w:sectPr w:rsidR="00445162" w:rsidRPr="00F00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37"/>
    <w:rsid w:val="000216DA"/>
    <w:rsid w:val="000322C6"/>
    <w:rsid w:val="000A3734"/>
    <w:rsid w:val="000D7C00"/>
    <w:rsid w:val="001338D1"/>
    <w:rsid w:val="001D0AE3"/>
    <w:rsid w:val="002E3FA6"/>
    <w:rsid w:val="002E6905"/>
    <w:rsid w:val="002F406E"/>
    <w:rsid w:val="00377FFB"/>
    <w:rsid w:val="004065EB"/>
    <w:rsid w:val="00445162"/>
    <w:rsid w:val="00567B5B"/>
    <w:rsid w:val="0057398F"/>
    <w:rsid w:val="005F6BC7"/>
    <w:rsid w:val="00606BEC"/>
    <w:rsid w:val="00635BD3"/>
    <w:rsid w:val="00697B1A"/>
    <w:rsid w:val="00721C5A"/>
    <w:rsid w:val="00735E4B"/>
    <w:rsid w:val="007442D0"/>
    <w:rsid w:val="00745C3A"/>
    <w:rsid w:val="00762870"/>
    <w:rsid w:val="00764237"/>
    <w:rsid w:val="007C6FA3"/>
    <w:rsid w:val="00803D70"/>
    <w:rsid w:val="00890115"/>
    <w:rsid w:val="008A15FE"/>
    <w:rsid w:val="008B76EA"/>
    <w:rsid w:val="008E588E"/>
    <w:rsid w:val="00A22E9F"/>
    <w:rsid w:val="00B329E2"/>
    <w:rsid w:val="00BD36F6"/>
    <w:rsid w:val="00CC7845"/>
    <w:rsid w:val="00D40C42"/>
    <w:rsid w:val="00DA3A98"/>
    <w:rsid w:val="00EB2239"/>
    <w:rsid w:val="00F00E10"/>
    <w:rsid w:val="00F875CE"/>
    <w:rsid w:val="00FD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9303"/>
  <w15:chartTrackingRefBased/>
  <w15:docId w15:val="{9F20B922-164E-4781-AC17-AEB0F201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2E3FA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3384">
      <w:bodyDiv w:val="1"/>
      <w:marLeft w:val="0"/>
      <w:marRight w:val="0"/>
      <w:marTop w:val="0"/>
      <w:marBottom w:val="0"/>
      <w:divBdr>
        <w:top w:val="none" w:sz="0" w:space="0" w:color="auto"/>
        <w:left w:val="none" w:sz="0" w:space="0" w:color="auto"/>
        <w:bottom w:val="none" w:sz="0" w:space="0" w:color="auto"/>
        <w:right w:val="none" w:sz="0" w:space="0" w:color="auto"/>
      </w:divBdr>
    </w:div>
    <w:div w:id="101920466">
      <w:bodyDiv w:val="1"/>
      <w:marLeft w:val="0"/>
      <w:marRight w:val="0"/>
      <w:marTop w:val="0"/>
      <w:marBottom w:val="0"/>
      <w:divBdr>
        <w:top w:val="none" w:sz="0" w:space="0" w:color="auto"/>
        <w:left w:val="none" w:sz="0" w:space="0" w:color="auto"/>
        <w:bottom w:val="none" w:sz="0" w:space="0" w:color="auto"/>
        <w:right w:val="none" w:sz="0" w:space="0" w:color="auto"/>
      </w:divBdr>
    </w:div>
    <w:div w:id="325980503">
      <w:bodyDiv w:val="1"/>
      <w:marLeft w:val="0"/>
      <w:marRight w:val="0"/>
      <w:marTop w:val="0"/>
      <w:marBottom w:val="0"/>
      <w:divBdr>
        <w:top w:val="none" w:sz="0" w:space="0" w:color="auto"/>
        <w:left w:val="none" w:sz="0" w:space="0" w:color="auto"/>
        <w:bottom w:val="none" w:sz="0" w:space="0" w:color="auto"/>
        <w:right w:val="none" w:sz="0" w:space="0" w:color="auto"/>
      </w:divBdr>
    </w:div>
    <w:div w:id="588851226">
      <w:bodyDiv w:val="1"/>
      <w:marLeft w:val="0"/>
      <w:marRight w:val="0"/>
      <w:marTop w:val="0"/>
      <w:marBottom w:val="0"/>
      <w:divBdr>
        <w:top w:val="none" w:sz="0" w:space="0" w:color="auto"/>
        <w:left w:val="none" w:sz="0" w:space="0" w:color="auto"/>
        <w:bottom w:val="none" w:sz="0" w:space="0" w:color="auto"/>
        <w:right w:val="none" w:sz="0" w:space="0" w:color="auto"/>
      </w:divBdr>
    </w:div>
    <w:div w:id="606423373">
      <w:bodyDiv w:val="1"/>
      <w:marLeft w:val="0"/>
      <w:marRight w:val="0"/>
      <w:marTop w:val="0"/>
      <w:marBottom w:val="0"/>
      <w:divBdr>
        <w:top w:val="none" w:sz="0" w:space="0" w:color="auto"/>
        <w:left w:val="none" w:sz="0" w:space="0" w:color="auto"/>
        <w:bottom w:val="none" w:sz="0" w:space="0" w:color="auto"/>
        <w:right w:val="none" w:sz="0" w:space="0" w:color="auto"/>
      </w:divBdr>
    </w:div>
    <w:div w:id="954752281">
      <w:bodyDiv w:val="1"/>
      <w:marLeft w:val="0"/>
      <w:marRight w:val="0"/>
      <w:marTop w:val="0"/>
      <w:marBottom w:val="0"/>
      <w:divBdr>
        <w:top w:val="none" w:sz="0" w:space="0" w:color="auto"/>
        <w:left w:val="none" w:sz="0" w:space="0" w:color="auto"/>
        <w:bottom w:val="none" w:sz="0" w:space="0" w:color="auto"/>
        <w:right w:val="none" w:sz="0" w:space="0" w:color="auto"/>
      </w:divBdr>
    </w:div>
    <w:div w:id="1175075153">
      <w:bodyDiv w:val="1"/>
      <w:marLeft w:val="0"/>
      <w:marRight w:val="0"/>
      <w:marTop w:val="0"/>
      <w:marBottom w:val="0"/>
      <w:divBdr>
        <w:top w:val="none" w:sz="0" w:space="0" w:color="auto"/>
        <w:left w:val="none" w:sz="0" w:space="0" w:color="auto"/>
        <w:bottom w:val="none" w:sz="0" w:space="0" w:color="auto"/>
        <w:right w:val="none" w:sz="0" w:space="0" w:color="auto"/>
      </w:divBdr>
    </w:div>
    <w:div w:id="1353454771">
      <w:bodyDiv w:val="1"/>
      <w:marLeft w:val="0"/>
      <w:marRight w:val="0"/>
      <w:marTop w:val="0"/>
      <w:marBottom w:val="0"/>
      <w:divBdr>
        <w:top w:val="none" w:sz="0" w:space="0" w:color="auto"/>
        <w:left w:val="none" w:sz="0" w:space="0" w:color="auto"/>
        <w:bottom w:val="none" w:sz="0" w:space="0" w:color="auto"/>
        <w:right w:val="none" w:sz="0" w:space="0" w:color="auto"/>
      </w:divBdr>
    </w:div>
    <w:div w:id="15751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5.%202021%20Census\December%202022%20-%202nd%20phase%20main%20stats\Second%20phase%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5.%202021%20Census\December%202022%20-%202nd%20phase%20main%20stats\Second%20phase%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5.%202021%20Census\December%202022%20-%202nd%20phase%20main%20stats\Second%20phase%20sta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875765529308838"/>
          <c:y val="4.8372911169744945E-2"/>
          <c:w val="0.62033280153706272"/>
          <c:h val="0.83257086267910441"/>
        </c:manualLayout>
      </c:layout>
      <c:barChart>
        <c:barDir val="bar"/>
        <c:grouping val="clustered"/>
        <c:varyColors val="0"/>
        <c:ser>
          <c:idx val="0"/>
          <c:order val="0"/>
          <c:tx>
            <c:strRef>
              <c:f>'Household spaces'!$B$39</c:f>
              <c:strCache>
                <c:ptCount val="1"/>
                <c:pt idx="0">
                  <c:v>2011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'Household spaces'!$A$40:$A$51</c:f>
              <c:strCache>
                <c:ptCount val="12"/>
                <c:pt idx="0">
                  <c:v>Lisburn and Castlereagh</c:v>
                </c:pt>
                <c:pt idx="1">
                  <c:v>Antrim and Newtownabbey</c:v>
                </c:pt>
                <c:pt idx="2">
                  <c:v>Armagh City, Banbridge and Craigavon</c:v>
                </c:pt>
                <c:pt idx="3">
                  <c:v>Mid and East Antrim</c:v>
                </c:pt>
                <c:pt idx="4">
                  <c:v>Mid Ulster</c:v>
                </c:pt>
                <c:pt idx="5">
                  <c:v>Derry City and Strabane</c:v>
                </c:pt>
                <c:pt idx="6">
                  <c:v>Ards and North Down</c:v>
                </c:pt>
                <c:pt idx="7">
                  <c:v>Northern Ireland</c:v>
                </c:pt>
                <c:pt idx="8">
                  <c:v>Belfast</c:v>
                </c:pt>
                <c:pt idx="9">
                  <c:v>Newry, Mourne and Down</c:v>
                </c:pt>
                <c:pt idx="10">
                  <c:v>Fermanagh and Omagh</c:v>
                </c:pt>
                <c:pt idx="11">
                  <c:v>Causeway Coast and Glens</c:v>
                </c:pt>
              </c:strCache>
            </c:strRef>
          </c:cat>
          <c:val>
            <c:numRef>
              <c:f>'Household spaces'!$B$40:$B$51</c:f>
              <c:numCache>
                <c:formatCode>0.0%</c:formatCode>
                <c:ptCount val="12"/>
                <c:pt idx="0">
                  <c:v>4.0128352385640574E-2</c:v>
                </c:pt>
                <c:pt idx="1">
                  <c:v>4.1439747387841265E-2</c:v>
                </c:pt>
                <c:pt idx="2">
                  <c:v>5.7588617074388421E-2</c:v>
                </c:pt>
                <c:pt idx="3">
                  <c:v>4.8208183650223432E-2</c:v>
                </c:pt>
                <c:pt idx="4">
                  <c:v>4.9067420427175192E-2</c:v>
                </c:pt>
                <c:pt idx="5">
                  <c:v>4.288394993716322E-2</c:v>
                </c:pt>
                <c:pt idx="6">
                  <c:v>5.79752409559499E-2</c:v>
                </c:pt>
                <c:pt idx="7">
                  <c:v>6.0088073933991328E-2</c:v>
                </c:pt>
                <c:pt idx="8">
                  <c:v>6.6482469386543924E-2</c:v>
                </c:pt>
                <c:pt idx="9">
                  <c:v>6.2808942905083667E-2</c:v>
                </c:pt>
                <c:pt idx="10">
                  <c:v>7.5168203894310032E-2</c:v>
                </c:pt>
                <c:pt idx="11">
                  <c:v>0.10815611667247704</c:v>
                </c:pt>
              </c:numCache>
            </c:numRef>
          </c:val>
          <c:extLst>
            <c:ext xmlns:c16="http://schemas.microsoft.com/office/drawing/2014/chart" uri="{C3380CC4-5D6E-409C-BE32-E72D297353CC}">
              <c16:uniqueId val="{00000000-3436-4BC3-BF84-6893B32F91DF}"/>
            </c:ext>
          </c:extLst>
        </c:ser>
        <c:ser>
          <c:idx val="1"/>
          <c:order val="1"/>
          <c:tx>
            <c:strRef>
              <c:f>'Household spaces'!$C$39</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'Household spaces'!$A$40:$A$51</c:f>
              <c:strCache>
                <c:ptCount val="12"/>
                <c:pt idx="0">
                  <c:v>Lisburn and Castlereagh</c:v>
                </c:pt>
                <c:pt idx="1">
                  <c:v>Antrim and Newtownabbey</c:v>
                </c:pt>
                <c:pt idx="2">
                  <c:v>Armagh City, Banbridge and Craigavon</c:v>
                </c:pt>
                <c:pt idx="3">
                  <c:v>Mid and East Antrim</c:v>
                </c:pt>
                <c:pt idx="4">
                  <c:v>Mid Ulster</c:v>
                </c:pt>
                <c:pt idx="5">
                  <c:v>Derry City and Strabane</c:v>
                </c:pt>
                <c:pt idx="6">
                  <c:v>Ards and North Down</c:v>
                </c:pt>
                <c:pt idx="7">
                  <c:v>Northern Ireland</c:v>
                </c:pt>
                <c:pt idx="8">
                  <c:v>Belfast</c:v>
                </c:pt>
                <c:pt idx="9">
                  <c:v>Newry, Mourne and Down</c:v>
                </c:pt>
                <c:pt idx="10">
                  <c:v>Fermanagh and Omagh</c:v>
                </c:pt>
                <c:pt idx="11">
                  <c:v>Causeway Coast and Glens</c:v>
                </c:pt>
              </c:strCache>
            </c:strRef>
          </c:cat>
          <c:val>
            <c:numRef>
              <c:f>'Household spaces'!$C$40:$C$51</c:f>
              <c:numCache>
                <c:formatCode>0.00%</c:formatCode>
                <c:ptCount val="12"/>
                <c:pt idx="0">
                  <c:v>3.9031794216328498E-2</c:v>
                </c:pt>
                <c:pt idx="1">
                  <c:v>3.9280635987590497E-2</c:v>
                </c:pt>
                <c:pt idx="2">
                  <c:v>4.2327144360340803E-2</c:v>
                </c:pt>
                <c:pt idx="3">
                  <c:v>5.5258380341049101E-2</c:v>
                </c:pt>
                <c:pt idx="4">
                  <c:v>5.5757596950729099E-2</c:v>
                </c:pt>
                <c:pt idx="5">
                  <c:v>5.7229940897979399E-2</c:v>
                </c:pt>
                <c:pt idx="6">
                  <c:v>5.87001256046394E-2</c:v>
                </c:pt>
                <c:pt idx="7">
                  <c:v>6.3637249409300198E-2</c:v>
                </c:pt>
                <c:pt idx="8">
                  <c:v>6.8346716285575093E-2</c:v>
                </c:pt>
                <c:pt idx="9">
                  <c:v>6.8833131390140606E-2</c:v>
                </c:pt>
                <c:pt idx="10">
                  <c:v>8.0236605436291603E-2</c:v>
                </c:pt>
                <c:pt idx="11">
                  <c:v>0.13459890877936601</c:v>
                </c:pt>
              </c:numCache>
            </c:numRef>
          </c:val>
          <c:extLst>
            <c:ext xmlns:c16="http://schemas.microsoft.com/office/drawing/2014/chart" uri="{C3380CC4-5D6E-409C-BE32-E72D297353CC}">
              <c16:uniqueId val="{00000001-3436-4BC3-BF84-6893B32F91DF}"/>
            </c:ext>
          </c:extLst>
        </c:ser>
        <c:dLbls>
          <c:showLegendKey val="0"/>
          <c:showVal val="0"/>
          <c:showCatName val="0"/>
          <c:showSerName val="0"/>
          <c:showPercent val="0"/>
          <c:showBubbleSize val="0"/>
        </c:dLbls>
        <c:gapWidth val="50"/>
        <c:axId val="2103235776"/>
        <c:axId val="2103238688"/>
      </c:barChart>
      <c:catAx>
        <c:axId val="2103235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3238688"/>
        <c:crosses val="autoZero"/>
        <c:auto val="1"/>
        <c:lblAlgn val="ctr"/>
        <c:lblOffset val="100"/>
        <c:noMultiLvlLbl val="0"/>
      </c:catAx>
      <c:valAx>
        <c:axId val="2103238688"/>
        <c:scaling>
          <c:orientation val="minMax"/>
          <c:max val="0.15000000000000002"/>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3235776"/>
        <c:crosses val="autoZero"/>
        <c:crossBetween val="between"/>
        <c:majorUnit val="5.000000000000001E-2"/>
      </c:valAx>
      <c:spPr>
        <a:noFill/>
        <a:ln>
          <a:noFill/>
        </a:ln>
        <a:effectLst/>
      </c:spPr>
    </c:plotArea>
    <c:legend>
      <c:legendPos val="b"/>
      <c:layout>
        <c:manualLayout>
          <c:xMode val="edge"/>
          <c:yMode val="edge"/>
          <c:x val="0.85348189319472323"/>
          <c:y val="0.13423430910186357"/>
          <c:w val="9.0421834525586262E-2"/>
          <c:h val="0.245712920449587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186974773553894E-2"/>
          <c:y val="3.3208800332088007E-2"/>
          <c:w val="0.87861223393069932"/>
          <c:h val="0.57065695243885295"/>
        </c:manualLayout>
      </c:layout>
      <c:barChart>
        <c:barDir val="col"/>
        <c:grouping val="clustered"/>
        <c:varyColors val="0"/>
        <c:ser>
          <c:idx val="0"/>
          <c:order val="0"/>
          <c:tx>
            <c:strRef>
              <c:f>'E11'!$C$51</c:f>
              <c:strCache>
                <c:ptCount val="1"/>
                <c:pt idx="0">
                  <c:v>Oil only</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'E11'!$A$52:$B$63</c:f>
              <c:strCache>
                <c:ptCount val="12"/>
                <c:pt idx="0">
                  <c:v>Northern Ireland</c:v>
                </c:pt>
                <c:pt idx="1">
                  <c:v>Antrim and Newtownabbey</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pt idx="11">
                  <c:v>Ards and North Down</c:v>
                </c:pt>
              </c:strCache>
            </c:strRef>
          </c:cat>
          <c:val>
            <c:numRef>
              <c:f>'E11'!$C$52:$C$63</c:f>
              <c:numCache>
                <c:formatCode>0.0%</c:formatCode>
                <c:ptCount val="12"/>
                <c:pt idx="0">
                  <c:v>0.49497340698819348</c:v>
                </c:pt>
                <c:pt idx="1">
                  <c:v>0.47375414164858637</c:v>
                </c:pt>
                <c:pt idx="2">
                  <c:v>0.65177221172022681</c:v>
                </c:pt>
                <c:pt idx="3">
                  <c:v>0.2023322833590242</c:v>
                </c:pt>
                <c:pt idx="4">
                  <c:v>0.62885774327445765</c:v>
                </c:pt>
                <c:pt idx="5">
                  <c:v>0.54357922376302614</c:v>
                </c:pt>
                <c:pt idx="6">
                  <c:v>0.65039921251230448</c:v>
                </c:pt>
                <c:pt idx="7">
                  <c:v>0.44771404821280131</c:v>
                </c:pt>
                <c:pt idx="8">
                  <c:v>0.50132120796156487</c:v>
                </c:pt>
                <c:pt idx="9">
                  <c:v>0.69567069105992152</c:v>
                </c:pt>
                <c:pt idx="10">
                  <c:v>0.67707647996257148</c:v>
                </c:pt>
                <c:pt idx="11">
                  <c:v>0.3964283686332406</c:v>
                </c:pt>
              </c:numCache>
            </c:numRef>
          </c:val>
          <c:extLst>
            <c:ext xmlns:c16="http://schemas.microsoft.com/office/drawing/2014/chart" uri="{C3380CC4-5D6E-409C-BE32-E72D297353CC}">
              <c16:uniqueId val="{00000000-8B35-4479-A936-4C5FF3A9211D}"/>
            </c:ext>
          </c:extLst>
        </c:ser>
        <c:ser>
          <c:idx val="1"/>
          <c:order val="1"/>
          <c:tx>
            <c:strRef>
              <c:f>'E11'!$D$51</c:f>
              <c:strCache>
                <c:ptCount val="1"/>
                <c:pt idx="0">
                  <c:v>Mains gas only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'E11'!$A$52:$B$63</c:f>
              <c:strCache>
                <c:ptCount val="12"/>
                <c:pt idx="0">
                  <c:v>Northern Ireland</c:v>
                </c:pt>
                <c:pt idx="1">
                  <c:v>Antrim and Newtownabbey</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pt idx="11">
                  <c:v>Ards and North Down</c:v>
                </c:pt>
              </c:strCache>
            </c:strRef>
          </c:cat>
          <c:val>
            <c:numRef>
              <c:f>'E11'!$D$52:$D$63</c:f>
              <c:numCache>
                <c:formatCode>0.0%</c:formatCode>
                <c:ptCount val="12"/>
                <c:pt idx="0">
                  <c:v>0.31581754163246883</c:v>
                </c:pt>
                <c:pt idx="1">
                  <c:v>0.38054392249861246</c:v>
                </c:pt>
                <c:pt idx="2">
                  <c:v>0.14476606805293005</c:v>
                </c:pt>
                <c:pt idx="3">
                  <c:v>0.70904765096173183</c:v>
                </c:pt>
                <c:pt idx="4">
                  <c:v>0.10988381180638775</c:v>
                </c:pt>
                <c:pt idx="5">
                  <c:v>0.23684253712972839</c:v>
                </c:pt>
                <c:pt idx="6">
                  <c:v>1.354041343104014E-2</c:v>
                </c:pt>
                <c:pt idx="7">
                  <c:v>0.41030756442227762</c:v>
                </c:pt>
                <c:pt idx="8">
                  <c:v>0.30796156485929993</c:v>
                </c:pt>
                <c:pt idx="9">
                  <c:v>1.6276572105769944E-2</c:v>
                </c:pt>
                <c:pt idx="10">
                  <c:v>7.4798602277877685E-2</c:v>
                </c:pt>
                <c:pt idx="11">
                  <c:v>0.45606439157344841</c:v>
                </c:pt>
              </c:numCache>
            </c:numRef>
          </c:val>
          <c:extLst>
            <c:ext xmlns:c16="http://schemas.microsoft.com/office/drawing/2014/chart" uri="{C3380CC4-5D6E-409C-BE32-E72D297353CC}">
              <c16:uniqueId val="{00000001-8B35-4479-A936-4C5FF3A9211D}"/>
            </c:ext>
          </c:extLst>
        </c:ser>
        <c:dLbls>
          <c:showLegendKey val="0"/>
          <c:showVal val="0"/>
          <c:showCatName val="0"/>
          <c:showSerName val="0"/>
          <c:showPercent val="0"/>
          <c:showBubbleSize val="0"/>
        </c:dLbls>
        <c:gapWidth val="100"/>
        <c:overlap val="-27"/>
        <c:axId val="2109317376"/>
        <c:axId val="2109311136"/>
      </c:barChart>
      <c:catAx>
        <c:axId val="210931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311136"/>
        <c:crosses val="autoZero"/>
        <c:auto val="1"/>
        <c:lblAlgn val="ctr"/>
        <c:lblOffset val="100"/>
        <c:noMultiLvlLbl val="0"/>
      </c:catAx>
      <c:valAx>
        <c:axId val="2109311136"/>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317376"/>
        <c:crosses val="autoZero"/>
        <c:crossBetween val="between"/>
      </c:valAx>
      <c:spPr>
        <a:noFill/>
        <a:ln>
          <a:noFill/>
        </a:ln>
        <a:effectLst/>
      </c:spPr>
    </c:plotArea>
    <c:legend>
      <c:legendPos val="b"/>
      <c:layout>
        <c:manualLayout>
          <c:xMode val="edge"/>
          <c:yMode val="edge"/>
          <c:x val="0.66085519910901347"/>
          <c:y val="2.0858787421186284E-2"/>
          <c:w val="0.32616299446248748"/>
          <c:h val="7.00503034879046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'E13'!$B$39</c:f>
              <c:strCache>
                <c:ptCount val="1"/>
                <c:pt idx="0">
                  <c:v>Any renewable energy system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'E13'!$A$40:$A$51</c:f>
              <c:strCache>
                <c:ptCount val="12"/>
                <c:pt idx="0">
                  <c:v>Northern Ireland</c:v>
                </c:pt>
                <c:pt idx="1">
                  <c:v>Antrim and Newtownabbey</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pt idx="11">
                  <c:v>Ards and North Down</c:v>
                </c:pt>
              </c:strCache>
            </c:strRef>
          </c:cat>
          <c:val>
            <c:numRef>
              <c:f>'E13'!$B$40:$B$51</c:f>
              <c:numCache>
                <c:formatCode>0.0%</c:formatCode>
                <c:ptCount val="12"/>
                <c:pt idx="0">
                  <c:v>5.2529370141829949E-2</c:v>
                </c:pt>
                <c:pt idx="1">
                  <c:v>4.2989050910742219E-2</c:v>
                </c:pt>
                <c:pt idx="2">
                  <c:v>5.2964249426998414E-2</c:v>
                </c:pt>
                <c:pt idx="3">
                  <c:v>3.2632735948956479E-2</c:v>
                </c:pt>
                <c:pt idx="4">
                  <c:v>5.4362928998193692E-2</c:v>
                </c:pt>
                <c:pt idx="5">
                  <c:v>6.7481742840731926E-2</c:v>
                </c:pt>
                <c:pt idx="6">
                  <c:v>7.5270698895329766E-2</c:v>
                </c:pt>
                <c:pt idx="7">
                  <c:v>4.5571682710692139E-2</c:v>
                </c:pt>
                <c:pt idx="8">
                  <c:v>4.7681142013966338E-2</c:v>
                </c:pt>
                <c:pt idx="9">
                  <c:v>6.8530691602629382E-2</c:v>
                </c:pt>
                <c:pt idx="10">
                  <c:v>7.6129069988449788E-2</c:v>
                </c:pt>
                <c:pt idx="11">
                  <c:v>4.7781957555539781E-2</c:v>
                </c:pt>
              </c:numCache>
            </c:numRef>
          </c:val>
          <c:extLst>
            <c:ext xmlns:c16="http://schemas.microsoft.com/office/drawing/2014/chart" uri="{C3380CC4-5D6E-409C-BE32-E72D297353CC}">
              <c16:uniqueId val="{00000000-CD65-46F4-9974-DDFF7D8E3BB1}"/>
            </c:ext>
          </c:extLst>
        </c:ser>
        <c:dLbls>
          <c:showLegendKey val="0"/>
          <c:showVal val="0"/>
          <c:showCatName val="0"/>
          <c:showSerName val="0"/>
          <c:showPercent val="0"/>
          <c:showBubbleSize val="0"/>
        </c:dLbls>
        <c:gapWidth val="80"/>
        <c:axId val="2110266224"/>
        <c:axId val="2110266640"/>
      </c:barChart>
      <c:catAx>
        <c:axId val="2110266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266640"/>
        <c:crosses val="autoZero"/>
        <c:auto val="1"/>
        <c:lblAlgn val="ctr"/>
        <c:lblOffset val="100"/>
        <c:noMultiLvlLbl val="0"/>
      </c:catAx>
      <c:valAx>
        <c:axId val="21102666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266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6</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Bennett</dc:creator>
  <cp:keywords/>
  <dc:description/>
  <cp:lastModifiedBy>Jessica Bennett</cp:lastModifiedBy>
  <cp:revision>14</cp:revision>
  <dcterms:created xsi:type="dcterms:W3CDTF">2022-12-16T08:50:00Z</dcterms:created>
  <dcterms:modified xsi:type="dcterms:W3CDTF">2022-12-16T16:13:00Z</dcterms:modified>
</cp:coreProperties>
</file>