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59" w:rsidRPr="00900955" w:rsidRDefault="00900955">
      <w:pPr>
        <w:rPr>
          <w:b/>
        </w:rPr>
      </w:pPr>
      <w:r>
        <w:rPr>
          <w:b/>
        </w:rPr>
        <w:t>CO</w:t>
      </w:r>
      <w:r w:rsidRPr="00900955">
        <w:rPr>
          <w:b/>
          <w:vertAlign w:val="subscript"/>
        </w:rPr>
        <w:t>2</w:t>
      </w:r>
      <w:r>
        <w:rPr>
          <w:b/>
          <w:vertAlign w:val="subscript"/>
        </w:rPr>
        <w:t xml:space="preserve"> </w:t>
      </w:r>
      <w:r>
        <w:rPr>
          <w:b/>
        </w:rPr>
        <w:t>Emissions</w:t>
      </w:r>
    </w:p>
    <w:p w:rsidR="0063391F" w:rsidRPr="0063391F" w:rsidRDefault="00543077" w:rsidP="00C6515D">
      <w:r>
        <w:t>It is estimated that in Armagh City, Banbrid</w:t>
      </w:r>
      <w:r w:rsidR="005367EC">
        <w:t>ge and Craigavon Borough in 20</w:t>
      </w:r>
      <w:r w:rsidR="00866EAE">
        <w:t>21</w:t>
      </w:r>
      <w:r w:rsidR="005367EC">
        <w:t xml:space="preserve"> there were </w:t>
      </w:r>
      <w:r w:rsidR="00866EAE">
        <w:t>1,487.1</w:t>
      </w:r>
      <w:r>
        <w:t xml:space="preserve"> </w:t>
      </w:r>
      <w:proofErr w:type="spellStart"/>
      <w:r>
        <w:t>kilotonnes</w:t>
      </w:r>
      <w:proofErr w:type="spellEnd"/>
      <w:r>
        <w:t xml:space="preserve"> of CO</w:t>
      </w:r>
      <w:r w:rsidRPr="00543077">
        <w:rPr>
          <w:vertAlign w:val="subscript"/>
        </w:rPr>
        <w:t>2</w:t>
      </w:r>
      <w:r>
        <w:rPr>
          <w:vertAlign w:val="subscript"/>
        </w:rPr>
        <w:t xml:space="preserve"> </w:t>
      </w:r>
      <w:r>
        <w:t>e</w:t>
      </w:r>
      <w:r w:rsidR="00C6515D">
        <w:t>quivalent e</w:t>
      </w:r>
      <w:r>
        <w:t>miss</w:t>
      </w:r>
      <w:r w:rsidR="005367EC">
        <w:t>ions</w:t>
      </w:r>
      <w:r w:rsidR="004F4CC1">
        <w:rPr>
          <w:rStyle w:val="FootnoteReference"/>
        </w:rPr>
        <w:footnoteReference w:id="1"/>
      </w:r>
      <w:r w:rsidR="005367EC">
        <w:t xml:space="preserve">. This is </w:t>
      </w:r>
      <w:r w:rsidR="009F37F9">
        <w:t>an increase</w:t>
      </w:r>
      <w:r w:rsidR="005367EC">
        <w:t xml:space="preserve"> of </w:t>
      </w:r>
      <w:r w:rsidR="00866EAE">
        <w:t>5.9</w:t>
      </w:r>
      <w:r>
        <w:t>%</w:t>
      </w:r>
      <w:r w:rsidR="005367EC">
        <w:t xml:space="preserve"> on 20</w:t>
      </w:r>
      <w:r w:rsidR="00866EAE">
        <w:t>20</w:t>
      </w:r>
      <w:r w:rsidR="009F37F9">
        <w:t xml:space="preserve"> estimates but a 2</w:t>
      </w:r>
      <w:r w:rsidR="00866EAE">
        <w:t>4.5</w:t>
      </w:r>
      <w:r w:rsidR="009F37F9">
        <w:t xml:space="preserve">% decrease since 2010 which was the </w:t>
      </w:r>
      <w:r w:rsidR="00663F53">
        <w:t>highest level of the</w:t>
      </w:r>
      <w:r w:rsidR="005367EC">
        <w:t xml:space="preserve"> </w:t>
      </w:r>
      <w:r w:rsidR="009A4629">
        <w:t>years</w:t>
      </w:r>
      <w:r w:rsidR="00663F53">
        <w:t xml:space="preserve"> presented below</w:t>
      </w:r>
      <w:r w:rsidR="009A4629">
        <w:t>.</w:t>
      </w:r>
      <w:r w:rsidR="00CB5416">
        <w:t xml:space="preserve"> The decrease in CO</w:t>
      </w:r>
      <w:r w:rsidR="00CB5416" w:rsidRPr="00CB5416">
        <w:rPr>
          <w:vertAlign w:val="subscript"/>
        </w:rPr>
        <w:t>2</w:t>
      </w:r>
      <w:r w:rsidR="00CB5416">
        <w:rPr>
          <w:vertAlign w:val="subscript"/>
        </w:rPr>
        <w:t xml:space="preserve"> </w:t>
      </w:r>
      <w:r w:rsidR="00CB5416">
        <w:t>e</w:t>
      </w:r>
      <w:r w:rsidR="00C6515D">
        <w:t>quivalent e</w:t>
      </w:r>
      <w:r w:rsidR="00CB5416">
        <w:t xml:space="preserve">mission estimates over the same period in Northern Ireland </w:t>
      </w:r>
      <w:r w:rsidR="0063391F">
        <w:t xml:space="preserve">was </w:t>
      </w:r>
      <w:r w:rsidR="00866EAE">
        <w:t>slightly higher</w:t>
      </w:r>
      <w:r w:rsidR="00663F53">
        <w:t xml:space="preserve"> at</w:t>
      </w:r>
      <w:r w:rsidR="00CB5416">
        <w:t xml:space="preserve"> </w:t>
      </w:r>
      <w:r w:rsidR="00866EAE">
        <w:t>25.1</w:t>
      </w:r>
      <w:r w:rsidR="0063391F">
        <w:t>%.</w:t>
      </w:r>
      <w:r w:rsidR="009D2ED9">
        <w:rPr>
          <w:sz w:val="8"/>
          <w:szCs w:val="8"/>
        </w:rPr>
        <w:tab/>
      </w:r>
      <w:r w:rsidR="00663F53" w:rsidRPr="00663F53">
        <w:rPr>
          <w:b/>
          <w:sz w:val="18"/>
          <w:szCs w:val="18"/>
        </w:rPr>
        <w:t xml:space="preserve"> </w:t>
      </w:r>
      <w:r w:rsidR="008F1AD8">
        <w:rPr>
          <w:b/>
          <w:sz w:val="18"/>
          <w:szCs w:val="18"/>
        </w:rPr>
        <w:t xml:space="preserve">   </w:t>
      </w:r>
    </w:p>
    <w:tbl>
      <w:tblPr>
        <w:tblStyle w:val="GridTable1Light"/>
        <w:tblW w:w="7225" w:type="dxa"/>
        <w:tblLook w:val="04A0" w:firstRow="1" w:lastRow="0" w:firstColumn="1" w:lastColumn="0" w:noHBand="0" w:noVBand="1"/>
      </w:tblPr>
      <w:tblGrid>
        <w:gridCol w:w="1320"/>
        <w:gridCol w:w="2928"/>
        <w:gridCol w:w="2977"/>
      </w:tblGrid>
      <w:tr w:rsidR="0063391F" w:rsidRPr="0063391F" w:rsidTr="00866EA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20" w:type="dxa"/>
            <w:hideMark/>
          </w:tcPr>
          <w:p w:rsidR="0063391F" w:rsidRPr="0063391F" w:rsidRDefault="0063391F" w:rsidP="0063391F">
            <w:pPr>
              <w:rPr>
                <w:rFonts w:ascii="Calibri" w:eastAsia="Times New Roman" w:hAnsi="Calibri" w:cs="Calibri"/>
                <w:color w:val="000000"/>
                <w:lang w:eastAsia="en-GB"/>
              </w:rPr>
            </w:pPr>
            <w:r w:rsidRPr="0063391F">
              <w:rPr>
                <w:rFonts w:ascii="Calibri" w:eastAsia="Times New Roman" w:hAnsi="Calibri" w:cs="Calibri"/>
                <w:color w:val="000000"/>
                <w:lang w:eastAsia="en-GB"/>
              </w:rPr>
              <w:t> </w:t>
            </w:r>
          </w:p>
        </w:tc>
        <w:tc>
          <w:tcPr>
            <w:tcW w:w="5905" w:type="dxa"/>
            <w:gridSpan w:val="2"/>
            <w:noWrap/>
            <w:hideMark/>
          </w:tcPr>
          <w:p w:rsidR="0063391F" w:rsidRPr="0063391F" w:rsidRDefault="0063391F" w:rsidP="006339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63391F">
              <w:rPr>
                <w:rFonts w:ascii="Calibri" w:eastAsia="Times New Roman" w:hAnsi="Calibri" w:cs="Calibri"/>
                <w:color w:val="000000"/>
                <w:lang w:eastAsia="en-GB"/>
              </w:rPr>
              <w:t>CO</w:t>
            </w:r>
            <w:r w:rsidRPr="0063391F">
              <w:rPr>
                <w:rFonts w:ascii="Calibri" w:eastAsia="Times New Roman" w:hAnsi="Calibri" w:cs="Calibri"/>
                <w:color w:val="000000"/>
                <w:vertAlign w:val="subscript"/>
                <w:lang w:eastAsia="en-GB"/>
              </w:rPr>
              <w:t xml:space="preserve">2 </w:t>
            </w:r>
            <w:r w:rsidRPr="0063391F">
              <w:rPr>
                <w:rFonts w:ascii="Calibri" w:eastAsia="Times New Roman" w:hAnsi="Calibri" w:cs="Calibri"/>
                <w:color w:val="000000"/>
                <w:lang w:eastAsia="en-GB"/>
              </w:rPr>
              <w:t>Emission Estimates (</w:t>
            </w:r>
            <w:proofErr w:type="spellStart"/>
            <w:r w:rsidRPr="0063391F">
              <w:rPr>
                <w:i/>
              </w:rPr>
              <w:t>Kilotonnes</w:t>
            </w:r>
            <w:proofErr w:type="spellEnd"/>
            <w:r w:rsidRPr="0063391F">
              <w:rPr>
                <w:i/>
              </w:rPr>
              <w:t xml:space="preserve"> (</w:t>
            </w:r>
            <w:proofErr w:type="spellStart"/>
            <w:r w:rsidRPr="0063391F">
              <w:rPr>
                <w:i/>
              </w:rPr>
              <w:t>kt</w:t>
            </w:r>
            <w:proofErr w:type="spellEnd"/>
            <w:r w:rsidRPr="0063391F">
              <w:rPr>
                <w:i/>
              </w:rPr>
              <w:t xml:space="preserve"> CO</w:t>
            </w:r>
            <w:r w:rsidRPr="0063391F">
              <w:rPr>
                <w:i/>
                <w:vertAlign w:val="subscript"/>
              </w:rPr>
              <w:t>2</w:t>
            </w:r>
            <w:r w:rsidRPr="0063391F">
              <w:rPr>
                <w:i/>
              </w:rPr>
              <w:t>e)</w:t>
            </w:r>
          </w:p>
        </w:tc>
      </w:tr>
      <w:tr w:rsidR="0063391F" w:rsidRPr="0063391F" w:rsidTr="00866EAE">
        <w:trPr>
          <w:trHeight w:val="656"/>
        </w:trPr>
        <w:tc>
          <w:tcPr>
            <w:cnfStyle w:val="001000000000" w:firstRow="0" w:lastRow="0" w:firstColumn="1" w:lastColumn="0" w:oddVBand="0" w:evenVBand="0" w:oddHBand="0" w:evenHBand="0" w:firstRowFirstColumn="0" w:firstRowLastColumn="0" w:lastRowFirstColumn="0" w:lastRowLastColumn="0"/>
            <w:tcW w:w="1320" w:type="dxa"/>
            <w:hideMark/>
          </w:tcPr>
          <w:p w:rsidR="0063391F" w:rsidRPr="0063391F" w:rsidRDefault="0063391F" w:rsidP="0063391F">
            <w:pPr>
              <w:rPr>
                <w:rFonts w:ascii="Calibri" w:eastAsia="Times New Roman" w:hAnsi="Calibri" w:cs="Calibri"/>
                <w:color w:val="000000"/>
                <w:lang w:eastAsia="en-GB"/>
              </w:rPr>
            </w:pPr>
            <w:r w:rsidRPr="0063391F">
              <w:rPr>
                <w:rFonts w:ascii="Calibri" w:eastAsia="Times New Roman" w:hAnsi="Calibri" w:cs="Calibri"/>
                <w:color w:val="000000"/>
                <w:lang w:eastAsia="en-GB"/>
              </w:rPr>
              <w:t> </w:t>
            </w:r>
          </w:p>
        </w:tc>
        <w:tc>
          <w:tcPr>
            <w:tcW w:w="2928" w:type="dxa"/>
            <w:hideMark/>
          </w:tcPr>
          <w:p w:rsidR="0063391F" w:rsidRPr="0063391F" w:rsidRDefault="0063391F" w:rsidP="006339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Armagh City, Banbridge and Craigavon</w:t>
            </w:r>
          </w:p>
        </w:tc>
        <w:tc>
          <w:tcPr>
            <w:tcW w:w="2977" w:type="dxa"/>
            <w:hideMark/>
          </w:tcPr>
          <w:p w:rsidR="0063391F" w:rsidRPr="0063391F" w:rsidRDefault="0063391F" w:rsidP="0063391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3391F">
              <w:rPr>
                <w:rFonts w:ascii="Calibri" w:eastAsia="Times New Roman" w:hAnsi="Calibri" w:cs="Calibri"/>
                <w:b/>
                <w:bCs/>
                <w:color w:val="000000"/>
                <w:lang w:eastAsia="en-GB"/>
              </w:rPr>
              <w:t>Northern Ireland</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2010</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1,968.7</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17,328.9</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2011</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1,819.9</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15,973.7</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2012</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1,829.1</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16,285.5</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2013</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1,821.7</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16,064.9</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2014</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1,717.2</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15,285.8</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2015</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1,678.9</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14,898.9</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2016</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1,600.8</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14,257.8</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2017</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1,563.1</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13,820.1</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2018</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1,563.2</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13,836.3</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2019</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1,516.4</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13,383.1</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hideMark/>
          </w:tcPr>
          <w:p w:rsidR="00866EAE" w:rsidRPr="00866EAE" w:rsidRDefault="00866EAE" w:rsidP="00866EAE">
            <w:pPr>
              <w:pStyle w:val="NoSpacing"/>
            </w:pPr>
            <w:r w:rsidRPr="00866EAE">
              <w:rPr>
                <w:bCs w:val="0"/>
              </w:rPr>
              <w:t>2020</w:t>
            </w:r>
          </w:p>
        </w:tc>
        <w:tc>
          <w:tcPr>
            <w:tcW w:w="2928"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1,403.7</w:t>
            </w:r>
          </w:p>
        </w:tc>
        <w:tc>
          <w:tcPr>
            <w:tcW w:w="2977" w:type="dxa"/>
            <w:noWrap/>
            <w:hideMark/>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12,340.5</w:t>
            </w:r>
          </w:p>
        </w:tc>
      </w:tr>
      <w:tr w:rsidR="00866EAE" w:rsidRPr="0063391F" w:rsidTr="00866EAE">
        <w:trPr>
          <w:trHeight w:val="300"/>
        </w:trPr>
        <w:tc>
          <w:tcPr>
            <w:cnfStyle w:val="001000000000" w:firstRow="0" w:lastRow="0" w:firstColumn="1" w:lastColumn="0" w:oddVBand="0" w:evenVBand="0" w:oddHBand="0" w:evenHBand="0" w:firstRowFirstColumn="0" w:firstRowLastColumn="0" w:lastRowFirstColumn="0" w:lastRowLastColumn="0"/>
            <w:tcW w:w="1320" w:type="dxa"/>
            <w:noWrap/>
          </w:tcPr>
          <w:p w:rsidR="00866EAE" w:rsidRPr="00866EAE" w:rsidRDefault="00866EAE" w:rsidP="00866EAE">
            <w:pPr>
              <w:pStyle w:val="NoSpacing"/>
            </w:pPr>
            <w:r w:rsidRPr="00866EAE">
              <w:rPr>
                <w:bCs w:val="0"/>
              </w:rPr>
              <w:t>2021</w:t>
            </w:r>
          </w:p>
        </w:tc>
        <w:tc>
          <w:tcPr>
            <w:tcW w:w="2928" w:type="dxa"/>
            <w:noWrap/>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1,487.1</w:t>
            </w:r>
          </w:p>
        </w:tc>
        <w:tc>
          <w:tcPr>
            <w:tcW w:w="2977" w:type="dxa"/>
            <w:noWrap/>
          </w:tcPr>
          <w:p w:rsidR="00866EAE" w:rsidRDefault="00866EAE" w:rsidP="00866EAE">
            <w:pPr>
              <w:pStyle w:val="NoSpacing"/>
              <w:jc w:val="center"/>
              <w:cnfStyle w:val="000000000000" w:firstRow="0" w:lastRow="0" w:firstColumn="0" w:lastColumn="0" w:oddVBand="0" w:evenVBand="0" w:oddHBand="0" w:evenHBand="0" w:firstRowFirstColumn="0" w:firstRowLastColumn="0" w:lastRowFirstColumn="0" w:lastRowLastColumn="0"/>
            </w:pPr>
            <w:r>
              <w:t>12,973.8</w:t>
            </w:r>
          </w:p>
        </w:tc>
      </w:tr>
    </w:tbl>
    <w:p w:rsidR="00A93EC0" w:rsidRPr="0063391F" w:rsidRDefault="008C1EDC">
      <w:pPr>
        <w:rPr>
          <w:sz w:val="20"/>
          <w:szCs w:val="20"/>
        </w:rPr>
      </w:pPr>
      <w:r w:rsidRPr="0063391F">
        <w:rPr>
          <w:i/>
          <w:sz w:val="20"/>
          <w:szCs w:val="20"/>
        </w:rPr>
        <w:t xml:space="preserve">Table 1: </w:t>
      </w:r>
      <w:r w:rsidR="009242F4" w:rsidRPr="0063391F">
        <w:rPr>
          <w:i/>
          <w:sz w:val="20"/>
          <w:szCs w:val="20"/>
        </w:rPr>
        <w:t>CO</w:t>
      </w:r>
      <w:r w:rsidR="009242F4" w:rsidRPr="0063391F">
        <w:rPr>
          <w:i/>
          <w:sz w:val="20"/>
          <w:szCs w:val="20"/>
          <w:vertAlign w:val="subscript"/>
        </w:rPr>
        <w:t>2</w:t>
      </w:r>
      <w:r w:rsidR="009242F4" w:rsidRPr="0063391F">
        <w:rPr>
          <w:i/>
          <w:sz w:val="20"/>
          <w:szCs w:val="20"/>
        </w:rPr>
        <w:t xml:space="preserve"> emission estimates for</w:t>
      </w:r>
      <w:r w:rsidR="00900955" w:rsidRPr="0063391F">
        <w:rPr>
          <w:i/>
          <w:sz w:val="20"/>
          <w:szCs w:val="20"/>
        </w:rPr>
        <w:t xml:space="preserve"> Armagh City, </w:t>
      </w:r>
      <w:r w:rsidRPr="0063391F">
        <w:rPr>
          <w:i/>
          <w:sz w:val="20"/>
          <w:szCs w:val="20"/>
        </w:rPr>
        <w:t>Banbridge and Craigavon Borough</w:t>
      </w:r>
      <w:r w:rsidR="009242F4" w:rsidRPr="0063391F">
        <w:rPr>
          <w:i/>
          <w:sz w:val="20"/>
          <w:szCs w:val="20"/>
        </w:rPr>
        <w:t xml:space="preserve"> </w:t>
      </w:r>
      <w:r w:rsidR="00CA03DD" w:rsidRPr="0063391F">
        <w:rPr>
          <w:i/>
          <w:sz w:val="20"/>
          <w:szCs w:val="20"/>
        </w:rPr>
        <w:t xml:space="preserve">and Northern Ireland </w:t>
      </w:r>
      <w:r w:rsidR="009242F4" w:rsidRPr="0063391F">
        <w:rPr>
          <w:i/>
          <w:sz w:val="20"/>
          <w:szCs w:val="20"/>
        </w:rPr>
        <w:t>2010</w:t>
      </w:r>
      <w:r w:rsidR="008C513E" w:rsidRPr="0063391F">
        <w:rPr>
          <w:i/>
          <w:sz w:val="20"/>
          <w:szCs w:val="20"/>
        </w:rPr>
        <w:t xml:space="preserve"> to 20</w:t>
      </w:r>
      <w:r w:rsidR="00866EAE">
        <w:rPr>
          <w:i/>
          <w:sz w:val="20"/>
          <w:szCs w:val="20"/>
        </w:rPr>
        <w:t>21</w:t>
      </w:r>
      <w:r w:rsidRPr="0063391F">
        <w:rPr>
          <w:i/>
          <w:sz w:val="20"/>
          <w:szCs w:val="20"/>
        </w:rPr>
        <w:t xml:space="preserve">. Source: </w:t>
      </w:r>
      <w:r w:rsidR="009F37F9" w:rsidRPr="0063391F">
        <w:rPr>
          <w:rFonts w:cstheme="minorHAnsi"/>
          <w:i/>
          <w:sz w:val="20"/>
          <w:szCs w:val="20"/>
          <w:shd w:val="clear" w:color="auto" w:fill="FFFFFF"/>
        </w:rPr>
        <w:t>Local Authority territorial carbon dioxide (CO</w:t>
      </w:r>
      <w:r w:rsidR="00866EAE">
        <w:rPr>
          <w:rFonts w:cstheme="minorHAnsi"/>
          <w:i/>
          <w:sz w:val="20"/>
          <w:szCs w:val="20"/>
          <w:shd w:val="clear" w:color="auto" w:fill="FFFFFF"/>
        </w:rPr>
        <w:t>2) emissions estimates 2005-2021</w:t>
      </w:r>
      <w:r w:rsidR="009F37F9" w:rsidRPr="0063391F">
        <w:rPr>
          <w:rFonts w:cstheme="minorHAnsi"/>
          <w:i/>
          <w:sz w:val="20"/>
          <w:szCs w:val="20"/>
          <w:shd w:val="clear" w:color="auto" w:fill="FFFFFF"/>
        </w:rPr>
        <w:t xml:space="preserve"> (</w:t>
      </w:r>
      <w:proofErr w:type="spellStart"/>
      <w:r w:rsidR="009F37F9" w:rsidRPr="0063391F">
        <w:rPr>
          <w:rFonts w:cstheme="minorHAnsi"/>
          <w:i/>
          <w:sz w:val="20"/>
          <w:szCs w:val="20"/>
          <w:shd w:val="clear" w:color="auto" w:fill="FFFFFF"/>
        </w:rPr>
        <w:t>kt</w:t>
      </w:r>
      <w:proofErr w:type="spellEnd"/>
      <w:r w:rsidR="009F37F9" w:rsidRPr="0063391F">
        <w:rPr>
          <w:rFonts w:cstheme="minorHAnsi"/>
          <w:i/>
          <w:sz w:val="20"/>
          <w:szCs w:val="20"/>
          <w:shd w:val="clear" w:color="auto" w:fill="FFFFFF"/>
        </w:rPr>
        <w:t xml:space="preserve"> CO2e)</w:t>
      </w:r>
      <w:r w:rsidR="009242F4" w:rsidRPr="0063391F">
        <w:rPr>
          <w:i/>
          <w:sz w:val="20"/>
          <w:szCs w:val="20"/>
        </w:rPr>
        <w:t>, Department for Business, Energy and Industrial Strategy</w:t>
      </w:r>
      <w:r w:rsidRPr="0063391F">
        <w:rPr>
          <w:i/>
          <w:sz w:val="20"/>
          <w:szCs w:val="20"/>
        </w:rPr>
        <w:t>.</w:t>
      </w:r>
      <w:r w:rsidR="00866EAE">
        <w:rPr>
          <w:i/>
          <w:sz w:val="20"/>
          <w:szCs w:val="20"/>
        </w:rPr>
        <w:t xml:space="preserve"> Note: I</w:t>
      </w:r>
      <w:r w:rsidR="00866EAE" w:rsidRPr="00866EAE">
        <w:rPr>
          <w:i/>
          <w:sz w:val="20"/>
          <w:szCs w:val="20"/>
        </w:rPr>
        <w:t>n these statistics</w:t>
      </w:r>
      <w:r w:rsidR="00866EAE">
        <w:rPr>
          <w:i/>
          <w:sz w:val="20"/>
          <w:szCs w:val="20"/>
        </w:rPr>
        <w:t>,</w:t>
      </w:r>
      <w:r w:rsidR="00866EAE" w:rsidRPr="00866EAE">
        <w:rPr>
          <w:i/>
          <w:sz w:val="20"/>
          <w:szCs w:val="20"/>
        </w:rPr>
        <w:t xml:space="preserve"> the entire time series going back to 2005 is revised each year to take account of methodological improvements, so the estimates presented here supersede previous ones.</w:t>
      </w:r>
    </w:p>
    <w:p w:rsidR="00866EAE" w:rsidRDefault="00866EAE">
      <w:pPr>
        <w:rPr>
          <w:i/>
          <w:sz w:val="20"/>
          <w:szCs w:val="20"/>
        </w:rPr>
      </w:pPr>
    </w:p>
    <w:p w:rsidR="00C6515D" w:rsidRDefault="00866EAE">
      <w:pPr>
        <w:rPr>
          <w:i/>
          <w:sz w:val="20"/>
          <w:szCs w:val="20"/>
        </w:rPr>
      </w:pPr>
      <w:r>
        <w:rPr>
          <w:noProof/>
          <w:lang w:eastAsia="en-GB"/>
        </w:rPr>
        <w:lastRenderedPageBreak/>
        <w:drawing>
          <wp:inline distT="0" distB="0" distL="0" distR="0" wp14:anchorId="7ED4DD18" wp14:editId="4D9B4E91">
            <wp:extent cx="5532120" cy="2926080"/>
            <wp:effectExtent l="0" t="0" r="1143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9F37F9" w:rsidRPr="0063391F">
        <w:rPr>
          <w:i/>
          <w:sz w:val="20"/>
          <w:szCs w:val="20"/>
        </w:rPr>
        <w:t>Figure</w:t>
      </w:r>
      <w:r w:rsidR="009242F4" w:rsidRPr="0063391F">
        <w:rPr>
          <w:i/>
          <w:sz w:val="20"/>
          <w:szCs w:val="20"/>
        </w:rPr>
        <w:t xml:space="preserve"> 1: </w:t>
      </w:r>
      <w:r w:rsidR="00C6515D" w:rsidRPr="0063391F">
        <w:rPr>
          <w:i/>
          <w:sz w:val="20"/>
          <w:szCs w:val="20"/>
        </w:rPr>
        <w:t>CO</w:t>
      </w:r>
      <w:r w:rsidR="00C6515D" w:rsidRPr="0063391F">
        <w:rPr>
          <w:i/>
          <w:sz w:val="20"/>
          <w:szCs w:val="20"/>
          <w:vertAlign w:val="subscript"/>
        </w:rPr>
        <w:t>2</w:t>
      </w:r>
      <w:r w:rsidR="00C6515D" w:rsidRPr="0063391F">
        <w:rPr>
          <w:i/>
          <w:sz w:val="20"/>
          <w:szCs w:val="20"/>
        </w:rPr>
        <w:t xml:space="preserve"> emission estimates for Armagh City, Banbridge and Craigavon Borough a</w:t>
      </w:r>
      <w:r>
        <w:rPr>
          <w:i/>
          <w:sz w:val="20"/>
          <w:szCs w:val="20"/>
        </w:rPr>
        <w:t>nd Northern Ireland 2010 to 2021</w:t>
      </w:r>
      <w:r w:rsidR="00C6515D" w:rsidRPr="0063391F">
        <w:rPr>
          <w:i/>
          <w:sz w:val="20"/>
          <w:szCs w:val="20"/>
        </w:rPr>
        <w:t xml:space="preserve">. Source: </w:t>
      </w:r>
      <w:r w:rsidR="00C6515D" w:rsidRPr="0063391F">
        <w:rPr>
          <w:rFonts w:cstheme="minorHAnsi"/>
          <w:i/>
          <w:sz w:val="20"/>
          <w:szCs w:val="20"/>
          <w:shd w:val="clear" w:color="auto" w:fill="FFFFFF"/>
        </w:rPr>
        <w:t>Local Authority territorial carbon dioxide (CO</w:t>
      </w:r>
      <w:r>
        <w:rPr>
          <w:rFonts w:cstheme="minorHAnsi"/>
          <w:i/>
          <w:sz w:val="20"/>
          <w:szCs w:val="20"/>
          <w:shd w:val="clear" w:color="auto" w:fill="FFFFFF"/>
        </w:rPr>
        <w:t>2) emissions estimates 2005-2021</w:t>
      </w:r>
      <w:r w:rsidR="00C6515D" w:rsidRPr="0063391F">
        <w:rPr>
          <w:rFonts w:cstheme="minorHAnsi"/>
          <w:i/>
          <w:sz w:val="20"/>
          <w:szCs w:val="20"/>
          <w:shd w:val="clear" w:color="auto" w:fill="FFFFFF"/>
        </w:rPr>
        <w:t xml:space="preserve"> (</w:t>
      </w:r>
      <w:proofErr w:type="spellStart"/>
      <w:r w:rsidR="00C6515D" w:rsidRPr="0063391F">
        <w:rPr>
          <w:rFonts w:cstheme="minorHAnsi"/>
          <w:i/>
          <w:sz w:val="20"/>
          <w:szCs w:val="20"/>
          <w:shd w:val="clear" w:color="auto" w:fill="FFFFFF"/>
        </w:rPr>
        <w:t>kt</w:t>
      </w:r>
      <w:proofErr w:type="spellEnd"/>
      <w:r w:rsidR="00C6515D" w:rsidRPr="0063391F">
        <w:rPr>
          <w:rFonts w:cstheme="minorHAnsi"/>
          <w:i/>
          <w:sz w:val="20"/>
          <w:szCs w:val="20"/>
          <w:shd w:val="clear" w:color="auto" w:fill="FFFFFF"/>
        </w:rPr>
        <w:t xml:space="preserve"> CO2e)</w:t>
      </w:r>
      <w:r w:rsidR="00C6515D" w:rsidRPr="0063391F">
        <w:rPr>
          <w:i/>
          <w:sz w:val="20"/>
          <w:szCs w:val="20"/>
        </w:rPr>
        <w:t>, Department for Business, Energy and Industrial Strategy.</w:t>
      </w:r>
    </w:p>
    <w:p w:rsidR="00C6515D" w:rsidRDefault="00C6515D">
      <w:pPr>
        <w:rPr>
          <w:i/>
          <w:sz w:val="20"/>
          <w:szCs w:val="20"/>
        </w:rPr>
      </w:pPr>
    </w:p>
    <w:p w:rsidR="00C6515D" w:rsidRDefault="00445B69">
      <w:pPr>
        <w:rPr>
          <w:i/>
          <w:sz w:val="20"/>
          <w:szCs w:val="20"/>
        </w:rPr>
      </w:pPr>
      <w:r>
        <w:t>The table below shows</w:t>
      </w:r>
      <w:r w:rsidR="00C6515D">
        <w:t xml:space="preserve"> how annual CO</w:t>
      </w:r>
      <w:r w:rsidR="00C6515D" w:rsidRPr="00E4177D">
        <w:rPr>
          <w:vertAlign w:val="subscript"/>
        </w:rPr>
        <w:t>2</w:t>
      </w:r>
      <w:r w:rsidR="00C6515D">
        <w:t xml:space="preserve"> emissions per capita compare between 20</w:t>
      </w:r>
      <w:r>
        <w:t>10</w:t>
      </w:r>
      <w:r w:rsidR="00C6515D">
        <w:t xml:space="preserve"> and 202</w:t>
      </w:r>
      <w:r w:rsidR="00866EAE">
        <w:t>1</w:t>
      </w:r>
      <w:r w:rsidR="00C6515D">
        <w:t xml:space="preserve"> in </w:t>
      </w:r>
      <w:r>
        <w:t>Armagh City, Banbridge and Craigavon Borough and Northern Ireland</w:t>
      </w:r>
      <w:r w:rsidR="00C6515D">
        <w:t xml:space="preserve">. </w:t>
      </w:r>
      <w:r>
        <w:t xml:space="preserve"> </w:t>
      </w:r>
      <w:r w:rsidR="000D1EBE">
        <w:t>Although p</w:t>
      </w:r>
      <w:r w:rsidR="00E4177D">
        <w:t xml:space="preserve">er </w:t>
      </w:r>
      <w:r w:rsidR="000D1EBE">
        <w:t>ca</w:t>
      </w:r>
      <w:r w:rsidR="00E4177D">
        <w:t>pita e</w:t>
      </w:r>
      <w:r w:rsidR="00E4177D" w:rsidRPr="00E4177D">
        <w:t xml:space="preserve">missions have </w:t>
      </w:r>
      <w:r w:rsidR="000D1EBE">
        <w:t xml:space="preserve">increased in the year between 2020 and 2021, they have </w:t>
      </w:r>
      <w:r w:rsidR="00E4177D" w:rsidRPr="00E4177D">
        <w:t>decreased in both the borough and Northern Ireland overall</w:t>
      </w:r>
      <w:r w:rsidR="00E4177D">
        <w:t xml:space="preserve"> </w:t>
      </w:r>
      <w:r w:rsidR="000D1EBE">
        <w:t xml:space="preserve">since 2010.  </w:t>
      </w:r>
      <w:r w:rsidR="00E4177D">
        <w:t>As per Figure 2</w:t>
      </w:r>
      <w:r w:rsidR="00065AA6">
        <w:t>,</w:t>
      </w:r>
      <w:r w:rsidR="000D1EBE">
        <w:t xml:space="preserve"> with the same per capita emissions as the Northern Ireland average, </w:t>
      </w:r>
      <w:r w:rsidR="00065AA6">
        <w:t xml:space="preserve">Armagh City, Banbridge and Craigavon Borough Council </w:t>
      </w:r>
      <w:r w:rsidR="000D1EBE">
        <w:t xml:space="preserve">ranks mid table when compared with the other LGD’s in Northern Ireland.  </w:t>
      </w:r>
      <w:r w:rsidR="000D1EBE">
        <w:t xml:space="preserve">Fermanagh and </w:t>
      </w:r>
      <w:proofErr w:type="spellStart"/>
      <w:r w:rsidR="000D1EBE">
        <w:t>Omagh</w:t>
      </w:r>
      <w:proofErr w:type="spellEnd"/>
      <w:r w:rsidR="000D1EBE">
        <w:t xml:space="preserve"> </w:t>
      </w:r>
      <w:r w:rsidR="00065AA6">
        <w:t xml:space="preserve">has the highest per capita emission rates of all LGD’s in Northern Ireland while Belfast has the lowest.  </w:t>
      </w:r>
      <w:bookmarkStart w:id="0" w:name="_GoBack"/>
      <w:bookmarkEnd w:id="0"/>
    </w:p>
    <w:tbl>
      <w:tblPr>
        <w:tblStyle w:val="GridTable1Light"/>
        <w:tblW w:w="6941" w:type="dxa"/>
        <w:tblLook w:val="04A0" w:firstRow="1" w:lastRow="0" w:firstColumn="1" w:lastColumn="0" w:noHBand="0" w:noVBand="1"/>
        <w:tblCaption w:val="Table 2: CO2 per capita emission estimates for Armagh City, Banbridge and Craigavon Borough and Northern Ireland 2010 to 2020. Source: Local Authority territorial carbon dioxide (CO2) emissions estimates 2005-2020 (kt CO2e), Department for Business, Energy and Industrial Strategy."/>
      </w:tblPr>
      <w:tblGrid>
        <w:gridCol w:w="1360"/>
        <w:gridCol w:w="2746"/>
        <w:gridCol w:w="2835"/>
      </w:tblGrid>
      <w:tr w:rsidR="00C6515D" w:rsidRPr="00C6515D" w:rsidTr="00540959">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1360" w:type="dxa"/>
            <w:hideMark/>
          </w:tcPr>
          <w:p w:rsidR="00C6515D" w:rsidRPr="00C6515D" w:rsidRDefault="00C6515D" w:rsidP="00C6515D">
            <w:pPr>
              <w:rPr>
                <w:rFonts w:eastAsia="Times New Roman" w:cstheme="minorHAnsi"/>
                <w:color w:val="000000"/>
                <w:lang w:eastAsia="en-GB"/>
              </w:rPr>
            </w:pPr>
            <w:r w:rsidRPr="00C6515D">
              <w:rPr>
                <w:rFonts w:eastAsia="Times New Roman" w:cstheme="minorHAnsi"/>
                <w:color w:val="000000"/>
                <w:lang w:eastAsia="en-GB"/>
              </w:rPr>
              <w:t> </w:t>
            </w:r>
          </w:p>
        </w:tc>
        <w:tc>
          <w:tcPr>
            <w:tcW w:w="5581" w:type="dxa"/>
            <w:gridSpan w:val="2"/>
            <w:noWrap/>
            <w:hideMark/>
          </w:tcPr>
          <w:p w:rsidR="00C6515D" w:rsidRPr="00C6515D" w:rsidRDefault="00C6515D" w:rsidP="00C651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C6515D">
              <w:rPr>
                <w:rFonts w:eastAsia="Times New Roman" w:cstheme="minorHAnsi"/>
                <w:color w:val="000000"/>
                <w:lang w:eastAsia="en-GB"/>
              </w:rPr>
              <w:t>CO</w:t>
            </w:r>
            <w:r w:rsidRPr="00C6515D">
              <w:rPr>
                <w:rFonts w:eastAsia="Times New Roman" w:cstheme="minorHAnsi"/>
                <w:color w:val="000000"/>
                <w:vertAlign w:val="subscript"/>
                <w:lang w:eastAsia="en-GB"/>
              </w:rPr>
              <w:t xml:space="preserve">2 </w:t>
            </w:r>
            <w:r w:rsidRPr="00C6515D">
              <w:rPr>
                <w:rFonts w:eastAsia="Times New Roman" w:cstheme="minorHAnsi"/>
                <w:color w:val="000000"/>
                <w:lang w:eastAsia="en-GB"/>
              </w:rPr>
              <w:t>Per Capita Emission Estimates (tCO2e)</w:t>
            </w:r>
          </w:p>
        </w:tc>
      </w:tr>
      <w:tr w:rsidR="00C6515D" w:rsidRPr="00C6515D" w:rsidTr="00E4177D">
        <w:trPr>
          <w:trHeight w:val="576"/>
        </w:trPr>
        <w:tc>
          <w:tcPr>
            <w:cnfStyle w:val="001000000000" w:firstRow="0" w:lastRow="0" w:firstColumn="1" w:lastColumn="0" w:oddVBand="0" w:evenVBand="0" w:oddHBand="0" w:evenHBand="0" w:firstRowFirstColumn="0" w:firstRowLastColumn="0" w:lastRowFirstColumn="0" w:lastRowLastColumn="0"/>
            <w:tcW w:w="1360" w:type="dxa"/>
            <w:hideMark/>
          </w:tcPr>
          <w:p w:rsidR="00C6515D" w:rsidRPr="00C6515D" w:rsidRDefault="00C6515D" w:rsidP="00C6515D">
            <w:pPr>
              <w:rPr>
                <w:rFonts w:eastAsia="Times New Roman" w:cstheme="minorHAnsi"/>
                <w:color w:val="000000"/>
                <w:lang w:eastAsia="en-GB"/>
              </w:rPr>
            </w:pPr>
            <w:r w:rsidRPr="00C6515D">
              <w:rPr>
                <w:rFonts w:eastAsia="Times New Roman" w:cstheme="minorHAnsi"/>
                <w:color w:val="000000"/>
                <w:lang w:eastAsia="en-GB"/>
              </w:rPr>
              <w:t> </w:t>
            </w:r>
          </w:p>
        </w:tc>
        <w:tc>
          <w:tcPr>
            <w:tcW w:w="2746" w:type="dxa"/>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n-GB"/>
              </w:rPr>
            </w:pPr>
            <w:r w:rsidRPr="00C6515D">
              <w:rPr>
                <w:rFonts w:eastAsia="Times New Roman" w:cstheme="minorHAnsi"/>
                <w:b/>
                <w:bCs/>
                <w:color w:val="000000"/>
                <w:lang w:eastAsia="en-GB"/>
              </w:rPr>
              <w:t>Armagh City, Banbridge and Craigavon</w:t>
            </w:r>
          </w:p>
        </w:tc>
        <w:tc>
          <w:tcPr>
            <w:tcW w:w="2835" w:type="dxa"/>
            <w:hideMark/>
          </w:tcPr>
          <w:p w:rsidR="00C6515D" w:rsidRPr="00C6515D" w:rsidRDefault="00C6515D" w:rsidP="00C6515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n-GB"/>
              </w:rPr>
            </w:pPr>
            <w:r w:rsidRPr="00C6515D">
              <w:rPr>
                <w:rFonts w:eastAsia="Times New Roman" w:cstheme="minorHAnsi"/>
                <w:b/>
                <w:bCs/>
                <w:color w:val="000000"/>
                <w:lang w:eastAsia="en-GB"/>
              </w:rPr>
              <w:t>Northern Ireland</w:t>
            </w:r>
          </w:p>
        </w:tc>
      </w:tr>
      <w:tr w:rsidR="00866EAE" w:rsidRPr="00C6515D"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2010</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r>
      <w:tr w:rsidR="00866EAE" w:rsidRPr="00C6515D"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2011</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r>
      <w:tr w:rsidR="00866EAE" w:rsidRPr="00C6515D"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2012</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r>
      <w:tr w:rsidR="00866EAE" w:rsidRPr="00C6515D"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2013</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r>
      <w:tr w:rsidR="00866EAE" w:rsidRPr="00C6515D"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2014</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r>
      <w:tr w:rsidR="00866EAE" w:rsidRPr="00C6515D"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2015</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r>
      <w:tr w:rsidR="00866EAE" w:rsidRPr="00C6515D" w:rsidTr="007F5127">
        <w:trPr>
          <w:trHeight w:val="312"/>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2016</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r>
      <w:tr w:rsidR="00866EAE" w:rsidRPr="00C6515D"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2017</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r>
      <w:tr w:rsidR="00866EAE" w:rsidRPr="00C6515D"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2018</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r>
      <w:tr w:rsidR="00866EAE" w:rsidRPr="00C6515D"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2019</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r>
      <w:tr w:rsidR="00866EAE" w:rsidRPr="00C6515D"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2020</w:t>
            </w:r>
          </w:p>
        </w:tc>
        <w:tc>
          <w:tcPr>
            <w:tcW w:w="2746"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2835" w:type="dxa"/>
            <w:noWrap/>
            <w:vAlign w:val="bottom"/>
            <w:hideMark/>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r>
      <w:tr w:rsidR="00866EAE" w:rsidRPr="00C6515D" w:rsidTr="007F5127">
        <w:trPr>
          <w:trHeight w:val="288"/>
        </w:trPr>
        <w:tc>
          <w:tcPr>
            <w:cnfStyle w:val="001000000000" w:firstRow="0" w:lastRow="0" w:firstColumn="1" w:lastColumn="0" w:oddVBand="0" w:evenVBand="0" w:oddHBand="0" w:evenHBand="0" w:firstRowFirstColumn="0" w:firstRowLastColumn="0" w:lastRowFirstColumn="0" w:lastRowLastColumn="0"/>
            <w:tcW w:w="1360" w:type="dxa"/>
            <w:noWrap/>
            <w:vAlign w:val="center"/>
          </w:tcPr>
          <w:p w:rsidR="00866EAE" w:rsidRPr="00866EAE" w:rsidRDefault="00866EAE" w:rsidP="00866EAE">
            <w:pPr>
              <w:jc w:val="right"/>
              <w:rPr>
                <w:rFonts w:ascii="Calibri" w:hAnsi="Calibri" w:cs="Calibri"/>
                <w:color w:val="000000"/>
              </w:rPr>
            </w:pPr>
            <w:r w:rsidRPr="00866EAE">
              <w:rPr>
                <w:rFonts w:ascii="Calibri" w:hAnsi="Calibri" w:cs="Calibri"/>
                <w:bCs w:val="0"/>
                <w:color w:val="000000"/>
              </w:rPr>
              <w:t>2021</w:t>
            </w:r>
          </w:p>
        </w:tc>
        <w:tc>
          <w:tcPr>
            <w:tcW w:w="2746" w:type="dxa"/>
            <w:noWrap/>
            <w:vAlign w:val="bottom"/>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2835" w:type="dxa"/>
            <w:noWrap/>
            <w:vAlign w:val="bottom"/>
          </w:tcPr>
          <w:p w:rsidR="00866EAE" w:rsidRDefault="00866EAE" w:rsidP="00866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r>
    </w:tbl>
    <w:p w:rsidR="00065AA6" w:rsidRDefault="00C6515D" w:rsidP="00C6515D">
      <w:pPr>
        <w:rPr>
          <w:i/>
          <w:sz w:val="20"/>
          <w:szCs w:val="20"/>
        </w:rPr>
      </w:pPr>
      <w:r w:rsidRPr="0063391F">
        <w:rPr>
          <w:i/>
          <w:sz w:val="20"/>
          <w:szCs w:val="20"/>
        </w:rPr>
        <w:t>Table 2: CO</w:t>
      </w:r>
      <w:r w:rsidRPr="0063391F">
        <w:rPr>
          <w:i/>
          <w:sz w:val="20"/>
          <w:szCs w:val="20"/>
          <w:vertAlign w:val="subscript"/>
        </w:rPr>
        <w:t>2</w:t>
      </w:r>
      <w:r w:rsidRPr="0063391F">
        <w:rPr>
          <w:i/>
          <w:sz w:val="20"/>
          <w:szCs w:val="20"/>
        </w:rPr>
        <w:t xml:space="preserve"> per capita emission estimates for Armagh City, Banbridge and Craigavon Borough and Northern Ireland 2010 to 202</w:t>
      </w:r>
      <w:r w:rsidR="00866EAE">
        <w:rPr>
          <w:i/>
          <w:sz w:val="20"/>
          <w:szCs w:val="20"/>
        </w:rPr>
        <w:t>1</w:t>
      </w:r>
      <w:r w:rsidRPr="0063391F">
        <w:rPr>
          <w:i/>
          <w:sz w:val="20"/>
          <w:szCs w:val="20"/>
        </w:rPr>
        <w:t xml:space="preserve">. Source: </w:t>
      </w:r>
      <w:r w:rsidRPr="0063391F">
        <w:rPr>
          <w:rFonts w:cstheme="minorHAnsi"/>
          <w:i/>
          <w:sz w:val="20"/>
          <w:szCs w:val="20"/>
          <w:shd w:val="clear" w:color="auto" w:fill="FFFFFF"/>
        </w:rPr>
        <w:t>Local Authority territorial carbon dioxide (CO2) emissions estimates 2005-202</w:t>
      </w:r>
      <w:r w:rsidR="00866EAE">
        <w:rPr>
          <w:rFonts w:cstheme="minorHAnsi"/>
          <w:i/>
          <w:sz w:val="20"/>
          <w:szCs w:val="20"/>
          <w:shd w:val="clear" w:color="auto" w:fill="FFFFFF"/>
        </w:rPr>
        <w:t>1</w:t>
      </w:r>
      <w:r w:rsidRPr="0063391F">
        <w:rPr>
          <w:rFonts w:cstheme="minorHAnsi"/>
          <w:i/>
          <w:sz w:val="20"/>
          <w:szCs w:val="20"/>
          <w:shd w:val="clear" w:color="auto" w:fill="FFFFFF"/>
        </w:rPr>
        <w:t xml:space="preserve"> (</w:t>
      </w:r>
      <w:proofErr w:type="spellStart"/>
      <w:r w:rsidRPr="0063391F">
        <w:rPr>
          <w:rFonts w:cstheme="minorHAnsi"/>
          <w:i/>
          <w:sz w:val="20"/>
          <w:szCs w:val="20"/>
          <w:shd w:val="clear" w:color="auto" w:fill="FFFFFF"/>
        </w:rPr>
        <w:t>kt</w:t>
      </w:r>
      <w:proofErr w:type="spellEnd"/>
      <w:r w:rsidRPr="0063391F">
        <w:rPr>
          <w:rFonts w:cstheme="minorHAnsi"/>
          <w:i/>
          <w:sz w:val="20"/>
          <w:szCs w:val="20"/>
          <w:shd w:val="clear" w:color="auto" w:fill="FFFFFF"/>
        </w:rPr>
        <w:t xml:space="preserve"> CO2e)</w:t>
      </w:r>
      <w:r w:rsidRPr="0063391F">
        <w:rPr>
          <w:i/>
          <w:sz w:val="20"/>
          <w:szCs w:val="20"/>
        </w:rPr>
        <w:t>, Department for Business, Energy and Industrial Strategy.</w:t>
      </w:r>
    </w:p>
    <w:p w:rsidR="0063391F" w:rsidRDefault="0063391F" w:rsidP="00C6515D">
      <w:pPr>
        <w:rPr>
          <w:i/>
          <w:sz w:val="20"/>
          <w:szCs w:val="20"/>
        </w:rPr>
      </w:pPr>
    </w:p>
    <w:p w:rsidR="00445B69" w:rsidRDefault="000D1EBE" w:rsidP="00445B69">
      <w:pPr>
        <w:rPr>
          <w:i/>
          <w:sz w:val="20"/>
          <w:szCs w:val="20"/>
        </w:rPr>
      </w:pPr>
      <w:r>
        <w:rPr>
          <w:noProof/>
          <w:lang w:eastAsia="en-GB"/>
        </w:rPr>
        <w:drawing>
          <wp:inline distT="0" distB="0" distL="0" distR="0" wp14:anchorId="63AD4632" wp14:editId="65202DA6">
            <wp:extent cx="5646420" cy="3048000"/>
            <wp:effectExtent l="0" t="0" r="1143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45B69" w:rsidRPr="0063391F">
        <w:rPr>
          <w:i/>
          <w:sz w:val="20"/>
          <w:szCs w:val="20"/>
        </w:rPr>
        <w:t>Figure 2: CO</w:t>
      </w:r>
      <w:r w:rsidR="00445B69" w:rsidRPr="0063391F">
        <w:rPr>
          <w:i/>
          <w:sz w:val="20"/>
          <w:szCs w:val="20"/>
          <w:vertAlign w:val="subscript"/>
        </w:rPr>
        <w:t>2</w:t>
      </w:r>
      <w:r w:rsidR="00445B69" w:rsidRPr="0063391F">
        <w:rPr>
          <w:i/>
          <w:sz w:val="20"/>
          <w:szCs w:val="20"/>
        </w:rPr>
        <w:t xml:space="preserve"> per capita emission estimates </w:t>
      </w:r>
      <w:r w:rsidR="00065AA6" w:rsidRPr="0063391F">
        <w:rPr>
          <w:i/>
          <w:sz w:val="20"/>
          <w:szCs w:val="20"/>
        </w:rPr>
        <w:t>by LGD</w:t>
      </w:r>
      <w:r w:rsidR="00445B69" w:rsidRPr="0063391F">
        <w:rPr>
          <w:i/>
          <w:sz w:val="20"/>
          <w:szCs w:val="20"/>
        </w:rPr>
        <w:t xml:space="preserve"> and Northern Ireland 2010 to 202</w:t>
      </w:r>
      <w:r>
        <w:rPr>
          <w:i/>
          <w:sz w:val="20"/>
          <w:szCs w:val="20"/>
        </w:rPr>
        <w:t>1</w:t>
      </w:r>
      <w:r w:rsidR="00445B69" w:rsidRPr="0063391F">
        <w:rPr>
          <w:i/>
          <w:sz w:val="20"/>
          <w:szCs w:val="20"/>
        </w:rPr>
        <w:t xml:space="preserve">. Source: </w:t>
      </w:r>
      <w:r w:rsidR="00445B69" w:rsidRPr="0063391F">
        <w:rPr>
          <w:rFonts w:cstheme="minorHAnsi"/>
          <w:i/>
          <w:sz w:val="20"/>
          <w:szCs w:val="20"/>
          <w:shd w:val="clear" w:color="auto" w:fill="FFFFFF"/>
        </w:rPr>
        <w:t>Local Authority territorial carbon dioxide (CO2) emissions estimates 2005-202</w:t>
      </w:r>
      <w:r>
        <w:rPr>
          <w:rFonts w:cstheme="minorHAnsi"/>
          <w:i/>
          <w:sz w:val="20"/>
          <w:szCs w:val="20"/>
          <w:shd w:val="clear" w:color="auto" w:fill="FFFFFF"/>
        </w:rPr>
        <w:t>1</w:t>
      </w:r>
      <w:r w:rsidR="00445B69" w:rsidRPr="0063391F">
        <w:rPr>
          <w:rFonts w:cstheme="minorHAnsi"/>
          <w:i/>
          <w:sz w:val="20"/>
          <w:szCs w:val="20"/>
          <w:shd w:val="clear" w:color="auto" w:fill="FFFFFF"/>
        </w:rPr>
        <w:t xml:space="preserve"> (</w:t>
      </w:r>
      <w:proofErr w:type="spellStart"/>
      <w:r w:rsidR="00445B69" w:rsidRPr="0063391F">
        <w:rPr>
          <w:rFonts w:cstheme="minorHAnsi"/>
          <w:i/>
          <w:sz w:val="20"/>
          <w:szCs w:val="20"/>
          <w:shd w:val="clear" w:color="auto" w:fill="FFFFFF"/>
        </w:rPr>
        <w:t>kt</w:t>
      </w:r>
      <w:proofErr w:type="spellEnd"/>
      <w:r w:rsidR="00445B69" w:rsidRPr="0063391F">
        <w:rPr>
          <w:rFonts w:cstheme="minorHAnsi"/>
          <w:i/>
          <w:sz w:val="20"/>
          <w:szCs w:val="20"/>
          <w:shd w:val="clear" w:color="auto" w:fill="FFFFFF"/>
        </w:rPr>
        <w:t xml:space="preserve"> CO2e)</w:t>
      </w:r>
      <w:r w:rsidR="00445B69" w:rsidRPr="0063391F">
        <w:rPr>
          <w:i/>
          <w:sz w:val="20"/>
          <w:szCs w:val="20"/>
        </w:rPr>
        <w:t>, Department for Business, Energy and Industrial Strategy.</w:t>
      </w:r>
    </w:p>
    <w:p w:rsidR="0063391F" w:rsidRDefault="0063391F">
      <w:pPr>
        <w:rPr>
          <w:i/>
          <w:sz w:val="20"/>
          <w:szCs w:val="20"/>
        </w:rPr>
      </w:pPr>
    </w:p>
    <w:p w:rsidR="009D2ED9" w:rsidRPr="00002A8E" w:rsidRDefault="00002A8E">
      <w:pPr>
        <w:rPr>
          <w:i/>
          <w:sz w:val="20"/>
          <w:szCs w:val="20"/>
        </w:rPr>
      </w:pPr>
      <w:r>
        <w:t>Furthe</w:t>
      </w:r>
      <w:r w:rsidR="009242F4">
        <w:t>r information on CO</w:t>
      </w:r>
      <w:r w:rsidR="009242F4" w:rsidRPr="009242F4">
        <w:rPr>
          <w:vertAlign w:val="subscript"/>
        </w:rPr>
        <w:t>2</w:t>
      </w:r>
      <w:r>
        <w:t xml:space="preserve"> </w:t>
      </w:r>
      <w:r w:rsidR="009242F4">
        <w:t xml:space="preserve">emission estimates </w:t>
      </w:r>
      <w:r>
        <w:t>can be found via the following link:</w:t>
      </w:r>
    </w:p>
    <w:p w:rsidR="00A70F15" w:rsidRDefault="000D1EBE" w:rsidP="009242F4">
      <w:pPr>
        <w:rPr>
          <w:i/>
          <w:sz w:val="20"/>
          <w:szCs w:val="20"/>
        </w:rPr>
      </w:pPr>
      <w:hyperlink r:id="rId9" w:history="1">
        <w:r w:rsidR="009242F4">
          <w:rPr>
            <w:rStyle w:val="Hyperlink"/>
          </w:rPr>
          <w:t>https://www.gov.uk/government/collections/uk-local-authority-and-regional-carbon-dioxide-emissions-national-statistics</w:t>
        </w:r>
      </w:hyperlink>
    </w:p>
    <w:sectPr w:rsidR="00A70F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FF" w:rsidRDefault="009265FF" w:rsidP="009470B4">
      <w:pPr>
        <w:spacing w:after="0" w:line="240" w:lineRule="auto"/>
      </w:pPr>
      <w:r>
        <w:separator/>
      </w:r>
    </w:p>
  </w:endnote>
  <w:endnote w:type="continuationSeparator" w:id="0">
    <w:p w:rsidR="009265FF" w:rsidRDefault="009265FF"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84376"/>
      <w:docPartObj>
        <w:docPartGallery w:val="Page Numbers (Bottom of Page)"/>
        <w:docPartUnique/>
      </w:docPartObj>
    </w:sdtPr>
    <w:sdtEndPr>
      <w:rPr>
        <w:noProof/>
      </w:rPr>
    </w:sdtEndPr>
    <w:sdtContent>
      <w:p w:rsidR="009470B4" w:rsidRDefault="009470B4">
        <w:pPr>
          <w:pStyle w:val="Footer"/>
          <w:jc w:val="right"/>
        </w:pPr>
        <w:r>
          <w:fldChar w:fldCharType="begin"/>
        </w:r>
        <w:r>
          <w:instrText xml:space="preserve"> PAGE   \* MERGEFORMAT </w:instrText>
        </w:r>
        <w:r>
          <w:fldChar w:fldCharType="separate"/>
        </w:r>
        <w:r w:rsidR="000D1EBE">
          <w:rPr>
            <w:noProof/>
          </w:rPr>
          <w:t>3</w:t>
        </w:r>
        <w:r>
          <w:rPr>
            <w:noProof/>
          </w:rPr>
          <w:fldChar w:fldCharType="end"/>
        </w:r>
      </w:p>
    </w:sdtContent>
  </w:sdt>
  <w:p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FF" w:rsidRDefault="009265FF" w:rsidP="009470B4">
      <w:pPr>
        <w:spacing w:after="0" w:line="240" w:lineRule="auto"/>
      </w:pPr>
      <w:r>
        <w:separator/>
      </w:r>
    </w:p>
  </w:footnote>
  <w:footnote w:type="continuationSeparator" w:id="0">
    <w:p w:rsidR="009265FF" w:rsidRDefault="009265FF" w:rsidP="009470B4">
      <w:pPr>
        <w:spacing w:after="0" w:line="240" w:lineRule="auto"/>
      </w:pPr>
      <w:r>
        <w:continuationSeparator/>
      </w:r>
    </w:p>
  </w:footnote>
  <w:footnote w:id="1">
    <w:p w:rsidR="004F4CC1" w:rsidRDefault="004F4CC1">
      <w:pPr>
        <w:pStyle w:val="FootnoteText"/>
      </w:pPr>
      <w:r>
        <w:rPr>
          <w:rStyle w:val="FootnoteReference"/>
        </w:rPr>
        <w:footnoteRef/>
      </w:r>
      <w:r>
        <w:t xml:space="preserve"> </w:t>
      </w:r>
      <w:r w:rsidR="00866EAE" w:rsidRPr="00866EAE">
        <w:t>The greenhouse gases covered by these statistics are carbon dioxide, methane and nitrous oxide. In accordance with international reporting and carbon trading protocols, each of these gases is weighted by its global warming potential (GWP), so that total greenhouse gas emissions can be reported on a consistent basis (in carbon dioxide equivalent units</w:t>
      </w:r>
      <w:r w:rsidR="00866EAE">
        <w:t xml:space="preserve"> (CO2e)</w:t>
      </w:r>
      <w:r w:rsidR="00866EAE" w:rsidRPr="00866EAE">
        <w:t>). The GWP for each gas is defined as its warming influence relative to that of carbon dioxide. The GWPs used in these statistics are from Working Group 1 of the IPCC Fifth Assessment Report: Climate Change 2013.</w:t>
      </w:r>
      <w:r>
        <w:t xml:space="preserve"> </w:t>
      </w:r>
      <w:r w:rsidR="00866EAE">
        <w:t>(</w:t>
      </w:r>
      <w:hyperlink r:id="rId1" w:history="1">
        <w:r w:rsidR="00866EAE">
          <w:rPr>
            <w:rStyle w:val="Hyperlink"/>
          </w:rPr>
          <w:t>UK local authority and regional greenhouse gas emissions national statistics, 2005 to 2021 - GOV.UK (www.gov.uk)</w:t>
        </w:r>
      </w:hyperlink>
      <w:r w:rsidR="00866EA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87"/>
    <w:rsid w:val="00002A8E"/>
    <w:rsid w:val="00015C89"/>
    <w:rsid w:val="00065AA6"/>
    <w:rsid w:val="000C7CE8"/>
    <w:rsid w:val="000D1EBE"/>
    <w:rsid w:val="0010425E"/>
    <w:rsid w:val="001464FA"/>
    <w:rsid w:val="00154E71"/>
    <w:rsid w:val="0018519D"/>
    <w:rsid w:val="00265E55"/>
    <w:rsid w:val="002B13D9"/>
    <w:rsid w:val="002F317F"/>
    <w:rsid w:val="00333FE6"/>
    <w:rsid w:val="00381E1E"/>
    <w:rsid w:val="00445B69"/>
    <w:rsid w:val="00470647"/>
    <w:rsid w:val="00494448"/>
    <w:rsid w:val="004B5004"/>
    <w:rsid w:val="004B5682"/>
    <w:rsid w:val="004D22DB"/>
    <w:rsid w:val="004F4CC1"/>
    <w:rsid w:val="00505DD9"/>
    <w:rsid w:val="005367EC"/>
    <w:rsid w:val="00540959"/>
    <w:rsid w:val="00543077"/>
    <w:rsid w:val="00543809"/>
    <w:rsid w:val="00546B94"/>
    <w:rsid w:val="005F612B"/>
    <w:rsid w:val="0063391F"/>
    <w:rsid w:val="00663F53"/>
    <w:rsid w:val="006E4145"/>
    <w:rsid w:val="0079173A"/>
    <w:rsid w:val="007C1C25"/>
    <w:rsid w:val="007C7AFB"/>
    <w:rsid w:val="007F2EBB"/>
    <w:rsid w:val="00820F29"/>
    <w:rsid w:val="008353FB"/>
    <w:rsid w:val="00836E9E"/>
    <w:rsid w:val="0084512A"/>
    <w:rsid w:val="00866EAE"/>
    <w:rsid w:val="008C1EDC"/>
    <w:rsid w:val="008C3787"/>
    <w:rsid w:val="008C513E"/>
    <w:rsid w:val="008F0059"/>
    <w:rsid w:val="008F1AD8"/>
    <w:rsid w:val="00900955"/>
    <w:rsid w:val="009242F4"/>
    <w:rsid w:val="009265FF"/>
    <w:rsid w:val="009470B4"/>
    <w:rsid w:val="0098101A"/>
    <w:rsid w:val="009A4629"/>
    <w:rsid w:val="009D2ED9"/>
    <w:rsid w:val="009F37F9"/>
    <w:rsid w:val="00A00B0F"/>
    <w:rsid w:val="00A0792D"/>
    <w:rsid w:val="00A64F03"/>
    <w:rsid w:val="00A70F15"/>
    <w:rsid w:val="00A76810"/>
    <w:rsid w:val="00A93EC0"/>
    <w:rsid w:val="00C17259"/>
    <w:rsid w:val="00C6515D"/>
    <w:rsid w:val="00CA03DD"/>
    <w:rsid w:val="00CA73A0"/>
    <w:rsid w:val="00CB5416"/>
    <w:rsid w:val="00D10A1C"/>
    <w:rsid w:val="00D14FF4"/>
    <w:rsid w:val="00D82855"/>
    <w:rsid w:val="00DC0E4D"/>
    <w:rsid w:val="00E00CE7"/>
    <w:rsid w:val="00E4177D"/>
    <w:rsid w:val="00F1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D32C"/>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unhideWhenUsed/>
    <w:rsid w:val="009D2ED9"/>
    <w:rPr>
      <w:color w:val="0000FF"/>
      <w:u w:val="single"/>
    </w:rPr>
  </w:style>
  <w:style w:type="character" w:styleId="FollowedHyperlink">
    <w:name w:val="FollowedHyperlink"/>
    <w:basedOn w:val="DefaultParagraphFont"/>
    <w:uiPriority w:val="99"/>
    <w:semiHidden/>
    <w:unhideWhenUsed/>
    <w:rsid w:val="00A00B0F"/>
    <w:rPr>
      <w:color w:val="954F72" w:themeColor="followedHyperlink"/>
      <w:u w:val="single"/>
    </w:rPr>
  </w:style>
  <w:style w:type="table" w:styleId="GridTable1Light">
    <w:name w:val="Grid Table 1 Light"/>
    <w:basedOn w:val="TableNormal"/>
    <w:uiPriority w:val="46"/>
    <w:rsid w:val="00663F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33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1F"/>
    <w:rPr>
      <w:rFonts w:ascii="Segoe UI" w:hAnsi="Segoe UI" w:cs="Segoe UI"/>
      <w:sz w:val="18"/>
      <w:szCs w:val="18"/>
    </w:rPr>
  </w:style>
  <w:style w:type="paragraph" w:styleId="FootnoteText">
    <w:name w:val="footnote text"/>
    <w:basedOn w:val="Normal"/>
    <w:link w:val="FootnoteTextChar"/>
    <w:uiPriority w:val="99"/>
    <w:semiHidden/>
    <w:unhideWhenUsed/>
    <w:rsid w:val="004F4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CC1"/>
    <w:rPr>
      <w:sz w:val="20"/>
      <w:szCs w:val="20"/>
    </w:rPr>
  </w:style>
  <w:style w:type="character" w:styleId="FootnoteReference">
    <w:name w:val="footnote reference"/>
    <w:basedOn w:val="DefaultParagraphFont"/>
    <w:uiPriority w:val="99"/>
    <w:semiHidden/>
    <w:unhideWhenUsed/>
    <w:rsid w:val="004F4CC1"/>
    <w:rPr>
      <w:vertAlign w:val="superscript"/>
    </w:rPr>
  </w:style>
  <w:style w:type="paragraph" w:styleId="NoSpacing">
    <w:name w:val="No Spacing"/>
    <w:uiPriority w:val="1"/>
    <w:qFormat/>
    <w:rsid w:val="00866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740444110">
      <w:bodyDiv w:val="1"/>
      <w:marLeft w:val="0"/>
      <w:marRight w:val="0"/>
      <w:marTop w:val="0"/>
      <w:marBottom w:val="0"/>
      <w:divBdr>
        <w:top w:val="none" w:sz="0" w:space="0" w:color="auto"/>
        <w:left w:val="none" w:sz="0" w:space="0" w:color="auto"/>
        <w:bottom w:val="none" w:sz="0" w:space="0" w:color="auto"/>
        <w:right w:val="none" w:sz="0" w:space="0" w:color="auto"/>
      </w:divBdr>
    </w:div>
    <w:div w:id="813108904">
      <w:bodyDiv w:val="1"/>
      <w:marLeft w:val="0"/>
      <w:marRight w:val="0"/>
      <w:marTop w:val="0"/>
      <w:marBottom w:val="0"/>
      <w:divBdr>
        <w:top w:val="none" w:sz="0" w:space="0" w:color="auto"/>
        <w:left w:val="none" w:sz="0" w:space="0" w:color="auto"/>
        <w:bottom w:val="none" w:sz="0" w:space="0" w:color="auto"/>
        <w:right w:val="none" w:sz="0" w:space="0" w:color="auto"/>
      </w:divBdr>
      <w:divsChild>
        <w:div w:id="1308321507">
          <w:marLeft w:val="0"/>
          <w:marRight w:val="0"/>
          <w:marTop w:val="0"/>
          <w:marBottom w:val="0"/>
          <w:divBdr>
            <w:top w:val="none" w:sz="0" w:space="0" w:color="auto"/>
            <w:left w:val="none" w:sz="0" w:space="0" w:color="auto"/>
            <w:bottom w:val="none" w:sz="0" w:space="0" w:color="auto"/>
            <w:right w:val="none" w:sz="0" w:space="0" w:color="auto"/>
          </w:divBdr>
        </w:div>
        <w:div w:id="975841327">
          <w:marLeft w:val="0"/>
          <w:marRight w:val="0"/>
          <w:marTop w:val="0"/>
          <w:marBottom w:val="0"/>
          <w:divBdr>
            <w:top w:val="none" w:sz="0" w:space="0" w:color="auto"/>
            <w:left w:val="none" w:sz="0" w:space="0" w:color="auto"/>
            <w:bottom w:val="none" w:sz="0" w:space="0" w:color="auto"/>
            <w:right w:val="none" w:sz="0" w:space="0" w:color="auto"/>
          </w:divBdr>
        </w:div>
      </w:divsChild>
    </w:div>
    <w:div w:id="1262565899">
      <w:bodyDiv w:val="1"/>
      <w:marLeft w:val="0"/>
      <w:marRight w:val="0"/>
      <w:marTop w:val="0"/>
      <w:marBottom w:val="0"/>
      <w:divBdr>
        <w:top w:val="none" w:sz="0" w:space="0" w:color="auto"/>
        <w:left w:val="none" w:sz="0" w:space="0" w:color="auto"/>
        <w:bottom w:val="none" w:sz="0" w:space="0" w:color="auto"/>
        <w:right w:val="none" w:sz="0" w:space="0" w:color="auto"/>
      </w:divBdr>
      <w:divsChild>
        <w:div w:id="1032726579">
          <w:marLeft w:val="0"/>
          <w:marRight w:val="0"/>
          <w:marTop w:val="0"/>
          <w:marBottom w:val="0"/>
          <w:divBdr>
            <w:top w:val="none" w:sz="0" w:space="0" w:color="auto"/>
            <w:left w:val="none" w:sz="0" w:space="0" w:color="auto"/>
            <w:bottom w:val="none" w:sz="0" w:space="0" w:color="auto"/>
            <w:right w:val="none" w:sz="0" w:space="0" w:color="auto"/>
          </w:divBdr>
        </w:div>
        <w:div w:id="1243374791">
          <w:marLeft w:val="0"/>
          <w:marRight w:val="0"/>
          <w:marTop w:val="0"/>
          <w:marBottom w:val="0"/>
          <w:divBdr>
            <w:top w:val="none" w:sz="0" w:space="0" w:color="auto"/>
            <w:left w:val="none" w:sz="0" w:space="0" w:color="auto"/>
            <w:bottom w:val="none" w:sz="0" w:space="0" w:color="auto"/>
            <w:right w:val="none" w:sz="0" w:space="0" w:color="auto"/>
          </w:divBdr>
        </w:div>
      </w:divsChild>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collections/uk-local-authority-and-regional-carbon-dioxide-emissions-national-statist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uk-local-authority-and-regional-greenhouse-gas-emissions-national-statistics-2005-to-2021"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cnsfilesvr2\groups$\community_planning\2.%20Community%20&amp;%20Strategic%20Planning%20JD\DATA%20ANALYST\2.%20Statistics%20for%20Website\Environment%20and%20Heritage\2022%20Updates\Co2%20emissions%20update%20June%202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cnsfilesvr2\groups$\community_planning\2.%20Community%20&amp;%20Strategic%20Planning%20JD\DATA%20ANALYST\2.%20Statistics%20for%20Website\Environment%20and%20Heritage\2022%20Updates\Co2%20emissions%20update%20June%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5754483648574"/>
          <c:y val="4.6005855290673359E-2"/>
          <c:w val="0.83982252597787932"/>
          <c:h val="0.85697085856739674"/>
        </c:manualLayout>
      </c:layout>
      <c:lineChart>
        <c:grouping val="standard"/>
        <c:varyColors val="0"/>
        <c:ser>
          <c:idx val="0"/>
          <c:order val="0"/>
          <c:tx>
            <c:strRef>
              <c:f>Sheet1!$C$4</c:f>
              <c:strCache>
                <c:ptCount val="1"/>
                <c:pt idx="0">
                  <c:v>Armagh City, Banbridge and Craigavon</c:v>
                </c:pt>
              </c:strCache>
            </c:strRef>
          </c:tx>
          <c:spPr>
            <a:ln w="28575" cap="rnd">
              <a:solidFill>
                <a:schemeClr val="accent1"/>
              </a:solidFill>
              <a:round/>
            </a:ln>
            <a:effectLst/>
          </c:spPr>
          <c:marker>
            <c:symbol val="diamond"/>
            <c:size val="10"/>
            <c:spPr>
              <a:solidFill>
                <a:schemeClr val="accent1"/>
              </a:solidFill>
              <a:ln w="9525">
                <a:solidFill>
                  <a:schemeClr val="accent1"/>
                </a:solidFill>
              </a:ln>
              <a:effectLst/>
            </c:spPr>
          </c:marker>
          <c:cat>
            <c:numRef>
              <c:f>Sheet1!$B$5:$B$16</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Sheet1!$C$5:$C$16</c:f>
              <c:numCache>
                <c:formatCode>#,##0.0</c:formatCode>
                <c:ptCount val="12"/>
                <c:pt idx="0">
                  <c:v>1968.6681626295408</c:v>
                </c:pt>
                <c:pt idx="1">
                  <c:v>1819.8908897771271</c:v>
                </c:pt>
                <c:pt idx="2">
                  <c:v>1829.1481656952544</c:v>
                </c:pt>
                <c:pt idx="3">
                  <c:v>1821.6837087906877</c:v>
                </c:pt>
                <c:pt idx="4">
                  <c:v>1717.1755144600061</c:v>
                </c:pt>
                <c:pt idx="5">
                  <c:v>1678.8837012174001</c:v>
                </c:pt>
                <c:pt idx="6">
                  <c:v>1600.812846093608</c:v>
                </c:pt>
                <c:pt idx="7">
                  <c:v>1563.1271835696302</c:v>
                </c:pt>
                <c:pt idx="8">
                  <c:v>1563.1629940715698</c:v>
                </c:pt>
                <c:pt idx="9">
                  <c:v>1516.4352487450249</c:v>
                </c:pt>
                <c:pt idx="10">
                  <c:v>1403.6611972076525</c:v>
                </c:pt>
                <c:pt idx="11">
                  <c:v>1487.1313721397935</c:v>
                </c:pt>
              </c:numCache>
            </c:numRef>
          </c:val>
          <c:smooth val="0"/>
          <c:extLst>
            <c:ext xmlns:c16="http://schemas.microsoft.com/office/drawing/2014/chart" uri="{C3380CC4-5D6E-409C-BE32-E72D297353CC}">
              <c16:uniqueId val="{00000000-7EAF-4F85-BC80-40EB65F67717}"/>
            </c:ext>
          </c:extLst>
        </c:ser>
        <c:dLbls>
          <c:showLegendKey val="0"/>
          <c:showVal val="0"/>
          <c:showCatName val="0"/>
          <c:showSerName val="0"/>
          <c:showPercent val="0"/>
          <c:showBubbleSize val="0"/>
        </c:dLbls>
        <c:marker val="1"/>
        <c:smooth val="0"/>
        <c:axId val="1749879584"/>
        <c:axId val="1"/>
      </c:lineChart>
      <c:catAx>
        <c:axId val="174987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max val="2000"/>
        </c:scaling>
        <c:delete val="0"/>
        <c:axPos val="l"/>
        <c:numFmt formatCode="#,##0"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8795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082234577400825"/>
          <c:y val="4.5662100456621002E-2"/>
          <c:w val="0.58106842081918308"/>
          <c:h val="0.78331976871508746"/>
        </c:manualLayout>
      </c:layout>
      <c:barChart>
        <c:barDir val="bar"/>
        <c:grouping val="clustered"/>
        <c:varyColors val="0"/>
        <c:ser>
          <c:idx val="0"/>
          <c:order val="0"/>
          <c:tx>
            <c:strRef>
              <c:f>Sheet1!$D$41</c:f>
              <c:strCache>
                <c:ptCount val="1"/>
                <c:pt idx="0">
                  <c:v>Per Capita Emissions (tCO2e)</c:v>
                </c:pt>
              </c:strCache>
            </c:strRef>
          </c:tx>
          <c:spPr>
            <a:solidFill>
              <a:srgbClr val="5B9BD5"/>
            </a:solidFill>
            <a:ln w="25400">
              <a:noFill/>
            </a:ln>
          </c:spPr>
          <c:invertIfNegative val="0"/>
          <c:dPt>
            <c:idx val="4"/>
            <c:invertIfNegative val="0"/>
            <c:bubble3D val="0"/>
            <c:spPr>
              <a:solidFill>
                <a:schemeClr val="accent1"/>
              </a:solidFill>
              <a:ln w="25400">
                <a:noFill/>
              </a:ln>
            </c:spPr>
            <c:extLst>
              <c:ext xmlns:c16="http://schemas.microsoft.com/office/drawing/2014/chart" uri="{C3380CC4-5D6E-409C-BE32-E72D297353CC}">
                <c16:uniqueId val="{00000001-877F-4A5B-86D5-FD00ABA701AD}"/>
              </c:ext>
            </c:extLst>
          </c:dPt>
          <c:dPt>
            <c:idx val="5"/>
            <c:invertIfNegative val="0"/>
            <c:bubble3D val="0"/>
            <c:spPr>
              <a:solidFill>
                <a:schemeClr val="accent6">
                  <a:lumMod val="60000"/>
                  <a:lumOff val="40000"/>
                </a:schemeClr>
              </a:solidFill>
              <a:ln w="25400">
                <a:noFill/>
              </a:ln>
            </c:spPr>
            <c:extLst>
              <c:ext xmlns:c16="http://schemas.microsoft.com/office/drawing/2014/chart" uri="{C3380CC4-5D6E-409C-BE32-E72D297353CC}">
                <c16:uniqueId val="{00000003-877F-4A5B-86D5-FD00ABA701AD}"/>
              </c:ext>
            </c:extLst>
          </c:dPt>
          <c:dPt>
            <c:idx val="6"/>
            <c:invertIfNegative val="0"/>
            <c:bubble3D val="0"/>
            <c:spPr>
              <a:solidFill>
                <a:schemeClr val="accent2"/>
              </a:solidFill>
              <a:ln w="25400">
                <a:noFill/>
              </a:ln>
            </c:spPr>
            <c:extLst>
              <c:ext xmlns:c16="http://schemas.microsoft.com/office/drawing/2014/chart" uri="{C3380CC4-5D6E-409C-BE32-E72D297353CC}">
                <c16:uniqueId val="{00000005-877F-4A5B-86D5-FD00ABA701AD}"/>
              </c:ext>
            </c:extLst>
          </c:dPt>
          <c:dPt>
            <c:idx val="9"/>
            <c:invertIfNegative val="0"/>
            <c:bubble3D val="0"/>
            <c:spPr>
              <a:solidFill>
                <a:schemeClr val="accent1"/>
              </a:solidFill>
              <a:ln>
                <a:noFill/>
              </a:ln>
              <a:effectLst/>
            </c:spPr>
            <c:extLst>
              <c:ext xmlns:c16="http://schemas.microsoft.com/office/drawing/2014/chart" uri="{C3380CC4-5D6E-409C-BE32-E72D297353CC}">
                <c16:uniqueId val="{00000007-877F-4A5B-86D5-FD00ABA701AD}"/>
              </c:ext>
            </c:extLst>
          </c:dPt>
          <c:cat>
            <c:strRef>
              <c:f>Sheet1!$C$42:$C$53</c:f>
              <c:strCache>
                <c:ptCount val="12"/>
                <c:pt idx="0">
                  <c:v>Belfast</c:v>
                </c:pt>
                <c:pt idx="1">
                  <c:v>Ards and North Down</c:v>
                </c:pt>
                <c:pt idx="2">
                  <c:v>Lisburn and Castlereagh</c:v>
                </c:pt>
                <c:pt idx="3">
                  <c:v>Antrim and Newtownabbey</c:v>
                </c:pt>
                <c:pt idx="4">
                  <c:v>Newry, Mourne and Down</c:v>
                </c:pt>
                <c:pt idx="5">
                  <c:v>Armagh City, Banbridge and Craigavon</c:v>
                </c:pt>
                <c:pt idx="6">
                  <c:v>Northern Ireland Total</c:v>
                </c:pt>
                <c:pt idx="7">
                  <c:v>Mid and East Antrim</c:v>
                </c:pt>
                <c:pt idx="8">
                  <c:v>Derry City and Strabane</c:v>
                </c:pt>
                <c:pt idx="9">
                  <c:v>Causeway Coast and Glens</c:v>
                </c:pt>
                <c:pt idx="10">
                  <c:v>Mid Ulster</c:v>
                </c:pt>
                <c:pt idx="11">
                  <c:v>Fermanagh and Omagh</c:v>
                </c:pt>
              </c:strCache>
            </c:strRef>
          </c:cat>
          <c:val>
            <c:numRef>
              <c:f>Sheet1!$D$42:$D$53</c:f>
              <c:numCache>
                <c:formatCode>#,##0.0</c:formatCode>
                <c:ptCount val="12"/>
                <c:pt idx="0">
                  <c:v>4.1287554718230393</c:v>
                </c:pt>
                <c:pt idx="1">
                  <c:v>5.3381954658369324</c:v>
                </c:pt>
                <c:pt idx="2">
                  <c:v>5.7793742997255704</c:v>
                </c:pt>
                <c:pt idx="3">
                  <c:v>6.0611003865365376</c:v>
                </c:pt>
                <c:pt idx="4">
                  <c:v>6.5092535472502133</c:v>
                </c:pt>
                <c:pt idx="5">
                  <c:v>6.7866185916833315</c:v>
                </c:pt>
                <c:pt idx="6" formatCode="General">
                  <c:v>6.8</c:v>
                </c:pt>
                <c:pt idx="7">
                  <c:v>6.8059986067013849</c:v>
                </c:pt>
                <c:pt idx="8">
                  <c:v>7.7885751278303106</c:v>
                </c:pt>
                <c:pt idx="9">
                  <c:v>8.4294246437481934</c:v>
                </c:pt>
                <c:pt idx="10">
                  <c:v>10.938643960265198</c:v>
                </c:pt>
                <c:pt idx="11">
                  <c:v>11.039898929252276</c:v>
                </c:pt>
              </c:numCache>
            </c:numRef>
          </c:val>
          <c:extLst>
            <c:ext xmlns:c16="http://schemas.microsoft.com/office/drawing/2014/chart" uri="{C3380CC4-5D6E-409C-BE32-E72D297353CC}">
              <c16:uniqueId val="{00000008-877F-4A5B-86D5-FD00ABA701AD}"/>
            </c:ext>
          </c:extLst>
        </c:ser>
        <c:dLbls>
          <c:showLegendKey val="0"/>
          <c:showVal val="0"/>
          <c:showCatName val="0"/>
          <c:showSerName val="0"/>
          <c:showPercent val="0"/>
          <c:showBubbleSize val="0"/>
        </c:dLbls>
        <c:gapWidth val="182"/>
        <c:axId val="1749881248"/>
        <c:axId val="1"/>
      </c:barChart>
      <c:catAx>
        <c:axId val="174988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prstDash val="lgDashDot"/>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88124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0.01973</cdr:x>
      <cdr:y>0.45271</cdr:y>
    </cdr:from>
    <cdr:to>
      <cdr:x>0.20354</cdr:x>
      <cdr:y>0.75386</cdr:y>
    </cdr:to>
    <cdr:sp macro="" textlink="">
      <cdr:nvSpPr>
        <cdr:cNvPr id="2" name="TextBox 1"/>
        <cdr:cNvSpPr txBox="1"/>
      </cdr:nvSpPr>
      <cdr:spPr>
        <a:xfrm xmlns:a="http://schemas.openxmlformats.org/drawingml/2006/main">
          <a:off x="99060" y="137541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a:p>
      </cdr:txBody>
    </cdr:sp>
  </cdr:relSizeAnchor>
  <cdr:relSizeAnchor xmlns:cdr="http://schemas.openxmlformats.org/drawingml/2006/chartDrawing">
    <cdr:from>
      <cdr:x>0</cdr:x>
      <cdr:y>0.2135</cdr:y>
    </cdr:from>
    <cdr:to>
      <cdr:x>0</cdr:x>
      <cdr:y>0.21931</cdr:y>
    </cdr:to>
    <cdr:sp macro="" textlink="">
      <cdr:nvSpPr>
        <cdr:cNvPr id="3" name="TextBox 2"/>
        <cdr:cNvSpPr txBox="1"/>
      </cdr:nvSpPr>
      <cdr:spPr>
        <a:xfrm xmlns:a="http://schemas.openxmlformats.org/drawingml/2006/main" rot="16200000">
          <a:off x="-480594" y="1133794"/>
          <a:ext cx="1273607" cy="3123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a:effectLst/>
              <a:latin typeface="+mn-lt"/>
              <a:ea typeface="+mn-ea"/>
              <a:cs typeface="+mn-cs"/>
            </a:rPr>
            <a:t>Kilotonnes</a:t>
          </a:r>
          <a:r>
            <a:rPr lang="en-GB" sz="1100" baseline="0">
              <a:effectLst/>
              <a:latin typeface="+mn-lt"/>
              <a:ea typeface="+mn-ea"/>
              <a:cs typeface="+mn-cs"/>
            </a:rPr>
            <a:t> (Kt CO</a:t>
          </a:r>
          <a:r>
            <a:rPr lang="en-GB" sz="1100" baseline="-25000">
              <a:effectLst/>
              <a:latin typeface="+mn-lt"/>
              <a:ea typeface="+mn-ea"/>
              <a:cs typeface="+mn-cs"/>
            </a:rPr>
            <a:t>2</a:t>
          </a:r>
          <a:r>
            <a:rPr lang="en-GB" sz="1100" baseline="0">
              <a:effectLst/>
              <a:latin typeface="+mn-lt"/>
              <a:ea typeface="+mn-ea"/>
              <a:cs typeface="+mn-cs"/>
            </a:rPr>
            <a:t>e)</a:t>
          </a:r>
          <a:endParaRPr lang="en-GB">
            <a:effectLst/>
          </a:endParaRPr>
        </a:p>
        <a:p xmlns:a="http://schemas.openxmlformats.org/drawingml/2006/main">
          <a:r>
            <a:rPr lang="en-GB" sz="1100" baseline="0"/>
            <a:t> </a:t>
          </a:r>
          <a:endParaRPr lang="en-GB" sz="1100"/>
        </a:p>
      </cdr:txBody>
    </cdr:sp>
  </cdr:relSizeAnchor>
  <cdr:relSizeAnchor xmlns:cdr="http://schemas.openxmlformats.org/drawingml/2006/chartDrawing">
    <cdr:from>
      <cdr:x>0.00643</cdr:x>
      <cdr:y>0.29528</cdr:y>
    </cdr:from>
    <cdr:to>
      <cdr:x>0.0689</cdr:x>
      <cdr:y>0.73054</cdr:y>
    </cdr:to>
    <cdr:sp macro="" textlink="">
      <cdr:nvSpPr>
        <cdr:cNvPr id="4" name="TextBox 2"/>
        <cdr:cNvSpPr txBox="1"/>
      </cdr:nvSpPr>
      <cdr:spPr>
        <a:xfrm xmlns:a="http://schemas.openxmlformats.org/drawingml/2006/main" rot="16200000">
          <a:off x="-428448" y="1328032"/>
          <a:ext cx="1273607" cy="3455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a:effectLst/>
              <a:latin typeface="+mn-lt"/>
              <a:ea typeface="+mn-ea"/>
              <a:cs typeface="+mn-cs"/>
            </a:rPr>
            <a:t>Kilotonnes</a:t>
          </a:r>
          <a:r>
            <a:rPr lang="en-GB" sz="1100" baseline="0">
              <a:effectLst/>
              <a:latin typeface="+mn-lt"/>
              <a:ea typeface="+mn-ea"/>
              <a:cs typeface="+mn-cs"/>
            </a:rPr>
            <a:t> (Kt CO</a:t>
          </a:r>
          <a:r>
            <a:rPr lang="en-GB" sz="1100" baseline="-25000">
              <a:effectLst/>
              <a:latin typeface="+mn-lt"/>
              <a:ea typeface="+mn-ea"/>
              <a:cs typeface="+mn-cs"/>
            </a:rPr>
            <a:t>2</a:t>
          </a:r>
          <a:r>
            <a:rPr lang="en-GB" sz="1100" baseline="0">
              <a:effectLst/>
              <a:latin typeface="+mn-lt"/>
              <a:ea typeface="+mn-ea"/>
              <a:cs typeface="+mn-cs"/>
            </a:rPr>
            <a:t>e)</a:t>
          </a:r>
          <a:endParaRPr lang="en-GB">
            <a:effectLst/>
          </a:endParaRPr>
        </a:p>
        <a:p xmlns:a="http://schemas.openxmlformats.org/drawingml/2006/main">
          <a:r>
            <a:rPr lang="en-GB" sz="1100" baseline="0"/>
            <a:t> </a:t>
          </a:r>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0.52044</cdr:x>
      <cdr:y>0.90134</cdr:y>
    </cdr:from>
    <cdr:to>
      <cdr:x>0.86921</cdr:x>
      <cdr:y>0.97509</cdr:y>
    </cdr:to>
    <cdr:sp macro="" textlink="">
      <cdr:nvSpPr>
        <cdr:cNvPr id="2" name="TextBox 1"/>
        <cdr:cNvSpPr txBox="1"/>
      </cdr:nvSpPr>
      <cdr:spPr>
        <a:xfrm xmlns:a="http://schemas.openxmlformats.org/drawingml/2006/main">
          <a:off x="2686050" y="2754630"/>
          <a:ext cx="182118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bg2">
                  <a:lumMod val="50000"/>
                </a:schemeClr>
              </a:solidFill>
            </a:rPr>
            <a:t>Per Capita Emissions (tCO</a:t>
          </a:r>
          <a:r>
            <a:rPr lang="en-GB" sz="1100" baseline="-25000">
              <a:solidFill>
                <a:schemeClr val="bg2">
                  <a:lumMod val="50000"/>
                </a:schemeClr>
              </a:solidFill>
            </a:rPr>
            <a:t>2</a:t>
          </a:r>
          <a:r>
            <a:rPr lang="en-GB" sz="1100">
              <a:solidFill>
                <a:schemeClr val="bg2">
                  <a:lumMod val="50000"/>
                </a:schemeClr>
              </a:solidFill>
            </a:rPr>
            <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92EA-3257-46D7-BB23-D2761F4E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3</cp:revision>
  <cp:lastPrinted>2022-11-07T16:04:00Z</cp:lastPrinted>
  <dcterms:created xsi:type="dcterms:W3CDTF">2023-07-05T08:03:00Z</dcterms:created>
  <dcterms:modified xsi:type="dcterms:W3CDTF">2023-07-05T08:30:00Z</dcterms:modified>
</cp:coreProperties>
</file>