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3F031F" w:rsidRDefault="003F3042">
      <w:pPr>
        <w:rPr>
          <w:b/>
        </w:rPr>
      </w:pPr>
      <w:r w:rsidRPr="003F031F">
        <w:rPr>
          <w:b/>
        </w:rPr>
        <w:t>Residential Property</w:t>
      </w:r>
    </w:p>
    <w:p w:rsidR="00381E1E" w:rsidRPr="003F031F" w:rsidRDefault="008C3787">
      <w:r w:rsidRPr="003F031F">
        <w:t xml:space="preserve">The </w:t>
      </w:r>
      <w:r w:rsidR="003F3042" w:rsidRPr="003F031F">
        <w:t>Northern Ireland House Price Index</w:t>
      </w:r>
      <w:r w:rsidR="003F3042" w:rsidRPr="003F031F">
        <w:rPr>
          <w:rStyle w:val="FootnoteReference"/>
        </w:rPr>
        <w:footnoteReference w:id="1"/>
      </w:r>
      <w:r w:rsidR="003F3042" w:rsidRPr="003F031F">
        <w:t xml:space="preserve"> provides both a standardised price and property price index. The index reference period is Quarter 1 2015 which equals 100. This quarter is then used as a benchmark for other periods.</w:t>
      </w:r>
    </w:p>
    <w:p w:rsidR="00620D8C" w:rsidRDefault="003C13E3">
      <w:r w:rsidRPr="003F031F">
        <w:t xml:space="preserve">The standardised residential property price in Armagh City, Banbridge and Craigavon </w:t>
      </w:r>
      <w:r w:rsidR="00BA281D" w:rsidRPr="003F031F">
        <w:t xml:space="preserve">Borough in quarter </w:t>
      </w:r>
      <w:r w:rsidR="0002430D">
        <w:t>1</w:t>
      </w:r>
      <w:r w:rsidR="004A38AC" w:rsidRPr="003F031F">
        <w:t xml:space="preserve"> of 202</w:t>
      </w:r>
      <w:r w:rsidR="0002430D">
        <w:t>3</w:t>
      </w:r>
      <w:r w:rsidR="00BA281D" w:rsidRPr="003F031F">
        <w:t xml:space="preserve"> stood at £</w:t>
      </w:r>
      <w:r w:rsidR="0002430D">
        <w:t>154,738</w:t>
      </w:r>
      <w:r w:rsidRPr="003F031F">
        <w:t xml:space="preserve">, </w:t>
      </w:r>
      <w:r w:rsidR="0002430D">
        <w:t>a fall of 0.5</w:t>
      </w:r>
      <w:r w:rsidR="00BA281D" w:rsidRPr="003F031F">
        <w:t xml:space="preserve">% on quarter </w:t>
      </w:r>
      <w:r w:rsidR="0002430D">
        <w:t>4</w:t>
      </w:r>
      <w:r w:rsidR="00042D0A" w:rsidRPr="003F031F">
        <w:t xml:space="preserve"> </w:t>
      </w:r>
      <w:r w:rsidR="003F031F" w:rsidRPr="003F031F">
        <w:t>2022</w:t>
      </w:r>
      <w:r w:rsidR="00BA281D" w:rsidRPr="003F031F">
        <w:t xml:space="preserve"> (£</w:t>
      </w:r>
      <w:r w:rsidR="0002430D">
        <w:t>155,439</w:t>
      </w:r>
      <w:r w:rsidRPr="003F031F">
        <w:t>)</w:t>
      </w:r>
      <w:r w:rsidR="00CA5B18">
        <w:t xml:space="preserve"> following a fall of 1.1% between quarter 3 and quarter 4 2022</w:t>
      </w:r>
      <w:r w:rsidRPr="003F031F">
        <w:t>.</w:t>
      </w:r>
      <w:r w:rsidR="00BA281D" w:rsidRPr="003F031F">
        <w:t xml:space="preserve"> </w:t>
      </w:r>
      <w:r w:rsidRPr="003F031F">
        <w:t xml:space="preserve">The standardised residential property price in Northern Ireland overall </w:t>
      </w:r>
      <w:r w:rsidR="00BA281D" w:rsidRPr="003F031F">
        <w:t xml:space="preserve">in quarter </w:t>
      </w:r>
      <w:r w:rsidR="0002430D">
        <w:t>1</w:t>
      </w:r>
      <w:r w:rsidR="00042D0A" w:rsidRPr="003F031F">
        <w:t xml:space="preserve"> 202</w:t>
      </w:r>
      <w:r w:rsidR="0002430D">
        <w:t>3</w:t>
      </w:r>
      <w:r w:rsidR="00BF4296" w:rsidRPr="003F031F">
        <w:t xml:space="preserve"> </w:t>
      </w:r>
      <w:r w:rsidR="002A0E8C" w:rsidRPr="003F031F">
        <w:t>(£</w:t>
      </w:r>
      <w:r w:rsidR="0002430D">
        <w:t>172,005</w:t>
      </w:r>
      <w:r w:rsidR="002A0E8C" w:rsidRPr="003F031F">
        <w:t xml:space="preserve">) </w:t>
      </w:r>
      <w:r w:rsidR="00D87B6E">
        <w:t xml:space="preserve">which is a fall of </w:t>
      </w:r>
      <w:r w:rsidR="00CA5B18">
        <w:t>1.8</w:t>
      </w:r>
      <w:r w:rsidR="005757B8" w:rsidRPr="003F031F">
        <w:t>% on quarter</w:t>
      </w:r>
      <w:r w:rsidR="00E744C3">
        <w:t xml:space="preserve"> </w:t>
      </w:r>
      <w:r w:rsidR="00CA5B18">
        <w:t>4</w:t>
      </w:r>
      <w:r w:rsidR="003F031F" w:rsidRPr="003F031F">
        <w:t xml:space="preserve"> 2022</w:t>
      </w:r>
      <w:r w:rsidR="005757B8" w:rsidRPr="003F031F">
        <w:rPr>
          <w:rStyle w:val="FootnoteReference"/>
        </w:rPr>
        <w:footnoteReference w:id="2"/>
      </w:r>
      <w:r w:rsidR="00BF4296" w:rsidRPr="003F031F">
        <w:t xml:space="preserve">. </w:t>
      </w:r>
      <w:r w:rsidR="00B5562A" w:rsidRPr="003F031F">
        <w:t xml:space="preserve">The borough </w:t>
      </w:r>
      <w:r w:rsidR="003F031F" w:rsidRPr="003F031F">
        <w:t xml:space="preserve">still </w:t>
      </w:r>
      <w:r w:rsidR="00B5562A" w:rsidRPr="003F031F">
        <w:t xml:space="preserve">has the </w:t>
      </w:r>
      <w:r w:rsidR="00042D0A" w:rsidRPr="003F031F">
        <w:t xml:space="preserve">second </w:t>
      </w:r>
      <w:r w:rsidR="00B5562A" w:rsidRPr="003F031F">
        <w:t>lowest standardised house prices in Northern Ireland</w:t>
      </w:r>
      <w:r w:rsidR="00042D0A" w:rsidRPr="003F031F">
        <w:t xml:space="preserve"> after Derry and Strabane</w:t>
      </w:r>
      <w:r w:rsidR="00B5562A" w:rsidRPr="003F031F">
        <w:t>.</w:t>
      </w:r>
    </w:p>
    <w:tbl>
      <w:tblPr>
        <w:tblStyle w:val="GridTable1Light"/>
        <w:tblW w:w="8840" w:type="dxa"/>
        <w:tblLayout w:type="fixed"/>
        <w:tblLook w:val="04A0" w:firstRow="1" w:lastRow="0" w:firstColumn="1" w:lastColumn="0" w:noHBand="0" w:noVBand="1"/>
      </w:tblPr>
      <w:tblGrid>
        <w:gridCol w:w="1271"/>
        <w:gridCol w:w="1892"/>
        <w:gridCol w:w="1892"/>
        <w:gridCol w:w="1892"/>
        <w:gridCol w:w="1893"/>
      </w:tblGrid>
      <w:tr w:rsidR="00714950" w:rsidRPr="00714950" w:rsidTr="0071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3785" w:type="dxa"/>
            <w:gridSpan w:val="2"/>
            <w:hideMark/>
          </w:tcPr>
          <w:p w:rsidR="00714950" w:rsidRPr="00714950" w:rsidRDefault="00714950" w:rsidP="0071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Northern Ireland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2" w:type="dxa"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  <w:tc>
          <w:tcPr>
            <w:tcW w:w="1892" w:type="dxa"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Standardised Price</w:t>
            </w:r>
          </w:p>
        </w:tc>
        <w:tc>
          <w:tcPr>
            <w:tcW w:w="1893" w:type="dxa"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House Price Index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£98,572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100.0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£110,940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100.0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£100,809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102.3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£114,340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103.1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£104,149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105.7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£117,716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106.1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2015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£106,688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108.2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£118,756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107.0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£107,699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109.3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£118,851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107.1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£111,344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113.0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£123,249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111.1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£110,290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111.9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£124,731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112.4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2016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£111,384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113.0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£125,059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112.7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£113,867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115.5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£124,786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112.5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£113,596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115.2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£127,178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114.6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£114,181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115.8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£128,878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116.2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2017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£116,312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118.0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£129,601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116.8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£116,042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117.7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£130,292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117.4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£117,042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118.7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£132,095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119.1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£116,741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118.4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£134,619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121.3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2018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£119,929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121.7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£136,764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123.3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£120,820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122.6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£135,434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122.1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£119,928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121.7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£136,960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123.5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£124,268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£139,838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2019 –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£124,039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125.8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£140,141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126.3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–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£124,618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£140,722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126.8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£125,312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127.1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£140,841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127.0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£126,736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128.6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£143,723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129.6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2020 -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£128,989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130.9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£147,475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132.9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£128,520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130.4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£149,084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134.4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£135,476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137.4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£154,323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139.1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£141,523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143.6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£159,098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143.4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2021 -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£140,168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142.2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£159,073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143.4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Q1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£145,838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148.0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£163,877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147.7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Q2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£150,778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153.0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£169,296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152.6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Q3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£157,</w:t>
            </w:r>
            <w:r w:rsidR="0002430D">
              <w:rPr>
                <w:rFonts w:ascii="Calibri" w:eastAsia="Times New Roman" w:hAnsi="Calibri" w:cs="Calibri"/>
                <w:lang w:eastAsia="en-GB"/>
              </w:rPr>
              <w:t>156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</w:t>
            </w:r>
            <w:r w:rsidR="0002430D">
              <w:rPr>
                <w:rFonts w:ascii="Calibri" w:eastAsia="Times New Roman" w:hAnsi="Calibri" w:cs="Calibri"/>
                <w:lang w:eastAsia="en-GB"/>
              </w:rPr>
              <w:t>59.4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</w:t>
            </w:r>
            <w:r w:rsidR="0002430D">
              <w:rPr>
                <w:rFonts w:ascii="Calibri" w:eastAsia="Times New Roman" w:hAnsi="Calibri" w:cs="Calibri"/>
                <w:lang w:eastAsia="en-GB"/>
              </w:rPr>
              <w:t>175,793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714950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</w:t>
            </w:r>
            <w:r w:rsidR="0002430D">
              <w:rPr>
                <w:rFonts w:ascii="Calibri" w:eastAsia="Times New Roman" w:hAnsi="Calibri" w:cs="Calibri"/>
                <w:lang w:eastAsia="en-GB"/>
              </w:rPr>
              <w:t>58.5</w:t>
            </w:r>
          </w:p>
        </w:tc>
      </w:tr>
      <w:tr w:rsidR="00714950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:rsidR="00714950" w:rsidRPr="00714950" w:rsidRDefault="00714950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2022 - Q4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714950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</w:t>
            </w:r>
            <w:r w:rsidR="0002430D">
              <w:rPr>
                <w:rFonts w:ascii="Calibri" w:eastAsia="Times New Roman" w:hAnsi="Calibri" w:cs="Calibri"/>
                <w:lang w:eastAsia="en-GB"/>
              </w:rPr>
              <w:t>155,439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157.7</w:t>
            </w:r>
          </w:p>
        </w:tc>
        <w:tc>
          <w:tcPr>
            <w:tcW w:w="1892" w:type="dxa"/>
            <w:noWrap/>
            <w:hideMark/>
          </w:tcPr>
          <w:p w:rsidR="00714950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£175,135</w:t>
            </w:r>
          </w:p>
        </w:tc>
        <w:tc>
          <w:tcPr>
            <w:tcW w:w="1893" w:type="dxa"/>
            <w:noWrap/>
            <w:hideMark/>
          </w:tcPr>
          <w:p w:rsidR="00714950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157.9</w:t>
            </w:r>
            <w:bookmarkStart w:id="0" w:name="_GoBack"/>
            <w:bookmarkEnd w:id="0"/>
          </w:p>
        </w:tc>
      </w:tr>
      <w:tr w:rsidR="0002430D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02430D" w:rsidRPr="00714950" w:rsidRDefault="0002430D" w:rsidP="00714950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92" w:type="dxa"/>
            <w:noWrap/>
          </w:tcPr>
          <w:p w:rsidR="0002430D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</w:tcPr>
          <w:p w:rsidR="0002430D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2" w:type="dxa"/>
            <w:noWrap/>
          </w:tcPr>
          <w:p w:rsidR="0002430D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93" w:type="dxa"/>
            <w:noWrap/>
          </w:tcPr>
          <w:p w:rsidR="0002430D" w:rsidRPr="00714950" w:rsidRDefault="0002430D" w:rsidP="007149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2430D" w:rsidRPr="00714950" w:rsidTr="0071495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</w:tcPr>
          <w:p w:rsidR="0002430D" w:rsidRPr="00714950" w:rsidRDefault="0002430D" w:rsidP="0002430D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7149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Q1</w:t>
            </w:r>
          </w:p>
        </w:tc>
        <w:tc>
          <w:tcPr>
            <w:tcW w:w="1892" w:type="dxa"/>
            <w:noWrap/>
          </w:tcPr>
          <w:p w:rsidR="0002430D" w:rsidRPr="00714950" w:rsidRDefault="0002430D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154,738</w:t>
            </w:r>
          </w:p>
        </w:tc>
        <w:tc>
          <w:tcPr>
            <w:tcW w:w="1892" w:type="dxa"/>
            <w:noWrap/>
          </w:tcPr>
          <w:p w:rsidR="0002430D" w:rsidRPr="00714950" w:rsidRDefault="0002430D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57</w:t>
            </w:r>
          </w:p>
        </w:tc>
        <w:tc>
          <w:tcPr>
            <w:tcW w:w="1892" w:type="dxa"/>
            <w:noWrap/>
          </w:tcPr>
          <w:p w:rsidR="0002430D" w:rsidRPr="00714950" w:rsidRDefault="0002430D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714950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172,005</w:t>
            </w:r>
          </w:p>
        </w:tc>
        <w:tc>
          <w:tcPr>
            <w:tcW w:w="1893" w:type="dxa"/>
            <w:noWrap/>
          </w:tcPr>
          <w:p w:rsidR="0002430D" w:rsidRPr="00714950" w:rsidRDefault="0002430D" w:rsidP="00024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155</w:t>
            </w:r>
          </w:p>
        </w:tc>
      </w:tr>
    </w:tbl>
    <w:p w:rsidR="00381E1E" w:rsidRPr="00B67235" w:rsidRDefault="008C1EDC">
      <w:pPr>
        <w:rPr>
          <w:i/>
          <w:sz w:val="20"/>
          <w:szCs w:val="20"/>
        </w:rPr>
      </w:pPr>
      <w:r w:rsidRPr="00B67235">
        <w:rPr>
          <w:i/>
          <w:sz w:val="20"/>
          <w:szCs w:val="20"/>
        </w:rPr>
        <w:t xml:space="preserve">Table 1: </w:t>
      </w:r>
      <w:r w:rsidR="00353B8B" w:rsidRPr="00B67235">
        <w:rPr>
          <w:i/>
          <w:sz w:val="20"/>
          <w:szCs w:val="20"/>
        </w:rPr>
        <w:t>Standardised r</w:t>
      </w:r>
      <w:r w:rsidR="003C13E3" w:rsidRPr="00B67235">
        <w:rPr>
          <w:i/>
          <w:sz w:val="20"/>
          <w:szCs w:val="20"/>
        </w:rPr>
        <w:t xml:space="preserve">esidential property price and </w:t>
      </w:r>
      <w:r w:rsidR="00353B8B" w:rsidRPr="00B67235">
        <w:rPr>
          <w:i/>
          <w:sz w:val="20"/>
          <w:szCs w:val="20"/>
        </w:rPr>
        <w:t xml:space="preserve">house price </w:t>
      </w:r>
      <w:r w:rsidR="003C13E3" w:rsidRPr="00B67235">
        <w:rPr>
          <w:i/>
          <w:sz w:val="20"/>
          <w:szCs w:val="20"/>
        </w:rPr>
        <w:t>index for</w:t>
      </w:r>
      <w:r w:rsidRPr="00B67235">
        <w:rPr>
          <w:i/>
          <w:sz w:val="20"/>
          <w:szCs w:val="20"/>
        </w:rPr>
        <w:t xml:space="preserve"> Armagh City, Banbridge and Craigavon Borough </w:t>
      </w:r>
      <w:r w:rsidR="008C513E" w:rsidRPr="00B67235">
        <w:rPr>
          <w:i/>
          <w:sz w:val="20"/>
          <w:szCs w:val="20"/>
        </w:rPr>
        <w:t xml:space="preserve">and Northern Ireland </w:t>
      </w:r>
      <w:r w:rsidR="003C13E3" w:rsidRPr="00B67235">
        <w:rPr>
          <w:i/>
          <w:sz w:val="20"/>
          <w:szCs w:val="20"/>
        </w:rPr>
        <w:t xml:space="preserve">Q1 </w:t>
      </w:r>
      <w:r w:rsidR="008C513E" w:rsidRPr="00B67235">
        <w:rPr>
          <w:i/>
          <w:sz w:val="20"/>
          <w:szCs w:val="20"/>
        </w:rPr>
        <w:t>2015 to</w:t>
      </w:r>
      <w:r w:rsidR="00BC3F49" w:rsidRPr="00B67235">
        <w:rPr>
          <w:i/>
          <w:sz w:val="20"/>
          <w:szCs w:val="20"/>
        </w:rPr>
        <w:t xml:space="preserve"> Q</w:t>
      </w:r>
      <w:r w:rsidR="0002430D">
        <w:rPr>
          <w:i/>
          <w:sz w:val="20"/>
          <w:szCs w:val="20"/>
        </w:rPr>
        <w:t>1</w:t>
      </w:r>
      <w:r w:rsidR="00B5562A" w:rsidRPr="00B67235">
        <w:rPr>
          <w:i/>
          <w:sz w:val="20"/>
          <w:szCs w:val="20"/>
        </w:rPr>
        <w:t xml:space="preserve"> 202</w:t>
      </w:r>
      <w:r w:rsidR="0002430D">
        <w:rPr>
          <w:i/>
          <w:sz w:val="20"/>
          <w:szCs w:val="20"/>
        </w:rPr>
        <w:t>3</w:t>
      </w:r>
      <w:r w:rsidRPr="00B67235">
        <w:rPr>
          <w:i/>
          <w:sz w:val="20"/>
          <w:szCs w:val="20"/>
        </w:rPr>
        <w:t xml:space="preserve">. Source: </w:t>
      </w:r>
      <w:r w:rsidR="008C513E" w:rsidRPr="00B67235">
        <w:rPr>
          <w:i/>
          <w:sz w:val="20"/>
          <w:szCs w:val="20"/>
        </w:rPr>
        <w:t>Land and Property Services</w:t>
      </w:r>
      <w:r w:rsidR="003C13E3" w:rsidRPr="00B67235">
        <w:rPr>
          <w:i/>
          <w:sz w:val="20"/>
          <w:szCs w:val="20"/>
        </w:rPr>
        <w:t>, NISRA</w:t>
      </w:r>
      <w:r w:rsidRPr="00B67235">
        <w:rPr>
          <w:i/>
          <w:sz w:val="20"/>
          <w:szCs w:val="20"/>
        </w:rPr>
        <w:t>.</w:t>
      </w:r>
    </w:p>
    <w:p w:rsidR="008D2053" w:rsidRPr="00916A56" w:rsidRDefault="008D2053">
      <w:pPr>
        <w:rPr>
          <w:i/>
          <w:sz w:val="20"/>
          <w:szCs w:val="20"/>
          <w:highlight w:val="yellow"/>
        </w:rPr>
      </w:pPr>
    </w:p>
    <w:p w:rsidR="00BC3F49" w:rsidRPr="00916A56" w:rsidRDefault="00BC3F49">
      <w:pPr>
        <w:rPr>
          <w:i/>
          <w:sz w:val="20"/>
          <w:szCs w:val="20"/>
          <w:highlight w:val="yellow"/>
        </w:rPr>
      </w:pPr>
    </w:p>
    <w:p w:rsidR="00BC3F49" w:rsidRPr="00916A56" w:rsidRDefault="00BC3F49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7EB5" w:rsidRPr="00916A56" w:rsidRDefault="006A7EB5">
      <w:pPr>
        <w:rPr>
          <w:i/>
          <w:sz w:val="20"/>
          <w:szCs w:val="20"/>
          <w:highlight w:val="yellow"/>
        </w:rPr>
      </w:pPr>
    </w:p>
    <w:p w:rsidR="006A560C" w:rsidRPr="00916A56" w:rsidRDefault="006A560C">
      <w:pPr>
        <w:rPr>
          <w:i/>
          <w:sz w:val="20"/>
          <w:szCs w:val="20"/>
          <w:highlight w:val="yellow"/>
        </w:rPr>
        <w:sectPr w:rsidR="006A560C" w:rsidRPr="00916A5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757B8" w:rsidRPr="00916A56" w:rsidRDefault="00010054" w:rsidP="008D2053">
      <w:pPr>
        <w:rPr>
          <w:noProof/>
          <w:highlight w:val="yellow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37F42B5D" wp14:editId="47F02FAC">
            <wp:extent cx="8743950" cy="50863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2053" w:rsidRPr="00B67235" w:rsidRDefault="008D2053" w:rsidP="008D2053">
      <w:pPr>
        <w:rPr>
          <w:i/>
          <w:sz w:val="20"/>
          <w:szCs w:val="20"/>
        </w:rPr>
      </w:pPr>
      <w:r w:rsidRPr="00B67235">
        <w:rPr>
          <w:i/>
          <w:sz w:val="20"/>
          <w:szCs w:val="20"/>
        </w:rPr>
        <w:t xml:space="preserve">Figure 1: </w:t>
      </w:r>
      <w:r w:rsidR="00353B8B" w:rsidRPr="00B67235">
        <w:rPr>
          <w:i/>
          <w:sz w:val="20"/>
          <w:szCs w:val="20"/>
        </w:rPr>
        <w:t xml:space="preserve">Standardised residential property price for </w:t>
      </w:r>
      <w:r w:rsidRPr="00B67235">
        <w:rPr>
          <w:i/>
          <w:sz w:val="20"/>
          <w:szCs w:val="20"/>
        </w:rPr>
        <w:t xml:space="preserve">Armagh City, Banbridge and Craigavon Borough and Northern Ireland Q1 </w:t>
      </w:r>
      <w:r w:rsidR="006A560C">
        <w:rPr>
          <w:i/>
          <w:sz w:val="20"/>
          <w:szCs w:val="20"/>
        </w:rPr>
        <w:t>2008 to Q</w:t>
      </w:r>
      <w:r w:rsidR="002703D5">
        <w:rPr>
          <w:i/>
          <w:sz w:val="20"/>
          <w:szCs w:val="20"/>
        </w:rPr>
        <w:t>1</w:t>
      </w:r>
      <w:r w:rsidR="005757B8" w:rsidRPr="00B67235">
        <w:rPr>
          <w:i/>
          <w:sz w:val="20"/>
          <w:szCs w:val="20"/>
        </w:rPr>
        <w:t xml:space="preserve"> 202</w:t>
      </w:r>
      <w:r w:rsidR="002703D5">
        <w:rPr>
          <w:i/>
          <w:sz w:val="20"/>
          <w:szCs w:val="20"/>
        </w:rPr>
        <w:t>3</w:t>
      </w:r>
      <w:r w:rsidRPr="00B67235">
        <w:rPr>
          <w:i/>
          <w:sz w:val="20"/>
          <w:szCs w:val="20"/>
        </w:rPr>
        <w:t>. Source: Land and Property Services, NISRA.</w:t>
      </w:r>
    </w:p>
    <w:p w:rsidR="008D2053" w:rsidRPr="00916A56" w:rsidRDefault="008D2053" w:rsidP="008D2053">
      <w:pPr>
        <w:rPr>
          <w:sz w:val="20"/>
          <w:szCs w:val="20"/>
          <w:highlight w:val="yellow"/>
        </w:rPr>
        <w:sectPr w:rsidR="008D2053" w:rsidRPr="00916A56" w:rsidSect="008D205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53B8B" w:rsidRPr="00B67235" w:rsidRDefault="005757B8" w:rsidP="008D2053">
      <w:pPr>
        <w:rPr>
          <w:i/>
          <w:sz w:val="20"/>
          <w:szCs w:val="20"/>
        </w:rPr>
        <w:sectPr w:rsidR="00353B8B" w:rsidRPr="00B67235" w:rsidSect="008D205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916A56">
        <w:rPr>
          <w:i/>
          <w:noProof/>
          <w:sz w:val="20"/>
          <w:szCs w:val="20"/>
          <w:highlight w:val="yellow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6774180</wp:posOffset>
                </wp:positionH>
                <wp:positionV relativeFrom="paragraph">
                  <wp:posOffset>533401</wp:posOffset>
                </wp:positionV>
                <wp:extent cx="1965960" cy="510540"/>
                <wp:effectExtent l="0" t="0" r="152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02430D" w:rsidRDefault="0002430D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3.4pt;margin-top:42pt;width:154.8pt;height:40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02430D" w:rsidRDefault="0002430D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703D5">
        <w:rPr>
          <w:noProof/>
          <w:lang w:eastAsia="en-GB"/>
        </w:rPr>
        <w:drawing>
          <wp:inline distT="0" distB="0" distL="0" distR="0" wp14:anchorId="53F58C53" wp14:editId="3A95A62D">
            <wp:extent cx="8905875" cy="52482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F5387" w:rsidRPr="00916A56">
        <w:rPr>
          <w:i/>
          <w:sz w:val="20"/>
          <w:szCs w:val="20"/>
          <w:highlight w:val="yellow"/>
        </w:rPr>
        <w:t xml:space="preserve"> </w:t>
      </w:r>
      <w:r w:rsidR="008D2053" w:rsidRPr="00B67235">
        <w:rPr>
          <w:i/>
          <w:sz w:val="20"/>
          <w:szCs w:val="20"/>
        </w:rPr>
        <w:t>Figure</w:t>
      </w:r>
      <w:r w:rsidR="00353B8B" w:rsidRPr="00B67235">
        <w:rPr>
          <w:i/>
          <w:sz w:val="20"/>
          <w:szCs w:val="20"/>
        </w:rPr>
        <w:t xml:space="preserve"> 2</w:t>
      </w:r>
      <w:r w:rsidR="008D2053" w:rsidRPr="00B67235">
        <w:rPr>
          <w:i/>
          <w:sz w:val="20"/>
          <w:szCs w:val="20"/>
        </w:rPr>
        <w:t xml:space="preserve">: </w:t>
      </w:r>
      <w:r w:rsidR="00353B8B" w:rsidRPr="00B67235">
        <w:rPr>
          <w:i/>
          <w:sz w:val="20"/>
          <w:szCs w:val="20"/>
        </w:rPr>
        <w:t>Hou</w:t>
      </w:r>
      <w:r w:rsidR="002703D5">
        <w:rPr>
          <w:i/>
          <w:sz w:val="20"/>
          <w:szCs w:val="20"/>
        </w:rPr>
        <w:t>s</w:t>
      </w:r>
      <w:r w:rsidR="00353B8B" w:rsidRPr="00B67235">
        <w:rPr>
          <w:i/>
          <w:sz w:val="20"/>
          <w:szCs w:val="20"/>
        </w:rPr>
        <w:t xml:space="preserve">e price </w:t>
      </w:r>
      <w:r w:rsidR="008D2053" w:rsidRPr="00B67235">
        <w:rPr>
          <w:i/>
          <w:sz w:val="20"/>
          <w:szCs w:val="20"/>
        </w:rPr>
        <w:t xml:space="preserve">index for Armagh City, Banbridge and Craigavon Borough and Northern Ireland Q1 </w:t>
      </w:r>
      <w:r w:rsidR="002F5387" w:rsidRPr="00B67235">
        <w:rPr>
          <w:i/>
          <w:sz w:val="20"/>
          <w:szCs w:val="20"/>
        </w:rPr>
        <w:t>2008 to Q</w:t>
      </w:r>
      <w:r w:rsidR="002703D5">
        <w:rPr>
          <w:i/>
          <w:sz w:val="20"/>
          <w:szCs w:val="20"/>
        </w:rPr>
        <w:t>1</w:t>
      </w:r>
      <w:r w:rsidRPr="00B67235">
        <w:rPr>
          <w:i/>
          <w:sz w:val="20"/>
          <w:szCs w:val="20"/>
        </w:rPr>
        <w:t xml:space="preserve"> 202</w:t>
      </w:r>
      <w:r w:rsidR="002703D5">
        <w:rPr>
          <w:i/>
          <w:sz w:val="20"/>
          <w:szCs w:val="20"/>
        </w:rPr>
        <w:t>3</w:t>
      </w:r>
      <w:r w:rsidR="008D2053" w:rsidRPr="00B67235">
        <w:rPr>
          <w:i/>
          <w:sz w:val="20"/>
          <w:szCs w:val="20"/>
        </w:rPr>
        <w:t>. Source: Land and Property Services, NISRA.</w:t>
      </w:r>
    </w:p>
    <w:p w:rsidR="00280A60" w:rsidRPr="00907375" w:rsidRDefault="00EF616C" w:rsidP="008D2053">
      <w:r w:rsidRPr="00907375">
        <w:lastRenderedPageBreak/>
        <w:t xml:space="preserve">The </w:t>
      </w:r>
      <w:r w:rsidR="005757B8" w:rsidRPr="00907375">
        <w:t xml:space="preserve">total </w:t>
      </w:r>
      <w:r w:rsidR="0058671C" w:rsidRPr="00907375">
        <w:t>number of verified residential property sales in Armagh City, Banbridge and C</w:t>
      </w:r>
      <w:r w:rsidR="00FD06D7" w:rsidRPr="00907375">
        <w:t>r</w:t>
      </w:r>
      <w:r w:rsidR="00114D48" w:rsidRPr="00907375">
        <w:t xml:space="preserve">aigavon Borough was </w:t>
      </w:r>
      <w:r w:rsidR="005757B8" w:rsidRPr="00907375">
        <w:t>3,</w:t>
      </w:r>
      <w:r w:rsidR="00054CA9" w:rsidRPr="00907375">
        <w:t>509</w:t>
      </w:r>
      <w:r w:rsidR="00114D48" w:rsidRPr="00907375">
        <w:t xml:space="preserve"> in </w:t>
      </w:r>
      <w:r w:rsidR="005757B8" w:rsidRPr="00907375">
        <w:t>2021</w:t>
      </w:r>
      <w:r w:rsidR="00FD06D7" w:rsidRPr="00907375">
        <w:t xml:space="preserve">, </w:t>
      </w:r>
      <w:r w:rsidR="006F549C" w:rsidRPr="00907375">
        <w:t xml:space="preserve">which was </w:t>
      </w:r>
      <w:r w:rsidR="005757B8" w:rsidRPr="00907375">
        <w:t xml:space="preserve">an increase of </w:t>
      </w:r>
      <w:r w:rsidR="00CD5C85" w:rsidRPr="00907375">
        <w:t>3</w:t>
      </w:r>
      <w:r w:rsidR="003E3F03" w:rsidRPr="00907375">
        <w:t>9</w:t>
      </w:r>
      <w:r w:rsidR="005757B8" w:rsidRPr="00907375">
        <w:t>% on 2020 sales (2,52</w:t>
      </w:r>
      <w:r w:rsidR="003E3F03" w:rsidRPr="00907375">
        <w:t>2</w:t>
      </w:r>
      <w:r w:rsidR="00375972" w:rsidRPr="00907375">
        <w:t>).  E</w:t>
      </w:r>
      <w:r w:rsidR="006F549C" w:rsidRPr="00907375">
        <w:t>stimates for 2022 show a total of 2,8</w:t>
      </w:r>
      <w:r w:rsidR="00375972" w:rsidRPr="00907375">
        <w:t>83</w:t>
      </w:r>
      <w:r w:rsidR="006F549C" w:rsidRPr="00907375">
        <w:t xml:space="preserve"> residential property sales in Armagh City, Banbridge and Craigavon Borough which represent</w:t>
      </w:r>
      <w:r w:rsidR="00375972" w:rsidRPr="00907375">
        <w:t>s</w:t>
      </w:r>
      <w:r w:rsidR="006F549C" w:rsidRPr="00907375">
        <w:t xml:space="preserve"> a fall of almost </w:t>
      </w:r>
      <w:r w:rsidR="00375972" w:rsidRPr="00907375">
        <w:t>18</w:t>
      </w:r>
      <w:r w:rsidR="006F549C" w:rsidRPr="00907375">
        <w:t xml:space="preserve">% on the previous year.  </w:t>
      </w:r>
      <w:r w:rsidR="001C4719" w:rsidRPr="00907375">
        <w:t xml:space="preserve">It should be noted that figures for </w:t>
      </w:r>
      <w:r w:rsidR="00390ACA" w:rsidRPr="00907375">
        <w:t>the most recent quarters</w:t>
      </w:r>
      <w:r w:rsidR="001C4719" w:rsidRPr="00907375">
        <w:t xml:space="preserve"> are provisional and </w:t>
      </w:r>
      <w:r w:rsidR="00390ACA" w:rsidRPr="00907375">
        <w:t>will</w:t>
      </w:r>
      <w:r w:rsidR="001C4719" w:rsidRPr="00907375">
        <w:t xml:space="preserve"> increase due to late sales returns and new dwellings being added to the Valuation List after the quarter. </w:t>
      </w:r>
    </w:p>
    <w:p w:rsidR="0066786B" w:rsidRPr="008940FB" w:rsidRDefault="00280A60" w:rsidP="008D2053">
      <w:r w:rsidRPr="00907375">
        <w:t xml:space="preserve">The provisional figures for </w:t>
      </w:r>
      <w:r w:rsidR="00CD5C85" w:rsidRPr="00907375">
        <w:t>Q</w:t>
      </w:r>
      <w:r w:rsidR="00375972" w:rsidRPr="00907375">
        <w:t>1</w:t>
      </w:r>
      <w:r w:rsidR="00CD5C85" w:rsidRPr="00907375">
        <w:t xml:space="preserve"> 202</w:t>
      </w:r>
      <w:r w:rsidR="00375972" w:rsidRPr="00907375">
        <w:t>3</w:t>
      </w:r>
      <w:r w:rsidRPr="00907375">
        <w:t xml:space="preserve"> show </w:t>
      </w:r>
      <w:r w:rsidR="00375972" w:rsidRPr="00907375">
        <w:t>143</w:t>
      </w:r>
      <w:r w:rsidR="0041571F" w:rsidRPr="00907375">
        <w:t xml:space="preserve"> </w:t>
      </w:r>
      <w:r w:rsidR="00647E43" w:rsidRPr="00907375">
        <w:t>detached properties were sold in Armagh City,</w:t>
      </w:r>
      <w:r w:rsidR="00FD06D7" w:rsidRPr="00907375">
        <w:t xml:space="preserve"> Banbridge and Craigavon</w:t>
      </w:r>
      <w:r w:rsidR="004919D3" w:rsidRPr="00907375">
        <w:t xml:space="preserve"> Borough</w:t>
      </w:r>
      <w:r w:rsidR="00FD06D7" w:rsidRPr="00907375">
        <w:t xml:space="preserve"> </w:t>
      </w:r>
      <w:r w:rsidR="00CD5C85" w:rsidRPr="00907375">
        <w:t xml:space="preserve">between </w:t>
      </w:r>
      <w:proofErr w:type="gramStart"/>
      <w:r w:rsidR="00375972" w:rsidRPr="00907375">
        <w:t>January</w:t>
      </w:r>
      <w:proofErr w:type="gramEnd"/>
      <w:r w:rsidR="00907375" w:rsidRPr="00907375">
        <w:t xml:space="preserve"> – March </w:t>
      </w:r>
      <w:r w:rsidR="0041571F" w:rsidRPr="00907375">
        <w:t>202</w:t>
      </w:r>
      <w:r w:rsidR="00907375" w:rsidRPr="00907375">
        <w:t>3</w:t>
      </w:r>
      <w:r w:rsidR="0041571F" w:rsidRPr="00907375">
        <w:t>, accounting for</w:t>
      </w:r>
      <w:r w:rsidR="006F549C" w:rsidRPr="00907375">
        <w:t xml:space="preserve"> almost</w:t>
      </w:r>
      <w:r w:rsidR="0041571F" w:rsidRPr="00907375">
        <w:t xml:space="preserve"> </w:t>
      </w:r>
      <w:r w:rsidR="00054CA9" w:rsidRPr="00907375">
        <w:t>3</w:t>
      </w:r>
      <w:r w:rsidR="00907375" w:rsidRPr="00907375">
        <w:t>0</w:t>
      </w:r>
      <w:r w:rsidR="00647E43" w:rsidRPr="00907375">
        <w:t>% of all residential property sales in the borough</w:t>
      </w:r>
      <w:r w:rsidRPr="00907375">
        <w:t xml:space="preserve">. </w:t>
      </w:r>
      <w:r w:rsidR="004A1E55" w:rsidRPr="00907375">
        <w:t xml:space="preserve"> </w:t>
      </w:r>
      <w:r w:rsidR="00907375">
        <w:t>Terrace</w:t>
      </w:r>
      <w:r w:rsidR="004A1E55" w:rsidRPr="00907375">
        <w:t xml:space="preserve"> properties accounted for </w:t>
      </w:r>
      <w:r w:rsidR="00907375">
        <w:t xml:space="preserve">the largest proportion of total sales at just over </w:t>
      </w:r>
      <w:r w:rsidR="00907375" w:rsidRPr="00907375">
        <w:t>34</w:t>
      </w:r>
      <w:r w:rsidR="004A1E55" w:rsidRPr="00907375">
        <w:t xml:space="preserve">% while </w:t>
      </w:r>
      <w:r w:rsidRPr="00907375">
        <w:t xml:space="preserve">Apartments made up just </w:t>
      </w:r>
      <w:r w:rsidR="004A1E55" w:rsidRPr="00907375">
        <w:t>2.</w:t>
      </w:r>
      <w:r w:rsidR="008940FB" w:rsidRPr="00907375">
        <w:t>1</w:t>
      </w:r>
      <w:r w:rsidR="00CD25E3" w:rsidRPr="00907375">
        <w:t>% of verified residential property</w:t>
      </w:r>
      <w:r w:rsidR="0041571F" w:rsidRPr="00907375">
        <w:t xml:space="preserve"> sales in the borough in </w:t>
      </w:r>
      <w:r w:rsidR="004A1E55" w:rsidRPr="00907375">
        <w:t>Q</w:t>
      </w:r>
      <w:r w:rsidR="00907375" w:rsidRPr="00907375">
        <w:t>1</w:t>
      </w:r>
      <w:r w:rsidR="004A1E55" w:rsidRPr="00907375">
        <w:t xml:space="preserve"> 202</w:t>
      </w:r>
      <w:r w:rsidR="00907375" w:rsidRPr="00907375">
        <w:t>3</w:t>
      </w:r>
      <w:r w:rsidR="00CD25E3" w:rsidRPr="00907375">
        <w:t>.</w:t>
      </w:r>
    </w:p>
    <w:tbl>
      <w:tblPr>
        <w:tblStyle w:val="GridTable1Light"/>
        <w:tblW w:w="9038" w:type="dxa"/>
        <w:tblLook w:val="04A0" w:firstRow="1" w:lastRow="0" w:firstColumn="1" w:lastColumn="0" w:noHBand="0" w:noVBand="1"/>
        <w:tblCaption w:val="Number of verified residential property sales by type in Armagh City, Banbridge and Craigavon Borough Q1 2015 to Q4 2021"/>
      </w:tblPr>
      <w:tblGrid>
        <w:gridCol w:w="1338"/>
        <w:gridCol w:w="1540"/>
        <w:gridCol w:w="1540"/>
        <w:gridCol w:w="1540"/>
        <w:gridCol w:w="1540"/>
        <w:gridCol w:w="1540"/>
      </w:tblGrid>
      <w:tr w:rsidR="005757B8" w:rsidRPr="00916A56" w:rsidTr="00BE2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Apartments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Detached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Semi-detached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Terrace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:rsidR="005757B8" w:rsidRPr="003E3F03" w:rsidRDefault="005757B8" w:rsidP="00575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Total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188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131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515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566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613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2015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234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683</w:t>
            </w:r>
          </w:p>
        </w:tc>
      </w:tr>
      <w:tr w:rsidR="005757B8" w:rsidRPr="00916A56" w:rsidTr="005757B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2015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31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855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882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609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2,377</w:t>
            </w: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692</w:t>
            </w: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124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534</w:t>
            </w:r>
          </w:p>
        </w:tc>
      </w:tr>
      <w:tr w:rsidR="005757B8" w:rsidRPr="00916A56" w:rsidTr="005757B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643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2016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274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706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2016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40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915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972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648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2,575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600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686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292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738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2017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357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189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823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2017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50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981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1,138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678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2,847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611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711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301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744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2018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302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759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2018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44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1,004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1,107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670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2,825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166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233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142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553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295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172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719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lastRenderedPageBreak/>
              <w:t>2019 – Q3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268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735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2019 – Q4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259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326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230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834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2019 Total</w:t>
            </w:r>
          </w:p>
        </w:tc>
        <w:tc>
          <w:tcPr>
            <w:tcW w:w="1540" w:type="dxa"/>
            <w:noWrap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49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935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1,122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735</w:t>
            </w:r>
          </w:p>
        </w:tc>
        <w:tc>
          <w:tcPr>
            <w:tcW w:w="1540" w:type="dxa"/>
            <w:hideMark/>
          </w:tcPr>
          <w:p w:rsidR="005757B8" w:rsidRPr="006F549C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2,841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540" w:type="dxa"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– Q1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244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229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150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638</w:t>
            </w:r>
          </w:p>
        </w:tc>
      </w:tr>
      <w:tr w:rsidR="005757B8" w:rsidRPr="00916A56" w:rsidTr="005757B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5757B8" w:rsidRPr="003E3F03" w:rsidRDefault="005757B8" w:rsidP="005757B8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2020 - Q2</w:t>
            </w:r>
          </w:p>
        </w:tc>
        <w:tc>
          <w:tcPr>
            <w:tcW w:w="1540" w:type="dxa"/>
            <w:noWrap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1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107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113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58</w:t>
            </w:r>
          </w:p>
        </w:tc>
        <w:tc>
          <w:tcPr>
            <w:tcW w:w="1540" w:type="dxa"/>
            <w:hideMark/>
          </w:tcPr>
          <w:p w:rsidR="005757B8" w:rsidRPr="003E3F03" w:rsidRDefault="005757B8" w:rsidP="0057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279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Q3</w:t>
            </w:r>
          </w:p>
        </w:tc>
        <w:tc>
          <w:tcPr>
            <w:tcW w:w="1540" w:type="dxa"/>
            <w:noWrap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10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217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236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168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631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2020 - Q4</w:t>
            </w:r>
          </w:p>
        </w:tc>
        <w:tc>
          <w:tcPr>
            <w:tcW w:w="1540" w:type="dxa"/>
            <w:noWrap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15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386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350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223</w:t>
            </w:r>
          </w:p>
        </w:tc>
        <w:tc>
          <w:tcPr>
            <w:tcW w:w="1540" w:type="dxa"/>
            <w:vAlign w:val="center"/>
            <w:hideMark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3F03">
              <w:rPr>
                <w:rFonts w:ascii="Calibri" w:hAnsi="Calibri" w:cs="Calibri"/>
              </w:rPr>
              <w:t>974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2020 Total </w:t>
            </w:r>
          </w:p>
        </w:tc>
        <w:tc>
          <w:tcPr>
            <w:tcW w:w="1540" w:type="dxa"/>
            <w:noWrap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41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954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928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599</w:t>
            </w:r>
          </w:p>
        </w:tc>
        <w:tc>
          <w:tcPr>
            <w:tcW w:w="1540" w:type="dxa"/>
            <w:vAlign w:val="center"/>
            <w:hideMark/>
          </w:tcPr>
          <w:p w:rsidR="003E3F03" w:rsidRPr="006F549C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2,522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Q1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iCs/>
                <w:lang w:eastAsia="en-GB"/>
              </w:rPr>
              <w:t>2021 - Q2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15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278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323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207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823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Q3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2021 - Q4</w:t>
            </w:r>
          </w:p>
        </w:tc>
        <w:tc>
          <w:tcPr>
            <w:tcW w:w="1540" w:type="dxa"/>
            <w:noWrap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1540" w:type="dxa"/>
            <w:vAlign w:val="center"/>
          </w:tcPr>
          <w:p w:rsidR="00126CD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</w:tr>
      <w:tr w:rsidR="00126CDC" w:rsidRPr="00916A56" w:rsidTr="003E3F0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  <w:hideMark/>
          </w:tcPr>
          <w:p w:rsidR="00126CDC" w:rsidRPr="003E3F03" w:rsidRDefault="00126CDC" w:rsidP="00126CDC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i/>
                <w:lang w:eastAsia="en-GB"/>
              </w:rPr>
              <w:t xml:space="preserve">2021 Total </w:t>
            </w:r>
          </w:p>
        </w:tc>
        <w:tc>
          <w:tcPr>
            <w:tcW w:w="1540" w:type="dxa"/>
            <w:noWrap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59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1,189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1,380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881</w:t>
            </w:r>
          </w:p>
        </w:tc>
        <w:tc>
          <w:tcPr>
            <w:tcW w:w="1540" w:type="dxa"/>
            <w:vAlign w:val="center"/>
          </w:tcPr>
          <w:p w:rsidR="00126CDC" w:rsidRPr="006F549C" w:rsidRDefault="00126CDC" w:rsidP="00126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/>
              </w:rPr>
            </w:pPr>
            <w:r w:rsidRPr="006F549C">
              <w:rPr>
                <w:rFonts w:ascii="Calibri" w:hAnsi="Calibri" w:cs="Calibri"/>
                <w:b/>
                <w:i/>
              </w:rPr>
              <w:t>3,509</w:t>
            </w:r>
          </w:p>
        </w:tc>
      </w:tr>
      <w:tr w:rsidR="003E3F03" w:rsidRPr="00916A56" w:rsidTr="000478D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3E3F03" w:rsidRPr="003E3F03" w:rsidRDefault="003E3F03" w:rsidP="003E3F03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40" w:type="dxa"/>
            <w:vAlign w:val="center"/>
          </w:tcPr>
          <w:p w:rsidR="003E3F03" w:rsidRPr="003E3F03" w:rsidRDefault="003E3F03" w:rsidP="003E3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F549C" w:rsidRPr="00916A56" w:rsidTr="00714950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F549C" w:rsidRPr="003E3F03" w:rsidRDefault="006F549C" w:rsidP="006F549C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2022 – Q1</w:t>
            </w:r>
          </w:p>
        </w:tc>
        <w:tc>
          <w:tcPr>
            <w:tcW w:w="1540" w:type="dxa"/>
            <w:noWrap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16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188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223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194</w:t>
            </w:r>
          </w:p>
        </w:tc>
        <w:tc>
          <w:tcPr>
            <w:tcW w:w="1540" w:type="dxa"/>
            <w:vAlign w:val="bottom"/>
          </w:tcPr>
          <w:p w:rsidR="006F549C" w:rsidRPr="006F549C" w:rsidRDefault="006F549C" w:rsidP="006F5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F549C">
              <w:rPr>
                <w:rFonts w:cstheme="minorHAnsi"/>
              </w:rPr>
              <w:t>621</w:t>
            </w:r>
          </w:p>
        </w:tc>
      </w:tr>
      <w:tr w:rsidR="006B0504" w:rsidRPr="00916A56" w:rsidTr="003E110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B0504" w:rsidRPr="003E3F03" w:rsidRDefault="006B0504" w:rsidP="006B050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3E3F03">
              <w:rPr>
                <w:rFonts w:ascii="Calibri" w:eastAsia="Times New Roman" w:hAnsi="Calibri" w:cs="Calibri"/>
                <w:lang w:eastAsia="en-GB"/>
              </w:rPr>
              <w:t>2022 – Q2</w:t>
            </w:r>
          </w:p>
        </w:tc>
        <w:tc>
          <w:tcPr>
            <w:tcW w:w="1540" w:type="dxa"/>
            <w:noWrap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14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233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290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215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752</w:t>
            </w:r>
          </w:p>
        </w:tc>
      </w:tr>
      <w:tr w:rsidR="006B0504" w:rsidRPr="00916A56" w:rsidTr="003E110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B0504" w:rsidRPr="003E3F03" w:rsidRDefault="006B0504" w:rsidP="006B050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 – Q3</w:t>
            </w:r>
          </w:p>
        </w:tc>
        <w:tc>
          <w:tcPr>
            <w:tcW w:w="1540" w:type="dxa"/>
            <w:noWrap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</w:tr>
      <w:tr w:rsidR="006B0504" w:rsidRPr="00916A56" w:rsidTr="003E110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B0504" w:rsidRDefault="006B0504" w:rsidP="006B050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 – Q4</w:t>
            </w:r>
          </w:p>
        </w:tc>
        <w:tc>
          <w:tcPr>
            <w:tcW w:w="1540" w:type="dxa"/>
            <w:noWrap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</w:tr>
      <w:tr w:rsidR="006B0504" w:rsidRPr="00916A56" w:rsidTr="003E110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B0504" w:rsidRPr="006F549C" w:rsidRDefault="006B0504" w:rsidP="006B0504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  <w:r w:rsidRPr="006F549C">
              <w:rPr>
                <w:rFonts w:ascii="Calibri" w:eastAsia="Times New Roman" w:hAnsi="Calibri" w:cs="Calibri"/>
                <w:i/>
                <w:lang w:eastAsia="en-GB"/>
              </w:rPr>
              <w:t>2022 Total</w:t>
            </w:r>
          </w:p>
        </w:tc>
        <w:tc>
          <w:tcPr>
            <w:tcW w:w="1540" w:type="dxa"/>
            <w:noWrap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1,078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832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2,883</w:t>
            </w:r>
          </w:p>
        </w:tc>
      </w:tr>
      <w:tr w:rsidR="006B0504" w:rsidRPr="00916A56" w:rsidTr="003E110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B0504" w:rsidRPr="006F549C" w:rsidRDefault="006B0504" w:rsidP="006B0504">
            <w:pPr>
              <w:jc w:val="center"/>
              <w:rPr>
                <w:rFonts w:ascii="Calibri" w:eastAsia="Times New Roman" w:hAnsi="Calibri" w:cs="Calibri"/>
                <w:i/>
                <w:lang w:eastAsia="en-GB"/>
              </w:rPr>
            </w:pPr>
          </w:p>
        </w:tc>
        <w:tc>
          <w:tcPr>
            <w:tcW w:w="1540" w:type="dxa"/>
            <w:noWrap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B0504" w:rsidRPr="00916A56" w:rsidTr="003E110C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noWrap/>
          </w:tcPr>
          <w:p w:rsidR="006B0504" w:rsidRPr="006B0504" w:rsidRDefault="006B0504" w:rsidP="006B0504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B0504">
              <w:rPr>
                <w:rFonts w:ascii="Calibri" w:eastAsia="Times New Roman" w:hAnsi="Calibri" w:cs="Calibri"/>
                <w:lang w:eastAsia="en-GB"/>
              </w:rPr>
              <w:t xml:space="preserve">2023 – Q1 </w:t>
            </w:r>
          </w:p>
        </w:tc>
        <w:tc>
          <w:tcPr>
            <w:tcW w:w="1540" w:type="dxa"/>
            <w:noWrap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540" w:type="dxa"/>
            <w:vAlign w:val="center"/>
          </w:tcPr>
          <w:p w:rsidR="006B0504" w:rsidRDefault="006B0504" w:rsidP="006B0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</w:tr>
    </w:tbl>
    <w:p w:rsidR="00054CA9" w:rsidRPr="00C02BF2" w:rsidRDefault="0066786B" w:rsidP="00575048">
      <w:pPr>
        <w:rPr>
          <w:i/>
          <w:sz w:val="20"/>
          <w:szCs w:val="20"/>
          <w:highlight w:val="yellow"/>
        </w:rPr>
      </w:pPr>
      <w:r w:rsidRPr="003E3F03">
        <w:rPr>
          <w:i/>
          <w:sz w:val="20"/>
          <w:szCs w:val="20"/>
        </w:rPr>
        <w:t xml:space="preserve">Table 2: </w:t>
      </w:r>
      <w:r w:rsidR="0058671C" w:rsidRPr="003E3F03">
        <w:rPr>
          <w:i/>
          <w:sz w:val="20"/>
          <w:szCs w:val="20"/>
        </w:rPr>
        <w:t xml:space="preserve">Number of verified residential property sales by type in </w:t>
      </w:r>
      <w:r w:rsidRPr="003E3F03">
        <w:rPr>
          <w:i/>
          <w:sz w:val="20"/>
          <w:szCs w:val="20"/>
        </w:rPr>
        <w:t xml:space="preserve">Armagh City, Banbridge and Craigavon </w:t>
      </w:r>
      <w:r w:rsidRPr="00907375">
        <w:rPr>
          <w:i/>
          <w:sz w:val="20"/>
          <w:szCs w:val="20"/>
        </w:rPr>
        <w:t xml:space="preserve">Borough Q1 </w:t>
      </w:r>
      <w:r w:rsidR="0058671C" w:rsidRPr="00907375">
        <w:rPr>
          <w:i/>
          <w:sz w:val="20"/>
          <w:szCs w:val="20"/>
        </w:rPr>
        <w:t>2015</w:t>
      </w:r>
      <w:r w:rsidRPr="00907375">
        <w:rPr>
          <w:i/>
          <w:sz w:val="20"/>
          <w:szCs w:val="20"/>
        </w:rPr>
        <w:t xml:space="preserve"> to Q</w:t>
      </w:r>
      <w:r w:rsidR="006B0504" w:rsidRPr="00907375">
        <w:rPr>
          <w:i/>
          <w:sz w:val="20"/>
          <w:szCs w:val="20"/>
        </w:rPr>
        <w:t>1</w:t>
      </w:r>
      <w:r w:rsidR="005757B8" w:rsidRPr="00907375">
        <w:rPr>
          <w:i/>
          <w:sz w:val="20"/>
          <w:szCs w:val="20"/>
        </w:rPr>
        <w:t xml:space="preserve"> 202</w:t>
      </w:r>
      <w:r w:rsidR="006B0504" w:rsidRPr="00907375">
        <w:rPr>
          <w:i/>
          <w:sz w:val="20"/>
          <w:szCs w:val="20"/>
        </w:rPr>
        <w:t>3</w:t>
      </w:r>
      <w:r w:rsidR="005757B8" w:rsidRPr="00907375">
        <w:rPr>
          <w:rStyle w:val="FootnoteReference"/>
          <w:i/>
          <w:sz w:val="20"/>
          <w:szCs w:val="20"/>
        </w:rPr>
        <w:footnoteReference w:id="3"/>
      </w:r>
      <w:r w:rsidRPr="00907375">
        <w:rPr>
          <w:i/>
          <w:sz w:val="20"/>
          <w:szCs w:val="20"/>
        </w:rPr>
        <w:t>. Source: Land and Property Services, NISRA.</w:t>
      </w:r>
    </w:p>
    <w:p w:rsidR="001C72D8" w:rsidRPr="001C72D8" w:rsidRDefault="001C72D8" w:rsidP="00575048">
      <w:pPr>
        <w:rPr>
          <w:i/>
          <w:sz w:val="20"/>
          <w:szCs w:val="20"/>
        </w:rPr>
      </w:pPr>
    </w:p>
    <w:p w:rsidR="00575048" w:rsidRPr="001C72D8" w:rsidRDefault="001C72D8" w:rsidP="00575048">
      <w:pPr>
        <w:rPr>
          <w:i/>
          <w:sz w:val="20"/>
          <w:szCs w:val="20"/>
        </w:rPr>
      </w:pPr>
      <w:r w:rsidRPr="001C72D8">
        <w:rPr>
          <w:noProof/>
          <w:lang w:eastAsia="en-GB"/>
        </w:rPr>
        <w:lastRenderedPageBreak/>
        <w:drawing>
          <wp:inline distT="0" distB="0" distL="0" distR="0" wp14:anchorId="0B8FCDD3" wp14:editId="720F700A">
            <wp:extent cx="5768340" cy="3303270"/>
            <wp:effectExtent l="0" t="0" r="3810" b="114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75048" w:rsidRPr="001C72D8">
        <w:rPr>
          <w:i/>
          <w:sz w:val="20"/>
          <w:szCs w:val="20"/>
        </w:rPr>
        <w:t xml:space="preserve">Figure 3: Number of verified residential property sales in Armagh City, Banbridge and Craigavon Borough </w:t>
      </w:r>
      <w:r w:rsidR="00AD017F" w:rsidRPr="001C72D8">
        <w:rPr>
          <w:i/>
          <w:sz w:val="20"/>
          <w:szCs w:val="20"/>
        </w:rPr>
        <w:t>Q1 2015 to Q</w:t>
      </w:r>
      <w:r w:rsidRPr="001C72D8">
        <w:rPr>
          <w:i/>
          <w:sz w:val="20"/>
          <w:szCs w:val="20"/>
        </w:rPr>
        <w:t>1</w:t>
      </w:r>
      <w:r w:rsidR="00AD017F" w:rsidRPr="001C72D8">
        <w:rPr>
          <w:i/>
          <w:sz w:val="20"/>
          <w:szCs w:val="20"/>
        </w:rPr>
        <w:t xml:space="preserve"> 202</w:t>
      </w:r>
      <w:r w:rsidRPr="001C72D8">
        <w:rPr>
          <w:i/>
          <w:sz w:val="20"/>
          <w:szCs w:val="20"/>
        </w:rPr>
        <w:t>3</w:t>
      </w:r>
      <w:r w:rsidR="00575048" w:rsidRPr="001C72D8">
        <w:rPr>
          <w:i/>
          <w:sz w:val="20"/>
          <w:szCs w:val="20"/>
        </w:rPr>
        <w:t>. Source: Land and Property Services, NISRA.</w:t>
      </w:r>
    </w:p>
    <w:p w:rsidR="00BF5BEA" w:rsidRPr="001C72D8" w:rsidRDefault="00BF5BEA" w:rsidP="00575048">
      <w:r w:rsidRPr="001C72D8">
        <w:t>The number of verified residential property sales</w:t>
      </w:r>
      <w:r w:rsidR="00A409EB" w:rsidRPr="001C72D8">
        <w:t xml:space="preserve"> in Northern Ireland overall had been growing</w:t>
      </w:r>
      <w:r w:rsidRPr="001C72D8">
        <w:t xml:space="preserve"> year on year between 2015 and 2018. </w:t>
      </w:r>
      <w:r w:rsidR="00A409EB" w:rsidRPr="001C72D8">
        <w:t xml:space="preserve"> In 2019 there was a small decline in the total number of residential property sales and then and much sharper decline in 2020 when they reached a low of 21,2</w:t>
      </w:r>
      <w:r w:rsidR="0005381B">
        <w:t>31</w:t>
      </w:r>
      <w:r w:rsidR="00A409EB" w:rsidRPr="001C72D8">
        <w:t>.  Betwe</w:t>
      </w:r>
      <w:r w:rsidR="005336B7" w:rsidRPr="001C72D8">
        <w:t>en 2020 and 2021, there was a 4</w:t>
      </w:r>
      <w:r w:rsidR="004148D5" w:rsidRPr="001C72D8">
        <w:t>5</w:t>
      </w:r>
      <w:r w:rsidR="00A409EB" w:rsidRPr="001C72D8">
        <w:t xml:space="preserve">% increase in residential property sales in Northern Ireland to </w:t>
      </w:r>
      <w:r w:rsidR="005336B7" w:rsidRPr="001C72D8">
        <w:t>over</w:t>
      </w:r>
      <w:r w:rsidR="00A409EB" w:rsidRPr="001C72D8">
        <w:t xml:space="preserve"> 30,000 sales</w:t>
      </w:r>
      <w:r w:rsidR="001C4719" w:rsidRPr="001C72D8">
        <w:t xml:space="preserve">. </w:t>
      </w:r>
      <w:r w:rsidR="00317410" w:rsidRPr="001C72D8">
        <w:t xml:space="preserve"> </w:t>
      </w:r>
      <w:r w:rsidR="0005381B">
        <w:t xml:space="preserve">Estimates for 2022 </w:t>
      </w:r>
      <w:r w:rsidR="00317410" w:rsidRPr="001C72D8">
        <w:t xml:space="preserve">show a decline of </w:t>
      </w:r>
      <w:r w:rsidR="0005381B">
        <w:t>5</w:t>
      </w:r>
      <w:r w:rsidR="00317410" w:rsidRPr="001C72D8">
        <w:t>,</w:t>
      </w:r>
      <w:r w:rsidR="0005381B">
        <w:t>988</w:t>
      </w:r>
      <w:r w:rsidR="00317410" w:rsidRPr="001C72D8">
        <w:t xml:space="preserve"> (20%) to 24,</w:t>
      </w:r>
      <w:r w:rsidR="0005381B">
        <w:t>749</w:t>
      </w:r>
      <w:r w:rsidR="00317410" w:rsidRPr="001C72D8">
        <w:t>.</w:t>
      </w:r>
      <w:r w:rsidR="00A409EB" w:rsidRPr="001C72D8">
        <w:t xml:space="preserve"> </w:t>
      </w:r>
      <w:r w:rsidR="00317410" w:rsidRPr="001C72D8">
        <w:t xml:space="preserve"> However, as</w:t>
      </w:r>
      <w:r w:rsidR="00A409EB" w:rsidRPr="001C72D8">
        <w:t xml:space="preserve"> previously n</w:t>
      </w:r>
      <w:r w:rsidR="001A47AC" w:rsidRPr="001C72D8">
        <w:t>oted</w:t>
      </w:r>
      <w:r w:rsidR="00A409EB" w:rsidRPr="001C72D8">
        <w:t xml:space="preserve">, the figures </w:t>
      </w:r>
      <w:r w:rsidR="00390ACA" w:rsidRPr="001C72D8">
        <w:t>for</w:t>
      </w:r>
      <w:r w:rsidR="00A409EB" w:rsidRPr="001C72D8">
        <w:t xml:space="preserve"> Q4 202</w:t>
      </w:r>
      <w:r w:rsidR="00C31C7F" w:rsidRPr="001C72D8">
        <w:t>2</w:t>
      </w:r>
      <w:r w:rsidR="00A409EB" w:rsidRPr="001C72D8">
        <w:t xml:space="preserve"> </w:t>
      </w:r>
      <w:r w:rsidR="005336B7" w:rsidRPr="001C72D8">
        <w:t xml:space="preserve">may </w:t>
      </w:r>
      <w:r w:rsidR="00A409EB" w:rsidRPr="001C72D8">
        <w:t xml:space="preserve">be revised upwards in the next publication </w:t>
      </w:r>
      <w:r w:rsidR="00B1799E" w:rsidRPr="001C72D8">
        <w:t>due to late sales returns and new dwellings being added to the Va</w:t>
      </w:r>
      <w:r w:rsidR="001C4719" w:rsidRPr="001C72D8">
        <w:t>luation List after the quarter</w:t>
      </w:r>
      <w:r w:rsidR="00B1799E" w:rsidRPr="001C72D8">
        <w:t>.</w:t>
      </w:r>
    </w:p>
    <w:p w:rsidR="0057073C" w:rsidRPr="001C72D8" w:rsidRDefault="00F32554" w:rsidP="00575048">
      <w:r w:rsidRPr="001C72D8">
        <w:t>In Northern Ireland overall</w:t>
      </w:r>
      <w:r w:rsidR="00CE4438" w:rsidRPr="001C72D8">
        <w:t xml:space="preserve"> in 2022, terrace properties make up the largest proportion of residential property sales accounting for </w:t>
      </w:r>
      <w:r w:rsidR="0005381B">
        <w:t>31.9</w:t>
      </w:r>
      <w:r w:rsidR="00CE4438" w:rsidRPr="001C72D8">
        <w:t>% followed by</w:t>
      </w:r>
      <w:r w:rsidR="005A6C2C" w:rsidRPr="001C72D8">
        <w:t xml:space="preserve"> semi-detached properties (</w:t>
      </w:r>
      <w:r w:rsidR="004148D5" w:rsidRPr="001C72D8">
        <w:t>3</w:t>
      </w:r>
      <w:r w:rsidR="00CE4438" w:rsidRPr="001C72D8">
        <w:t>1.</w:t>
      </w:r>
      <w:r w:rsidR="0005381B">
        <w:t>3</w:t>
      </w:r>
      <w:r w:rsidR="00CE4438" w:rsidRPr="001C72D8">
        <w:t>%).  D</w:t>
      </w:r>
      <w:r w:rsidR="00B1799E" w:rsidRPr="001C72D8">
        <w:t>etached properties</w:t>
      </w:r>
      <w:r w:rsidR="00CE4438" w:rsidRPr="001C72D8">
        <w:t xml:space="preserve"> account for 27.8% of residential property sales</w:t>
      </w:r>
      <w:r w:rsidR="005A6C2C" w:rsidRPr="001C72D8">
        <w:t xml:space="preserve"> in </w:t>
      </w:r>
      <w:r w:rsidR="00CE4438" w:rsidRPr="001C72D8">
        <w:t>2022.</w:t>
      </w:r>
      <w:r w:rsidR="005A6C2C" w:rsidRPr="001C72D8">
        <w:t xml:space="preserve"> Apartments make up </w:t>
      </w:r>
      <w:r w:rsidR="00CE4438" w:rsidRPr="001C72D8">
        <w:t>8.9</w:t>
      </w:r>
      <w:r w:rsidRPr="001C72D8">
        <w:t xml:space="preserve">% of </w:t>
      </w:r>
      <w:r w:rsidR="00B41D1F" w:rsidRPr="001C72D8">
        <w:t xml:space="preserve">residential property </w:t>
      </w:r>
      <w:r w:rsidRPr="001C72D8">
        <w:t>sales in N</w:t>
      </w:r>
      <w:r w:rsidR="00B1799E" w:rsidRPr="001C72D8">
        <w:t>orthern Ireland</w:t>
      </w:r>
      <w:r w:rsidR="005A6C2C" w:rsidRPr="001C72D8">
        <w:t xml:space="preserve"> in </w:t>
      </w:r>
      <w:r w:rsidR="00613D15" w:rsidRPr="001C72D8">
        <w:t>202</w:t>
      </w:r>
      <w:r w:rsidR="00CE4438" w:rsidRPr="001C72D8">
        <w:t>2</w:t>
      </w:r>
      <w:r w:rsidR="00B1799E" w:rsidRPr="001C72D8">
        <w:t>, com</w:t>
      </w:r>
      <w:r w:rsidR="005A6C2C" w:rsidRPr="001C72D8">
        <w:t xml:space="preserve">pared to </w:t>
      </w:r>
      <w:r w:rsidR="00CE4438" w:rsidRPr="001C72D8">
        <w:t>2.</w:t>
      </w:r>
      <w:r w:rsidR="0005381B">
        <w:t>2</w:t>
      </w:r>
      <w:r w:rsidRPr="001C72D8">
        <w:t>% in Armagh City, Banbridge and Craigavon</w:t>
      </w:r>
      <w:r w:rsidR="00B1799E" w:rsidRPr="001C72D8">
        <w:t xml:space="preserve"> Borough</w:t>
      </w:r>
      <w:r w:rsidRPr="001C72D8">
        <w:t>.</w:t>
      </w:r>
    </w:p>
    <w:tbl>
      <w:tblPr>
        <w:tblStyle w:val="GridTable1Light"/>
        <w:tblW w:w="9209" w:type="dxa"/>
        <w:tblLayout w:type="fixed"/>
        <w:tblLook w:val="04A0" w:firstRow="1" w:lastRow="0" w:firstColumn="1" w:lastColumn="0" w:noHBand="0" w:noVBand="1"/>
        <w:tblCaption w:val="Number of verified residential property sales in Northern Ireland 2015 to 2021"/>
      </w:tblPr>
      <w:tblGrid>
        <w:gridCol w:w="1414"/>
        <w:gridCol w:w="1559"/>
        <w:gridCol w:w="1559"/>
        <w:gridCol w:w="1559"/>
        <w:gridCol w:w="1559"/>
        <w:gridCol w:w="1559"/>
      </w:tblGrid>
      <w:tr w:rsidR="0057073C" w:rsidRPr="001C72D8" w:rsidTr="00BE2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2C715B" w:rsidRPr="001C72D8" w:rsidRDefault="002C715B" w:rsidP="00280A60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559" w:type="dxa"/>
            <w:noWrap/>
          </w:tcPr>
          <w:p w:rsidR="002C715B" w:rsidRPr="001C72D8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Apartments</w:t>
            </w:r>
          </w:p>
        </w:tc>
        <w:tc>
          <w:tcPr>
            <w:tcW w:w="1559" w:type="dxa"/>
          </w:tcPr>
          <w:p w:rsidR="002C715B" w:rsidRPr="001C72D8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Detached</w:t>
            </w:r>
          </w:p>
        </w:tc>
        <w:tc>
          <w:tcPr>
            <w:tcW w:w="1559" w:type="dxa"/>
          </w:tcPr>
          <w:p w:rsidR="002C715B" w:rsidRPr="001C72D8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Semi-detached</w:t>
            </w:r>
          </w:p>
        </w:tc>
        <w:tc>
          <w:tcPr>
            <w:tcW w:w="1559" w:type="dxa"/>
          </w:tcPr>
          <w:p w:rsidR="002C715B" w:rsidRPr="001C72D8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Terrace</w:t>
            </w:r>
          </w:p>
        </w:tc>
        <w:tc>
          <w:tcPr>
            <w:tcW w:w="1559" w:type="dxa"/>
          </w:tcPr>
          <w:p w:rsidR="002C715B" w:rsidRPr="001C72D8" w:rsidRDefault="002C715B" w:rsidP="00280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Total</w:t>
            </w:r>
          </w:p>
        </w:tc>
      </w:tr>
      <w:tr w:rsidR="0057073C" w:rsidRPr="001C72D8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1C72D8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2015 Total</w:t>
            </w:r>
          </w:p>
        </w:tc>
        <w:tc>
          <w:tcPr>
            <w:tcW w:w="1559" w:type="dxa"/>
            <w:noWrap/>
          </w:tcPr>
          <w:p w:rsidR="0057073C" w:rsidRPr="001C72D8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1,753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6,788</w:t>
            </w:r>
          </w:p>
        </w:tc>
        <w:tc>
          <w:tcPr>
            <w:tcW w:w="1559" w:type="dxa"/>
          </w:tcPr>
          <w:p w:rsidR="0057073C" w:rsidRPr="001C72D8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7,191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6,190</w:t>
            </w:r>
          </w:p>
        </w:tc>
        <w:tc>
          <w:tcPr>
            <w:tcW w:w="1559" w:type="dxa"/>
          </w:tcPr>
          <w:p w:rsidR="0057073C" w:rsidRPr="001C72D8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1C72D8">
              <w:rPr>
                <w:rFonts w:eastAsia="Times New Roman" w:cstheme="minorHAnsi"/>
                <w:b/>
                <w:bCs/>
                <w:lang w:eastAsia="en-GB"/>
              </w:rPr>
              <w:t>21,922</w:t>
            </w:r>
          </w:p>
        </w:tc>
      </w:tr>
      <w:tr w:rsidR="0057073C" w:rsidRPr="001C72D8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1C72D8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2016 Total</w:t>
            </w:r>
          </w:p>
        </w:tc>
        <w:tc>
          <w:tcPr>
            <w:tcW w:w="1559" w:type="dxa"/>
            <w:noWrap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1,874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7,062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7,747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6,411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1C72D8">
              <w:rPr>
                <w:rFonts w:eastAsia="Times New Roman" w:cstheme="minorHAnsi"/>
                <w:b/>
                <w:bCs/>
                <w:lang w:eastAsia="en-GB"/>
              </w:rPr>
              <w:t>23,094</w:t>
            </w:r>
          </w:p>
        </w:tc>
      </w:tr>
      <w:tr w:rsidR="0057073C" w:rsidRPr="001C72D8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1C72D8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2017 Total</w:t>
            </w:r>
          </w:p>
        </w:tc>
        <w:tc>
          <w:tcPr>
            <w:tcW w:w="1559" w:type="dxa"/>
            <w:noWrap/>
          </w:tcPr>
          <w:p w:rsidR="0057073C" w:rsidRPr="001C72D8" w:rsidRDefault="003F710E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1,949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7,421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8,589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6,720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1C72D8">
              <w:rPr>
                <w:rFonts w:eastAsia="Times New Roman" w:cstheme="minorHAnsi"/>
                <w:b/>
                <w:bCs/>
                <w:lang w:eastAsia="en-GB"/>
              </w:rPr>
              <w:t>24,67</w:t>
            </w:r>
            <w:r w:rsidR="003F710E" w:rsidRPr="001C72D8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</w:tr>
      <w:tr w:rsidR="0057073C" w:rsidRPr="001C72D8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1C72D8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2018 Total</w:t>
            </w:r>
          </w:p>
        </w:tc>
        <w:tc>
          <w:tcPr>
            <w:tcW w:w="1559" w:type="dxa"/>
            <w:noWrap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1,966</w:t>
            </w:r>
          </w:p>
        </w:tc>
        <w:tc>
          <w:tcPr>
            <w:tcW w:w="1559" w:type="dxa"/>
          </w:tcPr>
          <w:p w:rsidR="0057073C" w:rsidRPr="001C72D8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7,592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8,700</w:t>
            </w:r>
          </w:p>
        </w:tc>
        <w:tc>
          <w:tcPr>
            <w:tcW w:w="1559" w:type="dxa"/>
          </w:tcPr>
          <w:p w:rsidR="0057073C" w:rsidRPr="001C72D8" w:rsidRDefault="00C31C7F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6,768</w:t>
            </w:r>
          </w:p>
        </w:tc>
        <w:tc>
          <w:tcPr>
            <w:tcW w:w="1559" w:type="dxa"/>
          </w:tcPr>
          <w:p w:rsidR="0057073C" w:rsidRPr="001C72D8" w:rsidRDefault="00BE4D66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 w:rsidRPr="001C72D8">
              <w:rPr>
                <w:rFonts w:eastAsia="Times New Roman" w:cstheme="minorHAnsi"/>
                <w:b/>
                <w:bCs/>
                <w:lang w:eastAsia="en-GB"/>
              </w:rPr>
              <w:t>25,026</w:t>
            </w:r>
          </w:p>
        </w:tc>
      </w:tr>
      <w:tr w:rsidR="0057073C" w:rsidRPr="001C72D8" w:rsidTr="005707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57073C" w:rsidRPr="001C72D8" w:rsidRDefault="0057073C" w:rsidP="0057073C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2019 Total</w:t>
            </w:r>
          </w:p>
        </w:tc>
        <w:tc>
          <w:tcPr>
            <w:tcW w:w="1559" w:type="dxa"/>
            <w:noWrap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1,84</w:t>
            </w:r>
            <w:r w:rsidR="003F710E" w:rsidRPr="001C72D8">
              <w:rPr>
                <w:rFonts w:eastAsia="Times New Roman" w:cstheme="minorHAnsi"/>
                <w:bCs/>
                <w:lang w:eastAsia="en-GB"/>
              </w:rPr>
              <w:t>3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7,5</w:t>
            </w:r>
            <w:r w:rsidR="0005381B">
              <w:rPr>
                <w:rFonts w:eastAsia="Times New Roman" w:cstheme="minorHAnsi"/>
                <w:bCs/>
                <w:lang w:eastAsia="en-GB"/>
              </w:rPr>
              <w:t>53</w:t>
            </w:r>
          </w:p>
        </w:tc>
        <w:tc>
          <w:tcPr>
            <w:tcW w:w="1559" w:type="dxa"/>
          </w:tcPr>
          <w:p w:rsidR="0057073C" w:rsidRPr="001C72D8" w:rsidRDefault="00BE4D66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8,781</w:t>
            </w:r>
          </w:p>
        </w:tc>
        <w:tc>
          <w:tcPr>
            <w:tcW w:w="1559" w:type="dxa"/>
          </w:tcPr>
          <w:p w:rsidR="0057073C" w:rsidRPr="001C72D8" w:rsidRDefault="0057073C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lang w:eastAsia="en-GB"/>
              </w:rPr>
            </w:pPr>
            <w:r w:rsidRPr="001C72D8">
              <w:rPr>
                <w:rFonts w:eastAsia="Times New Roman" w:cstheme="minorHAnsi"/>
                <w:bCs/>
                <w:lang w:eastAsia="en-GB"/>
              </w:rPr>
              <w:t>6,755</w:t>
            </w:r>
          </w:p>
        </w:tc>
        <w:tc>
          <w:tcPr>
            <w:tcW w:w="1559" w:type="dxa"/>
          </w:tcPr>
          <w:p w:rsidR="0057073C" w:rsidRPr="001C72D8" w:rsidRDefault="0005381B" w:rsidP="00100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24,932</w:t>
            </w:r>
          </w:p>
        </w:tc>
      </w:tr>
      <w:tr w:rsidR="004148D5" w:rsidRPr="001C72D8" w:rsidTr="000478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4148D5" w:rsidRPr="001C72D8" w:rsidRDefault="004148D5" w:rsidP="004148D5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2020 Total</w:t>
            </w:r>
          </w:p>
        </w:tc>
        <w:tc>
          <w:tcPr>
            <w:tcW w:w="1559" w:type="dxa"/>
            <w:noWrap/>
            <w:vAlign w:val="bottom"/>
          </w:tcPr>
          <w:p w:rsidR="004148D5" w:rsidRPr="001C72D8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1,491</w:t>
            </w:r>
          </w:p>
        </w:tc>
        <w:tc>
          <w:tcPr>
            <w:tcW w:w="1559" w:type="dxa"/>
            <w:vAlign w:val="bottom"/>
          </w:tcPr>
          <w:p w:rsidR="004148D5" w:rsidRPr="001C72D8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6,836</w:t>
            </w:r>
          </w:p>
        </w:tc>
        <w:tc>
          <w:tcPr>
            <w:tcW w:w="1559" w:type="dxa"/>
            <w:vAlign w:val="bottom"/>
          </w:tcPr>
          <w:p w:rsidR="004148D5" w:rsidRPr="001C72D8" w:rsidRDefault="004148D5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7</w:t>
            </w:r>
            <w:r w:rsidR="0005381B">
              <w:rPr>
                <w:rFonts w:cstheme="minorHAnsi"/>
              </w:rPr>
              <w:t>,425</w:t>
            </w:r>
          </w:p>
        </w:tc>
        <w:tc>
          <w:tcPr>
            <w:tcW w:w="1559" w:type="dxa"/>
            <w:vAlign w:val="bottom"/>
          </w:tcPr>
          <w:p w:rsidR="004148D5" w:rsidRPr="001C72D8" w:rsidRDefault="0005381B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5,479</w:t>
            </w:r>
          </w:p>
        </w:tc>
        <w:tc>
          <w:tcPr>
            <w:tcW w:w="1559" w:type="dxa"/>
            <w:vAlign w:val="bottom"/>
          </w:tcPr>
          <w:p w:rsidR="004148D5" w:rsidRPr="001C72D8" w:rsidRDefault="00BE4D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C72D8">
              <w:rPr>
                <w:rFonts w:cstheme="minorHAnsi"/>
                <w:b/>
              </w:rPr>
              <w:t>21,2</w:t>
            </w:r>
            <w:r w:rsidR="0005381B">
              <w:rPr>
                <w:rFonts w:cstheme="minorHAnsi"/>
                <w:b/>
              </w:rPr>
              <w:t>31</w:t>
            </w:r>
          </w:p>
        </w:tc>
      </w:tr>
      <w:tr w:rsidR="004148D5" w:rsidRPr="001C72D8" w:rsidTr="000478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4148D5" w:rsidRPr="001C72D8" w:rsidRDefault="004148D5" w:rsidP="004148D5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2021 Total</w:t>
            </w:r>
          </w:p>
        </w:tc>
        <w:tc>
          <w:tcPr>
            <w:tcW w:w="1559" w:type="dxa"/>
            <w:noWrap/>
            <w:vAlign w:val="bottom"/>
          </w:tcPr>
          <w:p w:rsidR="004148D5" w:rsidRPr="001C72D8" w:rsidRDefault="00BE4D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2,3</w:t>
            </w:r>
            <w:r w:rsidR="0005381B">
              <w:rPr>
                <w:rFonts w:cstheme="minorHAnsi"/>
              </w:rPr>
              <w:t>81</w:t>
            </w:r>
          </w:p>
        </w:tc>
        <w:tc>
          <w:tcPr>
            <w:tcW w:w="1559" w:type="dxa"/>
            <w:vAlign w:val="bottom"/>
          </w:tcPr>
          <w:p w:rsidR="004148D5" w:rsidRPr="001C72D8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9,490</w:t>
            </w:r>
          </w:p>
        </w:tc>
        <w:tc>
          <w:tcPr>
            <w:tcW w:w="1559" w:type="dxa"/>
            <w:vAlign w:val="bottom"/>
          </w:tcPr>
          <w:p w:rsidR="004148D5" w:rsidRPr="001C72D8" w:rsidRDefault="00BE4D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10,</w:t>
            </w:r>
            <w:r w:rsidR="0005381B">
              <w:rPr>
                <w:rFonts w:cstheme="minorHAnsi"/>
              </w:rPr>
              <w:t>474</w:t>
            </w:r>
          </w:p>
        </w:tc>
        <w:tc>
          <w:tcPr>
            <w:tcW w:w="1559" w:type="dxa"/>
            <w:vAlign w:val="bottom"/>
          </w:tcPr>
          <w:p w:rsidR="004148D5" w:rsidRPr="001C72D8" w:rsidRDefault="00BE4D66" w:rsidP="00414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8</w:t>
            </w:r>
            <w:r w:rsidR="0005381B">
              <w:rPr>
                <w:rFonts w:cstheme="minorHAnsi"/>
              </w:rPr>
              <w:t>,392</w:t>
            </w:r>
          </w:p>
        </w:tc>
        <w:tc>
          <w:tcPr>
            <w:tcW w:w="1559" w:type="dxa"/>
            <w:vAlign w:val="bottom"/>
          </w:tcPr>
          <w:p w:rsidR="004148D5" w:rsidRPr="001C72D8" w:rsidRDefault="004148D5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C72D8">
              <w:rPr>
                <w:rFonts w:cstheme="minorHAnsi"/>
                <w:b/>
              </w:rPr>
              <w:t>30,</w:t>
            </w:r>
            <w:r w:rsidR="00BE4D66" w:rsidRPr="001C72D8">
              <w:rPr>
                <w:rFonts w:cstheme="minorHAnsi"/>
                <w:b/>
              </w:rPr>
              <w:t>7</w:t>
            </w:r>
            <w:r w:rsidR="0005381B">
              <w:rPr>
                <w:rFonts w:cstheme="minorHAnsi"/>
                <w:b/>
              </w:rPr>
              <w:t>37</w:t>
            </w:r>
          </w:p>
        </w:tc>
      </w:tr>
      <w:tr w:rsidR="00BE4D66" w:rsidRPr="001C72D8" w:rsidTr="000478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noWrap/>
          </w:tcPr>
          <w:p w:rsidR="00BE4D66" w:rsidRPr="001C72D8" w:rsidRDefault="00BE4D66" w:rsidP="004148D5">
            <w:pPr>
              <w:jc w:val="center"/>
              <w:rPr>
                <w:rFonts w:eastAsia="Times New Roman" w:cstheme="minorHAnsi"/>
                <w:b w:val="0"/>
                <w:lang w:eastAsia="en-GB"/>
              </w:rPr>
            </w:pPr>
            <w:r w:rsidRPr="001C72D8">
              <w:rPr>
                <w:rFonts w:eastAsia="Times New Roman" w:cstheme="minorHAnsi"/>
                <w:b w:val="0"/>
                <w:lang w:eastAsia="en-GB"/>
              </w:rPr>
              <w:t>2022 Total</w:t>
            </w:r>
          </w:p>
        </w:tc>
        <w:tc>
          <w:tcPr>
            <w:tcW w:w="1559" w:type="dxa"/>
            <w:noWrap/>
            <w:vAlign w:val="bottom"/>
          </w:tcPr>
          <w:p w:rsidR="00BE4D66" w:rsidRPr="001C72D8" w:rsidRDefault="00BE4D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2,</w:t>
            </w:r>
            <w:r w:rsidR="0005381B">
              <w:rPr>
                <w:rFonts w:cstheme="minorHAnsi"/>
              </w:rPr>
              <w:t>201</w:t>
            </w:r>
          </w:p>
        </w:tc>
        <w:tc>
          <w:tcPr>
            <w:tcW w:w="1559" w:type="dxa"/>
            <w:vAlign w:val="bottom"/>
          </w:tcPr>
          <w:p w:rsidR="00BE4D66" w:rsidRPr="001C72D8" w:rsidRDefault="00BE4D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6,8</w:t>
            </w:r>
            <w:r w:rsidR="0005381B">
              <w:rPr>
                <w:rFonts w:cstheme="minorHAnsi"/>
              </w:rPr>
              <w:t>87</w:t>
            </w:r>
          </w:p>
        </w:tc>
        <w:tc>
          <w:tcPr>
            <w:tcW w:w="1559" w:type="dxa"/>
            <w:vAlign w:val="bottom"/>
          </w:tcPr>
          <w:p w:rsidR="00BE4D66" w:rsidRPr="001C72D8" w:rsidRDefault="000C3A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7,</w:t>
            </w:r>
            <w:r w:rsidR="0005381B">
              <w:rPr>
                <w:rFonts w:cstheme="minorHAnsi"/>
              </w:rPr>
              <w:t>755</w:t>
            </w:r>
          </w:p>
        </w:tc>
        <w:tc>
          <w:tcPr>
            <w:tcW w:w="1559" w:type="dxa"/>
            <w:vAlign w:val="bottom"/>
          </w:tcPr>
          <w:p w:rsidR="00BE4D66" w:rsidRPr="001C72D8" w:rsidRDefault="000C3A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72D8">
              <w:rPr>
                <w:rFonts w:cstheme="minorHAnsi"/>
              </w:rPr>
              <w:t>7,</w:t>
            </w:r>
            <w:r w:rsidR="0005381B">
              <w:rPr>
                <w:rFonts w:cstheme="minorHAnsi"/>
              </w:rPr>
              <w:t>906</w:t>
            </w:r>
          </w:p>
        </w:tc>
        <w:tc>
          <w:tcPr>
            <w:tcW w:w="1559" w:type="dxa"/>
            <w:vAlign w:val="bottom"/>
          </w:tcPr>
          <w:p w:rsidR="00BE4D66" w:rsidRPr="001C72D8" w:rsidRDefault="000C3A66" w:rsidP="00053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C72D8">
              <w:rPr>
                <w:rFonts w:cstheme="minorHAnsi"/>
                <w:b/>
              </w:rPr>
              <w:t>24,</w:t>
            </w:r>
            <w:r w:rsidR="0005381B">
              <w:rPr>
                <w:rFonts w:cstheme="minorHAnsi"/>
                <w:b/>
              </w:rPr>
              <w:t>749</w:t>
            </w:r>
          </w:p>
        </w:tc>
      </w:tr>
    </w:tbl>
    <w:p w:rsidR="002C715B" w:rsidRPr="001C72D8" w:rsidRDefault="003B697F" w:rsidP="00575048">
      <w:pPr>
        <w:rPr>
          <w:sz w:val="20"/>
          <w:szCs w:val="20"/>
        </w:rPr>
      </w:pPr>
      <w:r w:rsidRPr="001C72D8">
        <w:rPr>
          <w:i/>
          <w:sz w:val="20"/>
          <w:szCs w:val="20"/>
        </w:rPr>
        <w:t xml:space="preserve">Table 3: Number of verified residential property sales </w:t>
      </w:r>
      <w:r w:rsidR="0057073C" w:rsidRPr="001C72D8">
        <w:rPr>
          <w:i/>
          <w:sz w:val="20"/>
          <w:szCs w:val="20"/>
        </w:rPr>
        <w:t>in Northern Ireland 2015 to 202</w:t>
      </w:r>
      <w:r w:rsidR="00CE4438" w:rsidRPr="001C72D8">
        <w:rPr>
          <w:i/>
          <w:sz w:val="20"/>
          <w:szCs w:val="20"/>
        </w:rPr>
        <w:t>2</w:t>
      </w:r>
      <w:r w:rsidRPr="001C72D8">
        <w:rPr>
          <w:i/>
          <w:sz w:val="20"/>
          <w:szCs w:val="20"/>
        </w:rPr>
        <w:t>. Source: Land and Property Services, NISRA.</w:t>
      </w:r>
    </w:p>
    <w:p w:rsidR="00575048" w:rsidRPr="001C72D8" w:rsidRDefault="00575048" w:rsidP="00575048">
      <w:pPr>
        <w:rPr>
          <w:sz w:val="20"/>
        </w:rPr>
      </w:pPr>
      <w:r w:rsidRPr="001C72D8">
        <w:t>Further inf</w:t>
      </w:r>
      <w:r w:rsidRPr="001C72D8">
        <w:rPr>
          <w:sz w:val="20"/>
        </w:rPr>
        <w:t>ormation on residential property prices and sales can be found via the following link:</w:t>
      </w:r>
    </w:p>
    <w:p w:rsidR="00575048" w:rsidRPr="00613D15" w:rsidRDefault="00A4397A" w:rsidP="00575048">
      <w:pPr>
        <w:rPr>
          <w:sz w:val="18"/>
          <w:szCs w:val="20"/>
        </w:rPr>
      </w:pPr>
      <w:hyperlink r:id="rId11" w:history="1">
        <w:r w:rsidR="00575048" w:rsidRPr="001C72D8">
          <w:rPr>
            <w:rStyle w:val="Hyperlink"/>
            <w:color w:val="auto"/>
            <w:sz w:val="20"/>
          </w:rPr>
          <w:t>https://www.finance-ni.gov.uk/articles/northern-ireland-house-price-index</w:t>
        </w:r>
      </w:hyperlink>
    </w:p>
    <w:sectPr w:rsidR="00575048" w:rsidRPr="00613D15" w:rsidSect="00353B8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0D" w:rsidRDefault="0002430D" w:rsidP="009470B4">
      <w:pPr>
        <w:spacing w:after="0" w:line="240" w:lineRule="auto"/>
      </w:pPr>
      <w:r>
        <w:separator/>
      </w:r>
    </w:p>
  </w:endnote>
  <w:endnote w:type="continuationSeparator" w:id="0">
    <w:p w:rsidR="0002430D" w:rsidRDefault="0002430D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30D" w:rsidRDefault="000243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9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430D" w:rsidRDefault="0002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0D" w:rsidRDefault="0002430D" w:rsidP="009470B4">
      <w:pPr>
        <w:spacing w:after="0" w:line="240" w:lineRule="auto"/>
      </w:pPr>
      <w:r>
        <w:separator/>
      </w:r>
    </w:p>
  </w:footnote>
  <w:footnote w:type="continuationSeparator" w:id="0">
    <w:p w:rsidR="0002430D" w:rsidRDefault="0002430D" w:rsidP="009470B4">
      <w:pPr>
        <w:spacing w:after="0" w:line="240" w:lineRule="auto"/>
      </w:pPr>
      <w:r>
        <w:continuationSeparator/>
      </w:r>
    </w:p>
  </w:footnote>
  <w:footnote w:id="1">
    <w:p w:rsidR="0002430D" w:rsidRDefault="0002430D">
      <w:pPr>
        <w:pStyle w:val="FootnoteText"/>
      </w:pPr>
      <w:r>
        <w:rPr>
          <w:rStyle w:val="FootnoteReference"/>
        </w:rPr>
        <w:footnoteRef/>
      </w:r>
      <w:r>
        <w:t xml:space="preserve"> Northern Ireland House Price Index - </w:t>
      </w:r>
      <w:hyperlink r:id="rId1" w:history="1">
        <w:r>
          <w:rPr>
            <w:rStyle w:val="Hyperlink"/>
          </w:rPr>
          <w:t>https://www.finance-ni.gov.uk/articles/about-northern-ireland-house-price-index</w:t>
        </w:r>
      </w:hyperlink>
    </w:p>
  </w:footnote>
  <w:footnote w:id="2">
    <w:p w:rsidR="0002430D" w:rsidRDefault="0002430D">
      <w:pPr>
        <w:pStyle w:val="FootnoteText"/>
      </w:pPr>
      <w:r>
        <w:rPr>
          <w:rStyle w:val="FootnoteReference"/>
        </w:rPr>
        <w:footnoteRef/>
      </w:r>
      <w:r>
        <w:t xml:space="preserve"> Results for the most recent quarters are provisional and subject to revision as more up-to-date data become available.</w:t>
      </w:r>
    </w:p>
  </w:footnote>
  <w:footnote w:id="3">
    <w:p w:rsidR="0002430D" w:rsidRDefault="0002430D">
      <w:pPr>
        <w:pStyle w:val="FootnoteText"/>
      </w:pPr>
      <w:r>
        <w:rPr>
          <w:rStyle w:val="FootnoteReference"/>
        </w:rPr>
        <w:footnoteRef/>
      </w:r>
      <w:r>
        <w:t xml:space="preserve"> Please note figures for the two</w:t>
      </w:r>
      <w:r w:rsidRPr="005757B8">
        <w:t xml:space="preserve"> most recent quarters are provisional and will increase due to late sales returns and new dwellings sold in this quarter being added to the Valuation List after the quarter.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0054"/>
    <w:rsid w:val="00015C89"/>
    <w:rsid w:val="0002430D"/>
    <w:rsid w:val="00042D0A"/>
    <w:rsid w:val="000478DE"/>
    <w:rsid w:val="0005381B"/>
    <w:rsid w:val="00054CA9"/>
    <w:rsid w:val="00055812"/>
    <w:rsid w:val="00063DC9"/>
    <w:rsid w:val="000C3A66"/>
    <w:rsid w:val="000C7CE8"/>
    <w:rsid w:val="00100464"/>
    <w:rsid w:val="00106136"/>
    <w:rsid w:val="00114D48"/>
    <w:rsid w:val="00126CDC"/>
    <w:rsid w:val="00132C03"/>
    <w:rsid w:val="0013324C"/>
    <w:rsid w:val="001464FA"/>
    <w:rsid w:val="00154E71"/>
    <w:rsid w:val="001A47AC"/>
    <w:rsid w:val="001C4719"/>
    <w:rsid w:val="001C72D8"/>
    <w:rsid w:val="001D57EC"/>
    <w:rsid w:val="002475B0"/>
    <w:rsid w:val="00265A7A"/>
    <w:rsid w:val="00265E55"/>
    <w:rsid w:val="00267CB1"/>
    <w:rsid w:val="002703D5"/>
    <w:rsid w:val="00280A60"/>
    <w:rsid w:val="002A0E8C"/>
    <w:rsid w:val="002B13D9"/>
    <w:rsid w:val="002C715B"/>
    <w:rsid w:val="002F5387"/>
    <w:rsid w:val="002F72B7"/>
    <w:rsid w:val="0031287E"/>
    <w:rsid w:val="00317410"/>
    <w:rsid w:val="003176C1"/>
    <w:rsid w:val="00353B8B"/>
    <w:rsid w:val="00375972"/>
    <w:rsid w:val="00381E1E"/>
    <w:rsid w:val="00390ACA"/>
    <w:rsid w:val="003B697F"/>
    <w:rsid w:val="003C13E3"/>
    <w:rsid w:val="003E3F03"/>
    <w:rsid w:val="003F031F"/>
    <w:rsid w:val="003F3042"/>
    <w:rsid w:val="003F710E"/>
    <w:rsid w:val="00404522"/>
    <w:rsid w:val="004148D5"/>
    <w:rsid w:val="0041571F"/>
    <w:rsid w:val="004658F9"/>
    <w:rsid w:val="00470647"/>
    <w:rsid w:val="004919D3"/>
    <w:rsid w:val="00492FC0"/>
    <w:rsid w:val="00494448"/>
    <w:rsid w:val="004A1E55"/>
    <w:rsid w:val="004A38AC"/>
    <w:rsid w:val="004B3D29"/>
    <w:rsid w:val="004B5004"/>
    <w:rsid w:val="004B5682"/>
    <w:rsid w:val="00505DD9"/>
    <w:rsid w:val="00521179"/>
    <w:rsid w:val="005336B7"/>
    <w:rsid w:val="00540188"/>
    <w:rsid w:val="00543809"/>
    <w:rsid w:val="00546B94"/>
    <w:rsid w:val="0057073C"/>
    <w:rsid w:val="00575048"/>
    <w:rsid w:val="005757B8"/>
    <w:rsid w:val="0058671C"/>
    <w:rsid w:val="005A6C2C"/>
    <w:rsid w:val="005B0160"/>
    <w:rsid w:val="005F21E3"/>
    <w:rsid w:val="005F249E"/>
    <w:rsid w:val="005F612B"/>
    <w:rsid w:val="00613D15"/>
    <w:rsid w:val="00620D8C"/>
    <w:rsid w:val="00624CAA"/>
    <w:rsid w:val="00647E43"/>
    <w:rsid w:val="0066786B"/>
    <w:rsid w:val="006A560C"/>
    <w:rsid w:val="006A7EB5"/>
    <w:rsid w:val="006B0504"/>
    <w:rsid w:val="006B3FDE"/>
    <w:rsid w:val="006E4145"/>
    <w:rsid w:val="006F549C"/>
    <w:rsid w:val="00714950"/>
    <w:rsid w:val="00717DC6"/>
    <w:rsid w:val="0078326C"/>
    <w:rsid w:val="0079173A"/>
    <w:rsid w:val="007C1C25"/>
    <w:rsid w:val="007C20BE"/>
    <w:rsid w:val="007C7AFB"/>
    <w:rsid w:val="00820F29"/>
    <w:rsid w:val="008273E8"/>
    <w:rsid w:val="008353FB"/>
    <w:rsid w:val="00836E9E"/>
    <w:rsid w:val="0084512A"/>
    <w:rsid w:val="008940FB"/>
    <w:rsid w:val="00896DB1"/>
    <w:rsid w:val="00897FB0"/>
    <w:rsid w:val="008C1EDC"/>
    <w:rsid w:val="008C3787"/>
    <w:rsid w:val="008C513E"/>
    <w:rsid w:val="008D2053"/>
    <w:rsid w:val="00907375"/>
    <w:rsid w:val="00916A56"/>
    <w:rsid w:val="009470B4"/>
    <w:rsid w:val="00952758"/>
    <w:rsid w:val="00972ED1"/>
    <w:rsid w:val="0098101A"/>
    <w:rsid w:val="00993745"/>
    <w:rsid w:val="009F2BD0"/>
    <w:rsid w:val="00A0792D"/>
    <w:rsid w:val="00A409EB"/>
    <w:rsid w:val="00A4397A"/>
    <w:rsid w:val="00A64F03"/>
    <w:rsid w:val="00A70F15"/>
    <w:rsid w:val="00A76810"/>
    <w:rsid w:val="00A76A98"/>
    <w:rsid w:val="00AB0ED7"/>
    <w:rsid w:val="00AD017F"/>
    <w:rsid w:val="00AD50E1"/>
    <w:rsid w:val="00AE14E6"/>
    <w:rsid w:val="00AF2F62"/>
    <w:rsid w:val="00B1156F"/>
    <w:rsid w:val="00B1799E"/>
    <w:rsid w:val="00B41D1F"/>
    <w:rsid w:val="00B5562A"/>
    <w:rsid w:val="00B67235"/>
    <w:rsid w:val="00BA1E62"/>
    <w:rsid w:val="00BA281D"/>
    <w:rsid w:val="00BC3F49"/>
    <w:rsid w:val="00BE2588"/>
    <w:rsid w:val="00BE4D66"/>
    <w:rsid w:val="00BF4296"/>
    <w:rsid w:val="00BF5BEA"/>
    <w:rsid w:val="00C00523"/>
    <w:rsid w:val="00C02BF2"/>
    <w:rsid w:val="00C17259"/>
    <w:rsid w:val="00C31C7F"/>
    <w:rsid w:val="00C42155"/>
    <w:rsid w:val="00C53A59"/>
    <w:rsid w:val="00CA5B18"/>
    <w:rsid w:val="00CA73A0"/>
    <w:rsid w:val="00CA7DD5"/>
    <w:rsid w:val="00CB2A47"/>
    <w:rsid w:val="00CB3B50"/>
    <w:rsid w:val="00CD25E3"/>
    <w:rsid w:val="00CD28A0"/>
    <w:rsid w:val="00CD5C85"/>
    <w:rsid w:val="00CE4438"/>
    <w:rsid w:val="00D1332B"/>
    <w:rsid w:val="00D14FF4"/>
    <w:rsid w:val="00D43741"/>
    <w:rsid w:val="00D82855"/>
    <w:rsid w:val="00D87B6E"/>
    <w:rsid w:val="00DC0E4D"/>
    <w:rsid w:val="00DF781C"/>
    <w:rsid w:val="00E00CE7"/>
    <w:rsid w:val="00E56D07"/>
    <w:rsid w:val="00E744C3"/>
    <w:rsid w:val="00EF616C"/>
    <w:rsid w:val="00F14B8F"/>
    <w:rsid w:val="00F32554"/>
    <w:rsid w:val="00FD06D7"/>
    <w:rsid w:val="00FF406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1D7B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5B01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1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19D3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F2B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nance-ni.gov.uk/articles/northern-ireland-house-price-index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-ni.gov.uk/articles/about-northern-ireland-house-price-inde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2.%20Community%20&amp;%20Strategic%20Planning%20JD\DATA%20ANALYST\2.%20Statistics%20for%20Website\Housing\2022%20Updates\Residential%20Data%20update%20Q1%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914898568713389E-2"/>
          <c:y val="2.4948024948024949E-2"/>
          <c:w val="0.89947622926444537"/>
          <c:h val="0.79550477188272462"/>
        </c:manualLayout>
      </c:layout>
      <c:lineChart>
        <c:grouping val="standard"/>
        <c:varyColors val="0"/>
        <c:ser>
          <c:idx val="0"/>
          <c:order val="0"/>
          <c:tx>
            <c:strRef>
              <c:f>Sheet4!$C$3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2.7914614121510656E-2"/>
                  <c:y val="1.38600138600138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03C-4846-87E3-54DEE8464976}"/>
                </c:ext>
              </c:extLst>
            </c:dLbl>
            <c:dLbl>
              <c:idx val="31"/>
              <c:layout>
                <c:manualLayout>
                  <c:x val="0"/>
                  <c:y val="2.4948024948024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03C-4846-87E3-54DEE8464976}"/>
                </c:ext>
              </c:extLst>
            </c:dLbl>
            <c:dLbl>
              <c:idx val="60"/>
              <c:layout>
                <c:manualLayout>
                  <c:x val="-1.6420361247947454E-3"/>
                  <c:y val="6.65280665280665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03C-4846-87E3-54DEE84649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Sheet4!$A$16:$B$76</c:f>
              <c:multiLvlStrCache>
                <c:ptCount val="6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Sheet4!$C$16:$C$76</c:f>
              <c:numCache>
                <c:formatCode>"£"#,##0_);[Red]\("£"#,##0\)</c:formatCode>
                <c:ptCount val="61"/>
                <c:pt idx="0">
                  <c:v>184486</c:v>
                </c:pt>
                <c:pt idx="1">
                  <c:v>161640</c:v>
                </c:pt>
                <c:pt idx="2">
                  <c:v>146485</c:v>
                </c:pt>
                <c:pt idx="3">
                  <c:v>138953</c:v>
                </c:pt>
                <c:pt idx="4">
                  <c:v>125126</c:v>
                </c:pt>
                <c:pt idx="5">
                  <c:v>128248</c:v>
                </c:pt>
                <c:pt idx="6">
                  <c:v>125062</c:v>
                </c:pt>
                <c:pt idx="7">
                  <c:v>123414</c:v>
                </c:pt>
                <c:pt idx="8">
                  <c:v>120423</c:v>
                </c:pt>
                <c:pt idx="9">
                  <c:v>116292</c:v>
                </c:pt>
                <c:pt idx="10">
                  <c:v>117214</c:v>
                </c:pt>
                <c:pt idx="11">
                  <c:v>112574</c:v>
                </c:pt>
                <c:pt idx="12">
                  <c:v>108574</c:v>
                </c:pt>
                <c:pt idx="13">
                  <c:v>100970</c:v>
                </c:pt>
                <c:pt idx="14">
                  <c:v>103122</c:v>
                </c:pt>
                <c:pt idx="15">
                  <c:v>98108</c:v>
                </c:pt>
                <c:pt idx="16">
                  <c:v>94044</c:v>
                </c:pt>
                <c:pt idx="17">
                  <c:v>93360</c:v>
                </c:pt>
                <c:pt idx="18">
                  <c:v>86783</c:v>
                </c:pt>
                <c:pt idx="19">
                  <c:v>84527</c:v>
                </c:pt>
                <c:pt idx="20">
                  <c:v>85165</c:v>
                </c:pt>
                <c:pt idx="21">
                  <c:v>86764</c:v>
                </c:pt>
                <c:pt idx="22">
                  <c:v>87505</c:v>
                </c:pt>
                <c:pt idx="23">
                  <c:v>90739</c:v>
                </c:pt>
                <c:pt idx="24">
                  <c:v>91434</c:v>
                </c:pt>
                <c:pt idx="25">
                  <c:v>93307</c:v>
                </c:pt>
                <c:pt idx="26">
                  <c:v>95586</c:v>
                </c:pt>
                <c:pt idx="27">
                  <c:v>97790</c:v>
                </c:pt>
                <c:pt idx="28">
                  <c:v>98572</c:v>
                </c:pt>
                <c:pt idx="29">
                  <c:v>100809</c:v>
                </c:pt>
                <c:pt idx="30">
                  <c:v>104149</c:v>
                </c:pt>
                <c:pt idx="31">
                  <c:v>106688</c:v>
                </c:pt>
                <c:pt idx="32">
                  <c:v>107699</c:v>
                </c:pt>
                <c:pt idx="33">
                  <c:v>111344</c:v>
                </c:pt>
                <c:pt idx="34">
                  <c:v>110290</c:v>
                </c:pt>
                <c:pt idx="35">
                  <c:v>111384</c:v>
                </c:pt>
                <c:pt idx="36">
                  <c:v>113867</c:v>
                </c:pt>
                <c:pt idx="37">
                  <c:v>113596</c:v>
                </c:pt>
                <c:pt idx="38">
                  <c:v>114181</c:v>
                </c:pt>
                <c:pt idx="39">
                  <c:v>116312</c:v>
                </c:pt>
                <c:pt idx="40">
                  <c:v>116042</c:v>
                </c:pt>
                <c:pt idx="41">
                  <c:v>117042</c:v>
                </c:pt>
                <c:pt idx="42">
                  <c:v>116741</c:v>
                </c:pt>
                <c:pt idx="43">
                  <c:v>119929</c:v>
                </c:pt>
                <c:pt idx="44">
                  <c:v>120820</c:v>
                </c:pt>
                <c:pt idx="45">
                  <c:v>119928</c:v>
                </c:pt>
                <c:pt idx="46">
                  <c:v>124268</c:v>
                </c:pt>
                <c:pt idx="47">
                  <c:v>124039</c:v>
                </c:pt>
                <c:pt idx="48">
                  <c:v>124618</c:v>
                </c:pt>
                <c:pt idx="49">
                  <c:v>125312</c:v>
                </c:pt>
                <c:pt idx="50">
                  <c:v>126736</c:v>
                </c:pt>
                <c:pt idx="51">
                  <c:v>128989</c:v>
                </c:pt>
                <c:pt idx="52">
                  <c:v>128520</c:v>
                </c:pt>
                <c:pt idx="53">
                  <c:v>135476</c:v>
                </c:pt>
                <c:pt idx="54">
                  <c:v>141523</c:v>
                </c:pt>
                <c:pt idx="55">
                  <c:v>140168</c:v>
                </c:pt>
                <c:pt idx="56">
                  <c:v>145838</c:v>
                </c:pt>
                <c:pt idx="57">
                  <c:v>150778</c:v>
                </c:pt>
                <c:pt idx="58">
                  <c:v>157156</c:v>
                </c:pt>
                <c:pt idx="59">
                  <c:v>155439</c:v>
                </c:pt>
                <c:pt idx="60">
                  <c:v>154738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03C-4846-87E3-54DEE8464976}"/>
            </c:ext>
          </c:extLst>
        </c:ser>
        <c:ser>
          <c:idx val="1"/>
          <c:order val="1"/>
          <c:tx>
            <c:strRef>
              <c:f>Sheet4!$D$3</c:f>
              <c:strCache>
                <c:ptCount val="1"/>
                <c:pt idx="0">
                  <c:v>Northern Ireland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3136288998357963E-2"/>
                  <c:y val="-2.49480249480249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03C-4846-87E3-54DEE8464976}"/>
                </c:ext>
              </c:extLst>
            </c:dLbl>
            <c:dLbl>
              <c:idx val="31"/>
              <c:layout>
                <c:manualLayout>
                  <c:x val="-2.4630541871921301E-2"/>
                  <c:y val="-4.71240471240471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03C-4846-87E3-54DEE8464976}"/>
                </c:ext>
              </c:extLst>
            </c:dLbl>
            <c:dLbl>
              <c:idx val="60"/>
              <c:layout>
                <c:manualLayout>
                  <c:x val="-1.2041459144531225E-16"/>
                  <c:y val="-3.3264033264033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03C-4846-87E3-54DEE84649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Sheet4!$A$16:$B$76</c:f>
              <c:multiLvlStrCache>
                <c:ptCount val="6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Sheet4!$D$16:$D$76</c:f>
              <c:numCache>
                <c:formatCode>"£"#,##0_);[Red]\("£"#,##0\)</c:formatCode>
                <c:ptCount val="61"/>
                <c:pt idx="0">
                  <c:v>198362</c:v>
                </c:pt>
                <c:pt idx="1">
                  <c:v>185845</c:v>
                </c:pt>
                <c:pt idx="2">
                  <c:v>168076</c:v>
                </c:pt>
                <c:pt idx="3">
                  <c:v>153774</c:v>
                </c:pt>
                <c:pt idx="4">
                  <c:v>140190</c:v>
                </c:pt>
                <c:pt idx="5">
                  <c:v>141489</c:v>
                </c:pt>
                <c:pt idx="6">
                  <c:v>141864</c:v>
                </c:pt>
                <c:pt idx="7">
                  <c:v>141994</c:v>
                </c:pt>
                <c:pt idx="8">
                  <c:v>135701</c:v>
                </c:pt>
                <c:pt idx="9">
                  <c:v>134515</c:v>
                </c:pt>
                <c:pt idx="10">
                  <c:v>132164</c:v>
                </c:pt>
                <c:pt idx="11">
                  <c:v>124515</c:v>
                </c:pt>
                <c:pt idx="12">
                  <c:v>119024</c:v>
                </c:pt>
                <c:pt idx="13">
                  <c:v>117142</c:v>
                </c:pt>
                <c:pt idx="14">
                  <c:v>115108</c:v>
                </c:pt>
                <c:pt idx="15">
                  <c:v>111871</c:v>
                </c:pt>
                <c:pt idx="16">
                  <c:v>104712</c:v>
                </c:pt>
                <c:pt idx="17">
                  <c:v>104987</c:v>
                </c:pt>
                <c:pt idx="18">
                  <c:v>102086</c:v>
                </c:pt>
                <c:pt idx="19">
                  <c:v>99647</c:v>
                </c:pt>
                <c:pt idx="20">
                  <c:v>97428</c:v>
                </c:pt>
                <c:pt idx="21">
                  <c:v>99229</c:v>
                </c:pt>
                <c:pt idx="22">
                  <c:v>101165</c:v>
                </c:pt>
                <c:pt idx="23">
                  <c:v>101879</c:v>
                </c:pt>
                <c:pt idx="24">
                  <c:v>103570</c:v>
                </c:pt>
                <c:pt idx="25">
                  <c:v>107031</c:v>
                </c:pt>
                <c:pt idx="26">
                  <c:v>109116</c:v>
                </c:pt>
                <c:pt idx="27">
                  <c:v>110750</c:v>
                </c:pt>
                <c:pt idx="28">
                  <c:v>110940</c:v>
                </c:pt>
                <c:pt idx="29">
                  <c:v>114340</c:v>
                </c:pt>
                <c:pt idx="30">
                  <c:v>117716</c:v>
                </c:pt>
                <c:pt idx="31">
                  <c:v>118756</c:v>
                </c:pt>
                <c:pt idx="32">
                  <c:v>118851</c:v>
                </c:pt>
                <c:pt idx="33">
                  <c:v>123249</c:v>
                </c:pt>
                <c:pt idx="34">
                  <c:v>124731</c:v>
                </c:pt>
                <c:pt idx="35">
                  <c:v>125059</c:v>
                </c:pt>
                <c:pt idx="36">
                  <c:v>124786</c:v>
                </c:pt>
                <c:pt idx="37">
                  <c:v>127178</c:v>
                </c:pt>
                <c:pt idx="38">
                  <c:v>128878</c:v>
                </c:pt>
                <c:pt idx="39">
                  <c:v>129601</c:v>
                </c:pt>
                <c:pt idx="40">
                  <c:v>130292</c:v>
                </c:pt>
                <c:pt idx="41">
                  <c:v>132095</c:v>
                </c:pt>
                <c:pt idx="42">
                  <c:v>134619</c:v>
                </c:pt>
                <c:pt idx="43">
                  <c:v>136764</c:v>
                </c:pt>
                <c:pt idx="44">
                  <c:v>135434</c:v>
                </c:pt>
                <c:pt idx="45">
                  <c:v>136960</c:v>
                </c:pt>
                <c:pt idx="46">
                  <c:v>139838</c:v>
                </c:pt>
                <c:pt idx="47">
                  <c:v>140141</c:v>
                </c:pt>
                <c:pt idx="48">
                  <c:v>140722</c:v>
                </c:pt>
                <c:pt idx="49">
                  <c:v>140841</c:v>
                </c:pt>
                <c:pt idx="50">
                  <c:v>143723</c:v>
                </c:pt>
                <c:pt idx="51">
                  <c:v>147475</c:v>
                </c:pt>
                <c:pt idx="52">
                  <c:v>149084</c:v>
                </c:pt>
                <c:pt idx="53">
                  <c:v>154323</c:v>
                </c:pt>
                <c:pt idx="54">
                  <c:v>159098</c:v>
                </c:pt>
                <c:pt idx="55">
                  <c:v>159073</c:v>
                </c:pt>
                <c:pt idx="56">
                  <c:v>163877</c:v>
                </c:pt>
                <c:pt idx="57">
                  <c:v>169296</c:v>
                </c:pt>
                <c:pt idx="58">
                  <c:v>175793</c:v>
                </c:pt>
                <c:pt idx="59">
                  <c:v>175135</c:v>
                </c:pt>
                <c:pt idx="60">
                  <c:v>172005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03C-4846-87E3-54DEE84649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3068671"/>
        <c:axId val="653066591"/>
      </c:lineChart>
      <c:catAx>
        <c:axId val="653068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066591"/>
        <c:crosses val="autoZero"/>
        <c:auto val="1"/>
        <c:lblAlgn val="ctr"/>
        <c:lblOffset val="100"/>
        <c:noMultiLvlLbl val="0"/>
      </c:catAx>
      <c:valAx>
        <c:axId val="653066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"/>
              <a:round/>
            </a:ln>
            <a:effectLst/>
          </c:spPr>
        </c:majorGridlines>
        <c:numFmt formatCode="&quot;£&quot;#,##0_);[Red]\(&quot;£&quot;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068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49994181761763"/>
          <c:y val="4.954922214764735E-2"/>
          <c:w val="0.30560425636450617"/>
          <c:h val="0.1133059407075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029752840115376E-2"/>
          <c:y val="4.6858359957401494E-2"/>
          <c:w val="0.91708397769619132"/>
          <c:h val="0.78372032569411254"/>
        </c:manualLayout>
      </c:layout>
      <c:lineChart>
        <c:grouping val="standard"/>
        <c:varyColors val="0"/>
        <c:ser>
          <c:idx val="0"/>
          <c:order val="0"/>
          <c:tx>
            <c:strRef>
              <c:f>'HPI Data'!$C$3</c:f>
              <c:strCache>
                <c:ptCount val="1"/>
                <c:pt idx="0">
                  <c:v>Armagh City, Banbridge and Craigavon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'HPI Data'!$A$16:$B$76</c:f>
              <c:multiLvlStrCache>
                <c:ptCount val="6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'HPI Data'!$C$16:$C$76</c:f>
              <c:numCache>
                <c:formatCode>General</c:formatCode>
                <c:ptCount val="61"/>
                <c:pt idx="0">
                  <c:v>187.2</c:v>
                </c:pt>
                <c:pt idx="1">
                  <c:v>164</c:v>
                </c:pt>
                <c:pt idx="2">
                  <c:v>148.6</c:v>
                </c:pt>
                <c:pt idx="3">
                  <c:v>141</c:v>
                </c:pt>
                <c:pt idx="4">
                  <c:v>126.9</c:v>
                </c:pt>
                <c:pt idx="5">
                  <c:v>130.1</c:v>
                </c:pt>
                <c:pt idx="6">
                  <c:v>126.9</c:v>
                </c:pt>
                <c:pt idx="7">
                  <c:v>125.2</c:v>
                </c:pt>
                <c:pt idx="8">
                  <c:v>122.2</c:v>
                </c:pt>
                <c:pt idx="9">
                  <c:v>118</c:v>
                </c:pt>
                <c:pt idx="10">
                  <c:v>118.9</c:v>
                </c:pt>
                <c:pt idx="11">
                  <c:v>114.2</c:v>
                </c:pt>
                <c:pt idx="12">
                  <c:v>110.1</c:v>
                </c:pt>
                <c:pt idx="13">
                  <c:v>102.4</c:v>
                </c:pt>
                <c:pt idx="14">
                  <c:v>104.6</c:v>
                </c:pt>
                <c:pt idx="15">
                  <c:v>99.5</c:v>
                </c:pt>
                <c:pt idx="16">
                  <c:v>95.4</c:v>
                </c:pt>
                <c:pt idx="17">
                  <c:v>94.7</c:v>
                </c:pt>
                <c:pt idx="18">
                  <c:v>88</c:v>
                </c:pt>
                <c:pt idx="19">
                  <c:v>85.8</c:v>
                </c:pt>
                <c:pt idx="20">
                  <c:v>86.4</c:v>
                </c:pt>
                <c:pt idx="21">
                  <c:v>88</c:v>
                </c:pt>
                <c:pt idx="22">
                  <c:v>88.8</c:v>
                </c:pt>
                <c:pt idx="23">
                  <c:v>92.1</c:v>
                </c:pt>
                <c:pt idx="24">
                  <c:v>92.8</c:v>
                </c:pt>
                <c:pt idx="25">
                  <c:v>94.7</c:v>
                </c:pt>
                <c:pt idx="26">
                  <c:v>97</c:v>
                </c:pt>
                <c:pt idx="27">
                  <c:v>99.2</c:v>
                </c:pt>
                <c:pt idx="28">
                  <c:v>100</c:v>
                </c:pt>
                <c:pt idx="29">
                  <c:v>102.3</c:v>
                </c:pt>
                <c:pt idx="30">
                  <c:v>105.7</c:v>
                </c:pt>
                <c:pt idx="31">
                  <c:v>108.2</c:v>
                </c:pt>
                <c:pt idx="32">
                  <c:v>109.3</c:v>
                </c:pt>
                <c:pt idx="33">
                  <c:v>113</c:v>
                </c:pt>
                <c:pt idx="34">
                  <c:v>111.9</c:v>
                </c:pt>
                <c:pt idx="35">
                  <c:v>113</c:v>
                </c:pt>
                <c:pt idx="36">
                  <c:v>115.5</c:v>
                </c:pt>
                <c:pt idx="37">
                  <c:v>115.2</c:v>
                </c:pt>
                <c:pt idx="38">
                  <c:v>115.8</c:v>
                </c:pt>
                <c:pt idx="39">
                  <c:v>118</c:v>
                </c:pt>
                <c:pt idx="40">
                  <c:v>117.7</c:v>
                </c:pt>
                <c:pt idx="41">
                  <c:v>118.7</c:v>
                </c:pt>
                <c:pt idx="42">
                  <c:v>118.4</c:v>
                </c:pt>
                <c:pt idx="43">
                  <c:v>121.7</c:v>
                </c:pt>
                <c:pt idx="44">
                  <c:v>122.6</c:v>
                </c:pt>
                <c:pt idx="45">
                  <c:v>121.7</c:v>
                </c:pt>
                <c:pt idx="46">
                  <c:v>126.1</c:v>
                </c:pt>
                <c:pt idx="47">
                  <c:v>125.8</c:v>
                </c:pt>
                <c:pt idx="48">
                  <c:v>126.4</c:v>
                </c:pt>
                <c:pt idx="49">
                  <c:v>127.1</c:v>
                </c:pt>
                <c:pt idx="50">
                  <c:v>128.6</c:v>
                </c:pt>
                <c:pt idx="51">
                  <c:v>130.9</c:v>
                </c:pt>
                <c:pt idx="52">
                  <c:v>130.4</c:v>
                </c:pt>
                <c:pt idx="53">
                  <c:v>137.4</c:v>
                </c:pt>
                <c:pt idx="54">
                  <c:v>143.6</c:v>
                </c:pt>
                <c:pt idx="55">
                  <c:v>142.19999999999999</c:v>
                </c:pt>
                <c:pt idx="56">
                  <c:v>148</c:v>
                </c:pt>
                <c:pt idx="57">
                  <c:v>153</c:v>
                </c:pt>
                <c:pt idx="58">
                  <c:v>159.4</c:v>
                </c:pt>
                <c:pt idx="59">
                  <c:v>157.69999999999999</c:v>
                </c:pt>
                <c:pt idx="60">
                  <c:v>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E8-4EE6-BE7E-62B2CBB39B31}"/>
            </c:ext>
          </c:extLst>
        </c:ser>
        <c:ser>
          <c:idx val="1"/>
          <c:order val="1"/>
          <c:tx>
            <c:strRef>
              <c:f>'HPI Data'!$D$3</c:f>
              <c:strCache>
                <c:ptCount val="1"/>
                <c:pt idx="0">
                  <c:v>Northern Ireland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'HPI Data'!$A$16:$B$76</c:f>
              <c:multiLvlStrCache>
                <c:ptCount val="6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  <c:pt idx="41">
                    <c:v>Q2</c:v>
                  </c:pt>
                  <c:pt idx="42">
                    <c:v>Q3</c:v>
                  </c:pt>
                  <c:pt idx="43">
                    <c:v>Q4</c:v>
                  </c:pt>
                  <c:pt idx="44">
                    <c:v>Q1</c:v>
                  </c:pt>
                  <c:pt idx="45">
                    <c:v>Q2</c:v>
                  </c:pt>
                  <c:pt idx="46">
                    <c:v>Q3</c:v>
                  </c:pt>
                  <c:pt idx="47">
                    <c:v>Q4</c:v>
                  </c:pt>
                  <c:pt idx="48">
                    <c:v>Q1</c:v>
                  </c:pt>
                  <c:pt idx="49">
                    <c:v>Q2</c:v>
                  </c:pt>
                  <c:pt idx="50">
                    <c:v>Q3</c:v>
                  </c:pt>
                  <c:pt idx="51">
                    <c:v>Q4</c:v>
                  </c:pt>
                  <c:pt idx="52">
                    <c:v>Q1</c:v>
                  </c:pt>
                  <c:pt idx="53">
                    <c:v>Q2</c:v>
                  </c:pt>
                  <c:pt idx="54">
                    <c:v>Q3</c:v>
                  </c:pt>
                  <c:pt idx="55">
                    <c:v>Q4</c:v>
                  </c:pt>
                  <c:pt idx="56">
                    <c:v>Q1</c:v>
                  </c:pt>
                  <c:pt idx="57">
                    <c:v>Q2</c:v>
                  </c:pt>
                  <c:pt idx="58">
                    <c:v>Q3</c:v>
                  </c:pt>
                  <c:pt idx="59">
                    <c:v>Q4</c:v>
                  </c:pt>
                  <c:pt idx="60">
                    <c:v>Q1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  <c:pt idx="44">
                    <c:v>2019</c:v>
                  </c:pt>
                  <c:pt idx="48">
                    <c:v>2020</c:v>
                  </c:pt>
                  <c:pt idx="52">
                    <c:v>2021</c:v>
                  </c:pt>
                  <c:pt idx="56">
                    <c:v>2022</c:v>
                  </c:pt>
                  <c:pt idx="60">
                    <c:v>2023</c:v>
                  </c:pt>
                </c:lvl>
              </c:multiLvlStrCache>
            </c:multiLvlStrRef>
          </c:cat>
          <c:val>
            <c:numRef>
              <c:f>'HPI Data'!$D$16:$D$76</c:f>
              <c:numCache>
                <c:formatCode>General</c:formatCode>
                <c:ptCount val="61"/>
                <c:pt idx="0">
                  <c:v>178.8</c:v>
                </c:pt>
                <c:pt idx="1">
                  <c:v>167.5</c:v>
                </c:pt>
                <c:pt idx="2">
                  <c:v>151.5</c:v>
                </c:pt>
                <c:pt idx="3">
                  <c:v>138.6</c:v>
                </c:pt>
                <c:pt idx="4">
                  <c:v>126.4</c:v>
                </c:pt>
                <c:pt idx="5">
                  <c:v>127.5</c:v>
                </c:pt>
                <c:pt idx="6">
                  <c:v>127.9</c:v>
                </c:pt>
                <c:pt idx="7">
                  <c:v>128</c:v>
                </c:pt>
                <c:pt idx="8">
                  <c:v>122.3</c:v>
                </c:pt>
                <c:pt idx="9">
                  <c:v>121.3</c:v>
                </c:pt>
                <c:pt idx="10">
                  <c:v>119.1</c:v>
                </c:pt>
                <c:pt idx="11">
                  <c:v>112.2</c:v>
                </c:pt>
                <c:pt idx="12">
                  <c:v>107.3</c:v>
                </c:pt>
                <c:pt idx="13">
                  <c:v>105.6</c:v>
                </c:pt>
                <c:pt idx="14">
                  <c:v>103.8</c:v>
                </c:pt>
                <c:pt idx="15">
                  <c:v>100.8</c:v>
                </c:pt>
                <c:pt idx="16">
                  <c:v>94.4</c:v>
                </c:pt>
                <c:pt idx="17">
                  <c:v>94.6</c:v>
                </c:pt>
                <c:pt idx="18">
                  <c:v>92</c:v>
                </c:pt>
                <c:pt idx="19">
                  <c:v>89.8</c:v>
                </c:pt>
                <c:pt idx="20">
                  <c:v>87.8</c:v>
                </c:pt>
                <c:pt idx="21">
                  <c:v>89.4</c:v>
                </c:pt>
                <c:pt idx="22">
                  <c:v>91.2</c:v>
                </c:pt>
                <c:pt idx="23">
                  <c:v>91.8</c:v>
                </c:pt>
                <c:pt idx="24">
                  <c:v>93.4</c:v>
                </c:pt>
                <c:pt idx="25">
                  <c:v>96.5</c:v>
                </c:pt>
                <c:pt idx="26">
                  <c:v>98.4</c:v>
                </c:pt>
                <c:pt idx="27">
                  <c:v>99.8</c:v>
                </c:pt>
                <c:pt idx="28">
                  <c:v>100</c:v>
                </c:pt>
                <c:pt idx="29">
                  <c:v>103.1</c:v>
                </c:pt>
                <c:pt idx="30">
                  <c:v>106.1</c:v>
                </c:pt>
                <c:pt idx="31">
                  <c:v>107</c:v>
                </c:pt>
                <c:pt idx="32">
                  <c:v>107.1</c:v>
                </c:pt>
                <c:pt idx="33">
                  <c:v>111.1</c:v>
                </c:pt>
                <c:pt idx="34">
                  <c:v>112.4</c:v>
                </c:pt>
                <c:pt idx="35">
                  <c:v>112.7</c:v>
                </c:pt>
                <c:pt idx="36">
                  <c:v>112.5</c:v>
                </c:pt>
                <c:pt idx="37">
                  <c:v>114.6</c:v>
                </c:pt>
                <c:pt idx="38">
                  <c:v>116.2</c:v>
                </c:pt>
                <c:pt idx="39">
                  <c:v>116.8</c:v>
                </c:pt>
                <c:pt idx="40">
                  <c:v>117.4</c:v>
                </c:pt>
                <c:pt idx="41">
                  <c:v>119.1</c:v>
                </c:pt>
                <c:pt idx="42">
                  <c:v>121.3</c:v>
                </c:pt>
                <c:pt idx="43">
                  <c:v>123.3</c:v>
                </c:pt>
                <c:pt idx="44">
                  <c:v>122.1</c:v>
                </c:pt>
                <c:pt idx="45">
                  <c:v>123.5</c:v>
                </c:pt>
                <c:pt idx="46">
                  <c:v>126</c:v>
                </c:pt>
                <c:pt idx="47">
                  <c:v>126.3</c:v>
                </c:pt>
                <c:pt idx="48">
                  <c:v>126.8</c:v>
                </c:pt>
                <c:pt idx="49">
                  <c:v>127</c:v>
                </c:pt>
                <c:pt idx="50">
                  <c:v>129.6</c:v>
                </c:pt>
                <c:pt idx="51">
                  <c:v>132.9</c:v>
                </c:pt>
                <c:pt idx="52">
                  <c:v>134.4</c:v>
                </c:pt>
                <c:pt idx="53">
                  <c:v>139.1</c:v>
                </c:pt>
                <c:pt idx="54">
                  <c:v>143.4</c:v>
                </c:pt>
                <c:pt idx="55">
                  <c:v>143.4</c:v>
                </c:pt>
                <c:pt idx="56">
                  <c:v>147.69999999999999</c:v>
                </c:pt>
                <c:pt idx="57">
                  <c:v>152.6</c:v>
                </c:pt>
                <c:pt idx="58">
                  <c:v>158.5</c:v>
                </c:pt>
                <c:pt idx="59">
                  <c:v>157.9</c:v>
                </c:pt>
                <c:pt idx="60">
                  <c:v>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E8-4EE6-BE7E-62B2CBB39B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0014415"/>
        <c:axId val="1920013167"/>
      </c:lineChart>
      <c:catAx>
        <c:axId val="1920014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0013167"/>
        <c:crosses val="autoZero"/>
        <c:auto val="1"/>
        <c:lblAlgn val="ctr"/>
        <c:lblOffset val="100"/>
        <c:noMultiLvlLbl val="0"/>
      </c:catAx>
      <c:valAx>
        <c:axId val="1920013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lgDashDot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0014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224054346147904"/>
          <c:y val="4.3426268631121652E-2"/>
          <c:w val="0.35199146630735328"/>
          <c:h val="8.1286517951136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Sheet7!$J$6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67E-4CE8-982C-1BBF1AE07CBB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67E-4CE8-982C-1BBF1AE07CBB}"/>
                </c:ext>
              </c:extLst>
            </c:dLbl>
            <c:dLbl>
              <c:idx val="2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67E-4CE8-982C-1BBF1AE07CBB}"/>
                </c:ext>
              </c:extLst>
            </c:dLbl>
            <c:dLbl>
              <c:idx val="2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67E-4CE8-982C-1BBF1AE07CBB}"/>
                </c:ext>
              </c:extLst>
            </c:dLbl>
            <c:dLbl>
              <c:idx val="32"/>
              <c:layout>
                <c:manualLayout>
                  <c:x val="0"/>
                  <c:y val="2.306805074971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67E-4CE8-982C-1BBF1AE07C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Sheet7!$I$7:$I$39</c:f>
              <c:strCache>
                <c:ptCount val="33"/>
                <c:pt idx="0">
                  <c:v>2015 – Q1</c:v>
                </c:pt>
                <c:pt idx="1">
                  <c:v>2015 – Q2</c:v>
                </c:pt>
                <c:pt idx="2">
                  <c:v>2015 – Q3</c:v>
                </c:pt>
                <c:pt idx="3">
                  <c:v>2015 – Q4</c:v>
                </c:pt>
                <c:pt idx="4">
                  <c:v>2016 – Q1</c:v>
                </c:pt>
                <c:pt idx="5">
                  <c:v>2016 – Q2</c:v>
                </c:pt>
                <c:pt idx="6">
                  <c:v>2016 – Q3</c:v>
                </c:pt>
                <c:pt idx="7">
                  <c:v>2016 – Q4</c:v>
                </c:pt>
                <c:pt idx="8">
                  <c:v>2017 – Q1</c:v>
                </c:pt>
                <c:pt idx="9">
                  <c:v>2017 – Q2</c:v>
                </c:pt>
                <c:pt idx="10">
                  <c:v>2017 – Q3</c:v>
                </c:pt>
                <c:pt idx="11">
                  <c:v>2017 – Q4</c:v>
                </c:pt>
                <c:pt idx="12">
                  <c:v>2018 – Q1</c:v>
                </c:pt>
                <c:pt idx="13">
                  <c:v>2018 – Q2</c:v>
                </c:pt>
                <c:pt idx="14">
                  <c:v>2018 – Q3</c:v>
                </c:pt>
                <c:pt idx="15">
                  <c:v>2018 – Q4</c:v>
                </c:pt>
                <c:pt idx="16">
                  <c:v>2019 – Q1</c:v>
                </c:pt>
                <c:pt idx="17">
                  <c:v>2019 – Q2</c:v>
                </c:pt>
                <c:pt idx="18">
                  <c:v>2019 – Q3</c:v>
                </c:pt>
                <c:pt idx="19">
                  <c:v>2019 – Q4</c:v>
                </c:pt>
                <c:pt idx="20">
                  <c:v>2020 – Q1</c:v>
                </c:pt>
                <c:pt idx="21">
                  <c:v>2020 - Q2</c:v>
                </c:pt>
                <c:pt idx="22">
                  <c:v>2020 - Q3</c:v>
                </c:pt>
                <c:pt idx="23">
                  <c:v>2020 - Q4</c:v>
                </c:pt>
                <c:pt idx="24">
                  <c:v>2021 - Q1</c:v>
                </c:pt>
                <c:pt idx="25">
                  <c:v>2021 - Q2</c:v>
                </c:pt>
                <c:pt idx="26">
                  <c:v>2021 - Q3</c:v>
                </c:pt>
                <c:pt idx="27">
                  <c:v>2021 - Q4</c:v>
                </c:pt>
                <c:pt idx="28">
                  <c:v>2022 - Q1</c:v>
                </c:pt>
                <c:pt idx="29">
                  <c:v>2022 - Q2</c:v>
                </c:pt>
                <c:pt idx="30">
                  <c:v>2022 - Q3</c:v>
                </c:pt>
                <c:pt idx="31">
                  <c:v>2022 - Q4</c:v>
                </c:pt>
                <c:pt idx="32">
                  <c:v>2023 - Q1</c:v>
                </c:pt>
              </c:strCache>
            </c:strRef>
          </c:cat>
          <c:val>
            <c:numRef>
              <c:f>Sheet7!$J$7:$J$39</c:f>
              <c:numCache>
                <c:formatCode>General</c:formatCode>
                <c:ptCount val="33"/>
                <c:pt idx="0">
                  <c:v>515</c:v>
                </c:pt>
                <c:pt idx="1">
                  <c:v>566</c:v>
                </c:pt>
                <c:pt idx="2">
                  <c:v>613</c:v>
                </c:pt>
                <c:pt idx="3">
                  <c:v>683</c:v>
                </c:pt>
                <c:pt idx="4">
                  <c:v>692</c:v>
                </c:pt>
                <c:pt idx="5">
                  <c:v>534</c:v>
                </c:pt>
                <c:pt idx="6">
                  <c:v>643</c:v>
                </c:pt>
                <c:pt idx="7">
                  <c:v>706</c:v>
                </c:pt>
                <c:pt idx="8">
                  <c:v>600</c:v>
                </c:pt>
                <c:pt idx="9">
                  <c:v>686</c:v>
                </c:pt>
                <c:pt idx="10">
                  <c:v>738</c:v>
                </c:pt>
                <c:pt idx="11">
                  <c:v>823</c:v>
                </c:pt>
                <c:pt idx="12">
                  <c:v>611</c:v>
                </c:pt>
                <c:pt idx="13">
                  <c:v>711</c:v>
                </c:pt>
                <c:pt idx="14">
                  <c:v>744</c:v>
                </c:pt>
                <c:pt idx="15">
                  <c:v>759</c:v>
                </c:pt>
                <c:pt idx="16">
                  <c:v>553</c:v>
                </c:pt>
                <c:pt idx="17">
                  <c:v>719</c:v>
                </c:pt>
                <c:pt idx="18">
                  <c:v>735</c:v>
                </c:pt>
                <c:pt idx="19">
                  <c:v>834</c:v>
                </c:pt>
                <c:pt idx="20">
                  <c:v>638</c:v>
                </c:pt>
                <c:pt idx="21" formatCode="#,##0">
                  <c:v>279</c:v>
                </c:pt>
                <c:pt idx="22" formatCode="#,##0">
                  <c:v>631</c:v>
                </c:pt>
                <c:pt idx="23" formatCode="#,##0">
                  <c:v>974</c:v>
                </c:pt>
                <c:pt idx="24" formatCode="#,##0">
                  <c:v>849</c:v>
                </c:pt>
                <c:pt idx="25" formatCode="#,##0">
                  <c:v>823</c:v>
                </c:pt>
                <c:pt idx="26" formatCode="#,##0">
                  <c:v>985</c:v>
                </c:pt>
                <c:pt idx="27" formatCode="#,##0">
                  <c:v>851</c:v>
                </c:pt>
                <c:pt idx="28">
                  <c:v>621</c:v>
                </c:pt>
                <c:pt idx="29">
                  <c:v>752</c:v>
                </c:pt>
                <c:pt idx="30">
                  <c:v>757</c:v>
                </c:pt>
                <c:pt idx="31">
                  <c:v>753</c:v>
                </c:pt>
                <c:pt idx="32">
                  <c:v>483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67E-4CE8-982C-1BBF1AE07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5430128"/>
        <c:axId val="1545404752"/>
      </c:lineChart>
      <c:catAx>
        <c:axId val="154543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404752"/>
        <c:crosses val="autoZero"/>
        <c:auto val="1"/>
        <c:lblAlgn val="ctr"/>
        <c:lblOffset val="100"/>
        <c:noMultiLvlLbl val="0"/>
      </c:catAx>
      <c:valAx>
        <c:axId val="154540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430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AEE5-A2DA-48EF-97D2-0E156B6E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9</cp:revision>
  <cp:lastPrinted>2022-09-08T08:24:00Z</cp:lastPrinted>
  <dcterms:created xsi:type="dcterms:W3CDTF">2023-06-05T14:10:00Z</dcterms:created>
  <dcterms:modified xsi:type="dcterms:W3CDTF">2023-06-08T10:55:00Z</dcterms:modified>
</cp:coreProperties>
</file>