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78" w:rsidRDefault="00106892">
      <w:pPr>
        <w:rPr>
          <w:b/>
        </w:rPr>
      </w:pPr>
      <w:r w:rsidRPr="00106892">
        <w:rPr>
          <w:b/>
        </w:rPr>
        <w:t xml:space="preserve">District Electoral Areas </w:t>
      </w:r>
    </w:p>
    <w:p w:rsidR="00106892" w:rsidRDefault="00503482">
      <w:r>
        <w:t xml:space="preserve">In 2008, the Northern Ireland Assembly approved the reform of Local Government. The change moved Local Government from 26 Districts to 11 new Districts, as well as making changes to the powers of Local Government. The new 11 Districts are made up </w:t>
      </w:r>
      <w:r w:rsidR="00377489">
        <w:t>of 80 District Electoral Areas, which form the basis for the electoral representation on councils.</w:t>
      </w:r>
    </w:p>
    <w:p w:rsidR="00377489" w:rsidRDefault="00377489">
      <w:r>
        <w:t>Armagh City, Banbridge and Craigavon Borough is made up of seven District Electoral Areas</w:t>
      </w:r>
      <w:r w:rsidR="0037158B">
        <w:t xml:space="preserve"> as shown below</w:t>
      </w:r>
      <w:r>
        <w:t xml:space="preserve">: Armagh, Banbridge, Craigavon, </w:t>
      </w:r>
      <w:proofErr w:type="spellStart"/>
      <w:r>
        <w:t>Cusher</w:t>
      </w:r>
      <w:proofErr w:type="spellEnd"/>
      <w:r>
        <w:t xml:space="preserve">, Lagan River, </w:t>
      </w:r>
      <w:proofErr w:type="spellStart"/>
      <w:r>
        <w:t>Lurgan</w:t>
      </w:r>
      <w:proofErr w:type="spellEnd"/>
      <w:r>
        <w:t xml:space="preserve"> and </w:t>
      </w:r>
      <w:proofErr w:type="spellStart"/>
      <w:r>
        <w:t>Portadown</w:t>
      </w:r>
      <w:proofErr w:type="spellEnd"/>
      <w:r>
        <w:t>.</w:t>
      </w:r>
    </w:p>
    <w:p w:rsidR="008353E9" w:rsidRDefault="008353E9"/>
    <w:p w:rsidR="0037158B" w:rsidRDefault="008353E9" w:rsidP="0037158B">
      <w:pPr>
        <w:rPr>
          <w:i/>
          <w:sz w:val="20"/>
          <w:szCs w:val="20"/>
        </w:rPr>
      </w:pPr>
      <w:r w:rsidRPr="008353E9">
        <w:rPr>
          <w:noProof/>
          <w:lang w:eastAsia="en-GB"/>
        </w:rPr>
        <w:drawing>
          <wp:inline distT="0" distB="0" distL="0" distR="0">
            <wp:extent cx="5648325" cy="2953372"/>
            <wp:effectExtent l="19050" t="19050" r="9525" b="19050"/>
            <wp:docPr id="1" name="Picture 1" descr="S:\NISRA Statistician\GIS\Map documents\DEAs\DEAs_ABC blue.jpg" title="District Electoral Areas within Armagh City, Banbridge and Craigavon Borou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SRA Statistician\GIS\Map documents\DEAs\DEAs_ABC blu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3096" cy="2955867"/>
                    </a:xfrm>
                    <a:prstGeom prst="rect">
                      <a:avLst/>
                    </a:prstGeom>
                    <a:ln w="12700" cap="sq">
                      <a:solidFill>
                        <a:srgbClr val="000000"/>
                      </a:solidFill>
                      <a:prstDash val="solid"/>
                      <a:miter lim="800000"/>
                    </a:ln>
                    <a:effectLst/>
                  </pic:spPr>
                </pic:pic>
              </a:graphicData>
            </a:graphic>
          </wp:inline>
        </w:drawing>
      </w:r>
      <w:r w:rsidR="0037158B">
        <w:rPr>
          <w:i/>
          <w:sz w:val="20"/>
          <w:szCs w:val="20"/>
        </w:rPr>
        <w:t>Figure</w:t>
      </w:r>
      <w:r w:rsidR="007366E0">
        <w:rPr>
          <w:i/>
          <w:sz w:val="20"/>
          <w:szCs w:val="20"/>
        </w:rPr>
        <w:t xml:space="preserve"> 1:</w:t>
      </w:r>
      <w:r w:rsidR="0037158B" w:rsidRPr="002A2185">
        <w:rPr>
          <w:i/>
          <w:sz w:val="20"/>
          <w:szCs w:val="20"/>
        </w:rPr>
        <w:t xml:space="preserve"> </w:t>
      </w:r>
      <w:r w:rsidR="0037158B">
        <w:rPr>
          <w:i/>
          <w:sz w:val="20"/>
          <w:szCs w:val="20"/>
        </w:rPr>
        <w:t>District Electoral Areas within Armagh City, Banbridge and Craigavon Borough</w:t>
      </w:r>
      <w:r w:rsidR="0037158B" w:rsidRPr="002A2185">
        <w:rPr>
          <w:i/>
          <w:sz w:val="20"/>
          <w:szCs w:val="20"/>
        </w:rPr>
        <w:t>.</w:t>
      </w:r>
    </w:p>
    <w:p w:rsidR="00BA03F2" w:rsidRDefault="00BA03F2" w:rsidP="0037158B"/>
    <w:p w:rsidR="00B10B2B" w:rsidRPr="00B10B2B" w:rsidRDefault="00B10B2B" w:rsidP="0037158B">
      <w:pPr>
        <w:rPr>
          <w:u w:val="single"/>
        </w:rPr>
      </w:pPr>
      <w:r w:rsidRPr="00B10B2B">
        <w:rPr>
          <w:u w:val="single"/>
        </w:rPr>
        <w:t>Census 2021</w:t>
      </w:r>
    </w:p>
    <w:p w:rsidR="00B10B2B" w:rsidRDefault="002C6837" w:rsidP="00B10B2B">
      <w:r>
        <w:t>On Census Day 202</w:t>
      </w:r>
      <w:r w:rsidR="00B10B2B">
        <w:t xml:space="preserve">1 the usual resident population of Armagh City, Banbridge and Craigavon Borough was </w:t>
      </w:r>
      <w:r>
        <w:t>218,656.</w:t>
      </w:r>
      <w:r w:rsidR="00B10B2B">
        <w:t xml:space="preserve"> This accounted for 11.</w:t>
      </w:r>
      <w:r>
        <w:t>5</w:t>
      </w:r>
      <w:r w:rsidR="00B10B2B">
        <w:t>% of the Northern Ireland population, the second largest council in terms of population after Belfast.</w:t>
      </w:r>
    </w:p>
    <w:p w:rsidR="00BE1AB0" w:rsidRDefault="00BE1AB0" w:rsidP="0037158B">
      <w:r>
        <w:t xml:space="preserve">The largest district </w:t>
      </w:r>
      <w:proofErr w:type="spellStart"/>
      <w:r>
        <w:t>District</w:t>
      </w:r>
      <w:proofErr w:type="spellEnd"/>
      <w:r>
        <w:t xml:space="preserve"> Electoral Area (DEA) in the borough on Census Day in terms of population was </w:t>
      </w:r>
      <w:proofErr w:type="spellStart"/>
      <w:r>
        <w:t>Lurgan</w:t>
      </w:r>
      <w:proofErr w:type="spellEnd"/>
      <w:r>
        <w:t xml:space="preserve"> </w:t>
      </w:r>
      <w:r w:rsidR="007366E0">
        <w:t xml:space="preserve">DEA </w:t>
      </w:r>
      <w:r>
        <w:t xml:space="preserve">with a usual resident population of </w:t>
      </w:r>
      <w:r w:rsidR="00B933F9">
        <w:t>approximately 38,200</w:t>
      </w:r>
      <w:r>
        <w:t xml:space="preserve"> (17.5% of the borough’s population). This was closely followed by Banbridge DEA with a population of </w:t>
      </w:r>
      <w:r w:rsidR="00B933F9">
        <w:t>34,940 (16</w:t>
      </w:r>
      <w:r>
        <w:t xml:space="preserve">% of the borough’s population). The smallest DEA in the borough was Lagan River with a population of </w:t>
      </w:r>
      <w:r w:rsidR="00B933F9">
        <w:t>24,800</w:t>
      </w:r>
      <w:r>
        <w:t xml:space="preserve"> (11.</w:t>
      </w:r>
      <w:r w:rsidR="00B933F9">
        <w:t>3</w:t>
      </w:r>
      <w:r>
        <w:t>% of the borough’s population).</w:t>
      </w:r>
    </w:p>
    <w:p w:rsidR="00252044" w:rsidRDefault="00BE1AB0" w:rsidP="0037158B">
      <w:r>
        <w:t>Ther</w:t>
      </w:r>
      <w:r w:rsidR="00B933F9">
        <w:t>e were 108,270 males (49.5%) and 110,387 females (50.5</w:t>
      </w:r>
      <w:r>
        <w:t xml:space="preserve">%) resident </w:t>
      </w:r>
      <w:r w:rsidR="001649A9">
        <w:t>in the borough on Census Day 202</w:t>
      </w:r>
      <w:bookmarkStart w:id="0" w:name="_GoBack"/>
      <w:bookmarkEnd w:id="0"/>
      <w:r>
        <w:t xml:space="preserve">1. The proportions of males and females were relatively similar across the seven DEAs in the borough. </w:t>
      </w:r>
    </w:p>
    <w:p w:rsidR="00252044" w:rsidRDefault="00252044" w:rsidP="0037158B"/>
    <w:p w:rsidR="00B933F9" w:rsidRDefault="00B933F9" w:rsidP="0037158B"/>
    <w:p w:rsidR="00B933F9" w:rsidRDefault="00B933F9" w:rsidP="00780BD9">
      <w:pPr>
        <w:rPr>
          <w:i/>
          <w:sz w:val="20"/>
          <w:szCs w:val="20"/>
        </w:rPr>
      </w:pPr>
    </w:p>
    <w:tbl>
      <w:tblPr>
        <w:tblW w:w="8500" w:type="dxa"/>
        <w:tblLayout w:type="fixed"/>
        <w:tblLook w:val="04A0" w:firstRow="1" w:lastRow="0" w:firstColumn="1" w:lastColumn="0" w:noHBand="0" w:noVBand="1"/>
      </w:tblPr>
      <w:tblGrid>
        <w:gridCol w:w="1740"/>
        <w:gridCol w:w="1352"/>
        <w:gridCol w:w="1352"/>
        <w:gridCol w:w="1352"/>
        <w:gridCol w:w="1352"/>
        <w:gridCol w:w="1352"/>
      </w:tblGrid>
      <w:tr w:rsidR="00B933F9" w:rsidRPr="00712EC9" w:rsidTr="00B933F9">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lastRenderedPageBreak/>
              <w:t>DEA </w:t>
            </w:r>
          </w:p>
        </w:tc>
        <w:tc>
          <w:tcPr>
            <w:tcW w:w="1352" w:type="dxa"/>
            <w:tcBorders>
              <w:top w:val="single" w:sz="4" w:space="0" w:color="auto"/>
              <w:left w:val="nil"/>
              <w:bottom w:val="single" w:sz="4" w:space="0" w:color="auto"/>
              <w:right w:val="single" w:sz="4" w:space="0" w:color="auto"/>
            </w:tcBorders>
            <w:shd w:val="clear" w:color="auto" w:fill="auto"/>
            <w:vAlign w:val="bottom"/>
            <w:hideMark/>
          </w:tcPr>
          <w:p w:rsidR="00B933F9" w:rsidRPr="00712EC9" w:rsidRDefault="00B933F9" w:rsidP="00B933F9">
            <w:pPr>
              <w:spacing w:after="0" w:line="240" w:lineRule="auto"/>
              <w:jc w:val="center"/>
              <w:rPr>
                <w:rFonts w:asciiTheme="majorHAnsi" w:eastAsia="Times New Roman" w:hAnsiTheme="majorHAnsi" w:cstheme="majorHAnsi"/>
                <w:b/>
                <w:bCs/>
                <w:color w:val="000000"/>
                <w:lang w:eastAsia="en-GB"/>
              </w:rPr>
            </w:pPr>
            <w:r w:rsidRPr="00712EC9">
              <w:rPr>
                <w:rFonts w:asciiTheme="majorHAnsi" w:eastAsia="Times New Roman" w:hAnsiTheme="majorHAnsi" w:cstheme="majorHAnsi"/>
                <w:b/>
                <w:bCs/>
                <w:color w:val="000000"/>
                <w:lang w:eastAsia="en-GB"/>
              </w:rPr>
              <w:t>Female</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t>%</w:t>
            </w:r>
          </w:p>
        </w:tc>
        <w:tc>
          <w:tcPr>
            <w:tcW w:w="1352" w:type="dxa"/>
            <w:tcBorders>
              <w:top w:val="single" w:sz="4" w:space="0" w:color="auto"/>
              <w:left w:val="nil"/>
              <w:bottom w:val="single" w:sz="4" w:space="0" w:color="auto"/>
              <w:right w:val="single" w:sz="4" w:space="0" w:color="auto"/>
            </w:tcBorders>
            <w:shd w:val="clear" w:color="auto" w:fill="auto"/>
            <w:vAlign w:val="bottom"/>
            <w:hideMark/>
          </w:tcPr>
          <w:p w:rsidR="00B933F9" w:rsidRPr="00712EC9" w:rsidRDefault="00B933F9" w:rsidP="00B933F9">
            <w:pPr>
              <w:spacing w:after="0" w:line="240" w:lineRule="auto"/>
              <w:jc w:val="center"/>
              <w:rPr>
                <w:rFonts w:asciiTheme="majorHAnsi" w:eastAsia="Times New Roman" w:hAnsiTheme="majorHAnsi" w:cstheme="majorHAnsi"/>
                <w:b/>
                <w:bCs/>
                <w:color w:val="000000"/>
                <w:lang w:eastAsia="en-GB"/>
              </w:rPr>
            </w:pPr>
            <w:r w:rsidRPr="00712EC9">
              <w:rPr>
                <w:rFonts w:asciiTheme="majorHAnsi" w:eastAsia="Times New Roman" w:hAnsiTheme="majorHAnsi" w:cstheme="majorHAnsi"/>
                <w:b/>
                <w:bCs/>
                <w:color w:val="000000"/>
                <w:lang w:eastAsia="en-GB"/>
              </w:rPr>
              <w:t>Male</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t>%</w:t>
            </w:r>
          </w:p>
        </w:tc>
        <w:tc>
          <w:tcPr>
            <w:tcW w:w="1352" w:type="dxa"/>
            <w:tcBorders>
              <w:top w:val="single" w:sz="4" w:space="0" w:color="auto"/>
              <w:left w:val="nil"/>
              <w:bottom w:val="single" w:sz="4" w:space="0" w:color="auto"/>
              <w:right w:val="single" w:sz="4" w:space="0" w:color="auto"/>
            </w:tcBorders>
            <w:shd w:val="clear" w:color="auto" w:fill="auto"/>
            <w:vAlign w:val="bottom"/>
            <w:hideMark/>
          </w:tcPr>
          <w:p w:rsidR="00B933F9" w:rsidRPr="00712EC9" w:rsidRDefault="00B933F9" w:rsidP="00B933F9">
            <w:pPr>
              <w:spacing w:after="0" w:line="240" w:lineRule="auto"/>
              <w:jc w:val="center"/>
              <w:rPr>
                <w:rFonts w:asciiTheme="majorHAnsi" w:eastAsia="Times New Roman" w:hAnsiTheme="majorHAnsi" w:cstheme="majorHAnsi"/>
                <w:b/>
                <w:bCs/>
                <w:color w:val="000000"/>
                <w:lang w:eastAsia="en-GB"/>
              </w:rPr>
            </w:pPr>
            <w:r w:rsidRPr="00712EC9">
              <w:rPr>
                <w:rFonts w:asciiTheme="majorHAnsi" w:eastAsia="Times New Roman" w:hAnsiTheme="majorHAnsi" w:cstheme="majorHAnsi"/>
                <w:b/>
                <w:bCs/>
                <w:color w:val="000000"/>
                <w:lang w:eastAsia="en-GB"/>
              </w:rPr>
              <w:t xml:space="preserve">Total </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t>Armagh</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16,461</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50.8%</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15,940</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49.2%</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32,401</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t>Banbridge</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17,760</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50.8%</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17,183</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49.2%</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34,943</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t>Craigavon</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14,821</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50.8%</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14,375</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49.2%</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29,196</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proofErr w:type="spellStart"/>
            <w:r w:rsidRPr="00712EC9">
              <w:rPr>
                <w:rFonts w:asciiTheme="majorHAnsi" w:eastAsia="Times New Roman" w:hAnsiTheme="majorHAnsi" w:cstheme="majorHAnsi"/>
                <w:b/>
                <w:color w:val="000000"/>
                <w:lang w:eastAsia="en-GB"/>
              </w:rPr>
              <w:t>Cusher</w:t>
            </w:r>
            <w:proofErr w:type="spellEnd"/>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13,201</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50.4%</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13,004</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49.6%</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26,205</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r w:rsidRPr="00712EC9">
              <w:rPr>
                <w:rFonts w:asciiTheme="majorHAnsi" w:eastAsia="Times New Roman" w:hAnsiTheme="majorHAnsi" w:cstheme="majorHAnsi"/>
                <w:b/>
                <w:color w:val="000000"/>
                <w:lang w:eastAsia="en-GB"/>
              </w:rPr>
              <w:t>Lagan River</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12,469</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50.3%</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12,336</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49.7%</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24,805</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proofErr w:type="spellStart"/>
            <w:r w:rsidRPr="00712EC9">
              <w:rPr>
                <w:rFonts w:asciiTheme="majorHAnsi" w:eastAsia="Times New Roman" w:hAnsiTheme="majorHAnsi" w:cstheme="majorHAnsi"/>
                <w:b/>
                <w:color w:val="000000"/>
                <w:lang w:eastAsia="en-GB"/>
              </w:rPr>
              <w:t>Lurgan</w:t>
            </w:r>
            <w:proofErr w:type="spellEnd"/>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19,212</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50.3%</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18,990</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49.7%</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38,202</w:t>
            </w:r>
          </w:p>
        </w:tc>
      </w:tr>
      <w:tr w:rsidR="00B933F9" w:rsidRPr="00712EC9" w:rsidTr="00B933F9">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rPr>
                <w:rFonts w:asciiTheme="majorHAnsi" w:eastAsia="Times New Roman" w:hAnsiTheme="majorHAnsi" w:cstheme="majorHAnsi"/>
                <w:b/>
                <w:color w:val="000000"/>
                <w:lang w:eastAsia="en-GB"/>
              </w:rPr>
            </w:pPr>
            <w:proofErr w:type="spellStart"/>
            <w:r w:rsidRPr="00712EC9">
              <w:rPr>
                <w:rFonts w:asciiTheme="majorHAnsi" w:eastAsia="Times New Roman" w:hAnsiTheme="majorHAnsi" w:cstheme="majorHAnsi"/>
                <w:b/>
                <w:color w:val="000000"/>
                <w:lang w:eastAsia="en-GB"/>
              </w:rPr>
              <w:t>Portadown</w:t>
            </w:r>
            <w:proofErr w:type="spellEnd"/>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16,478</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50.0%</w:t>
            </w:r>
          </w:p>
        </w:tc>
        <w:tc>
          <w:tcPr>
            <w:tcW w:w="1352" w:type="dxa"/>
            <w:tcBorders>
              <w:top w:val="nil"/>
              <w:left w:val="nil"/>
              <w:bottom w:val="single" w:sz="4" w:space="0" w:color="auto"/>
              <w:right w:val="single" w:sz="4" w:space="0" w:color="auto"/>
            </w:tcBorders>
            <w:shd w:val="clear" w:color="auto" w:fill="auto"/>
            <w:noWrap/>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16,455</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50.0%</w:t>
            </w:r>
          </w:p>
        </w:tc>
        <w:tc>
          <w:tcPr>
            <w:tcW w:w="1352" w:type="dxa"/>
            <w:tcBorders>
              <w:top w:val="nil"/>
              <w:left w:val="nil"/>
              <w:bottom w:val="single" w:sz="4" w:space="0" w:color="auto"/>
              <w:right w:val="single" w:sz="4" w:space="0" w:color="auto"/>
            </w:tcBorders>
            <w:shd w:val="clear" w:color="auto" w:fill="auto"/>
            <w:noWrap/>
            <w:vAlign w:val="bottom"/>
            <w:hideMark/>
          </w:tcPr>
          <w:p w:rsidR="00B933F9" w:rsidRPr="00712EC9" w:rsidRDefault="00B933F9" w:rsidP="00B933F9">
            <w:pPr>
              <w:spacing w:after="0" w:line="240" w:lineRule="auto"/>
              <w:jc w:val="center"/>
              <w:rPr>
                <w:rFonts w:asciiTheme="majorHAnsi" w:eastAsia="Times New Roman" w:hAnsiTheme="majorHAnsi" w:cstheme="majorHAnsi"/>
                <w:color w:val="000000"/>
                <w:lang w:eastAsia="en-GB"/>
              </w:rPr>
            </w:pPr>
            <w:r w:rsidRPr="00712EC9">
              <w:rPr>
                <w:rFonts w:asciiTheme="majorHAnsi" w:eastAsia="Times New Roman" w:hAnsiTheme="majorHAnsi" w:cstheme="majorHAnsi"/>
                <w:color w:val="000000"/>
                <w:lang w:eastAsia="en-GB"/>
              </w:rPr>
              <w:t>32,933</w:t>
            </w:r>
          </w:p>
        </w:tc>
      </w:tr>
    </w:tbl>
    <w:p w:rsidR="00780BD9" w:rsidRPr="002A2185" w:rsidRDefault="007366E0" w:rsidP="00780BD9">
      <w:pPr>
        <w:rPr>
          <w:i/>
          <w:sz w:val="20"/>
          <w:szCs w:val="20"/>
        </w:rPr>
      </w:pPr>
      <w:r>
        <w:rPr>
          <w:i/>
          <w:sz w:val="20"/>
          <w:szCs w:val="20"/>
        </w:rPr>
        <w:t>Table 1: Gender p</w:t>
      </w:r>
      <w:r w:rsidR="00780BD9">
        <w:rPr>
          <w:i/>
          <w:sz w:val="20"/>
          <w:szCs w:val="20"/>
        </w:rPr>
        <w:t>rofile on Census Day</w:t>
      </w:r>
      <w:r>
        <w:rPr>
          <w:i/>
          <w:sz w:val="20"/>
          <w:szCs w:val="20"/>
        </w:rPr>
        <w:t xml:space="preserve"> 20</w:t>
      </w:r>
      <w:r w:rsidR="00B933F9">
        <w:rPr>
          <w:i/>
          <w:sz w:val="20"/>
          <w:szCs w:val="20"/>
        </w:rPr>
        <w:t>2</w:t>
      </w:r>
      <w:r>
        <w:rPr>
          <w:i/>
          <w:sz w:val="20"/>
          <w:szCs w:val="20"/>
        </w:rPr>
        <w:t xml:space="preserve">1 in </w:t>
      </w:r>
      <w:r w:rsidR="003F3F26">
        <w:rPr>
          <w:i/>
          <w:sz w:val="20"/>
          <w:szCs w:val="20"/>
        </w:rPr>
        <w:t>District Electoral Areas</w:t>
      </w:r>
      <w:r>
        <w:rPr>
          <w:i/>
          <w:sz w:val="20"/>
          <w:szCs w:val="20"/>
        </w:rPr>
        <w:t xml:space="preserve"> of Armagh City, Banbridge and Craigavon Borough</w:t>
      </w:r>
      <w:r w:rsidR="00780BD9" w:rsidRPr="002A2185">
        <w:rPr>
          <w:i/>
          <w:sz w:val="20"/>
          <w:szCs w:val="20"/>
        </w:rPr>
        <w:t>. Source:</w:t>
      </w:r>
      <w:r w:rsidR="003F3F26">
        <w:rPr>
          <w:i/>
          <w:sz w:val="20"/>
          <w:szCs w:val="20"/>
        </w:rPr>
        <w:t xml:space="preserve"> Usual Resident Population – </w:t>
      </w:r>
      <w:r w:rsidR="00B933F9">
        <w:rPr>
          <w:i/>
          <w:sz w:val="20"/>
          <w:szCs w:val="20"/>
        </w:rPr>
        <w:t>Single year of age and sex – Table MS-A09. Census 202</w:t>
      </w:r>
      <w:r w:rsidR="003F3F26">
        <w:rPr>
          <w:i/>
          <w:sz w:val="20"/>
          <w:szCs w:val="20"/>
        </w:rPr>
        <w:t>1,</w:t>
      </w:r>
      <w:r w:rsidR="00780BD9">
        <w:rPr>
          <w:i/>
          <w:sz w:val="20"/>
          <w:szCs w:val="20"/>
        </w:rPr>
        <w:t xml:space="preserve"> NISRA</w:t>
      </w:r>
      <w:r w:rsidR="00780BD9" w:rsidRPr="002A2185">
        <w:rPr>
          <w:i/>
          <w:sz w:val="20"/>
          <w:szCs w:val="20"/>
        </w:rPr>
        <w:t>.</w:t>
      </w:r>
    </w:p>
    <w:p w:rsidR="004C5921" w:rsidRDefault="004C5921" w:rsidP="0037158B"/>
    <w:p w:rsidR="00032913" w:rsidRPr="002A2185" w:rsidRDefault="00B933F9" w:rsidP="00032913">
      <w:pPr>
        <w:rPr>
          <w:i/>
          <w:sz w:val="20"/>
          <w:szCs w:val="20"/>
        </w:rPr>
      </w:pPr>
      <w:r>
        <w:rPr>
          <w:noProof/>
          <w:lang w:eastAsia="en-GB"/>
        </w:rPr>
        <w:drawing>
          <wp:inline distT="0" distB="0" distL="0" distR="0" wp14:anchorId="6FAFBC68" wp14:editId="640F2296">
            <wp:extent cx="5476875" cy="2743200"/>
            <wp:effectExtent l="0" t="0" r="9525" b="0"/>
            <wp:docPr id="4" name="Chart 4" title="Census Day 2021 population for DEAs of Armagh City, Banbridge and Craigavon Borough"/>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3F26">
        <w:rPr>
          <w:i/>
          <w:sz w:val="20"/>
          <w:szCs w:val="20"/>
        </w:rPr>
        <w:t>Figure 2</w:t>
      </w:r>
      <w:r w:rsidR="007366E0">
        <w:rPr>
          <w:i/>
          <w:sz w:val="20"/>
          <w:szCs w:val="20"/>
        </w:rPr>
        <w:t xml:space="preserve">: </w:t>
      </w:r>
      <w:r w:rsidR="003F3F26">
        <w:rPr>
          <w:i/>
          <w:sz w:val="20"/>
          <w:szCs w:val="20"/>
        </w:rPr>
        <w:t xml:space="preserve">Census Day </w:t>
      </w:r>
      <w:r>
        <w:rPr>
          <w:i/>
          <w:sz w:val="20"/>
          <w:szCs w:val="20"/>
        </w:rPr>
        <w:t>202</w:t>
      </w:r>
      <w:r w:rsidR="007366E0">
        <w:rPr>
          <w:i/>
          <w:sz w:val="20"/>
          <w:szCs w:val="20"/>
        </w:rPr>
        <w:t>1 p</w:t>
      </w:r>
      <w:r w:rsidR="003F3F26">
        <w:rPr>
          <w:i/>
          <w:sz w:val="20"/>
          <w:szCs w:val="20"/>
        </w:rPr>
        <w:t>opulat</w:t>
      </w:r>
      <w:r w:rsidR="001A290C">
        <w:rPr>
          <w:i/>
          <w:sz w:val="20"/>
          <w:szCs w:val="20"/>
        </w:rPr>
        <w:t xml:space="preserve">ion </w:t>
      </w:r>
      <w:r w:rsidR="003F3F26">
        <w:rPr>
          <w:i/>
          <w:sz w:val="20"/>
          <w:szCs w:val="20"/>
        </w:rPr>
        <w:t>for District Electoral Areas</w:t>
      </w:r>
      <w:r w:rsidR="007366E0">
        <w:rPr>
          <w:i/>
          <w:sz w:val="20"/>
          <w:szCs w:val="20"/>
        </w:rPr>
        <w:t xml:space="preserve"> of Armagh City, Banbridge and Craigavon Borough</w:t>
      </w:r>
      <w:r w:rsidR="003F3F26" w:rsidRPr="002A2185">
        <w:rPr>
          <w:i/>
          <w:sz w:val="20"/>
          <w:szCs w:val="20"/>
        </w:rPr>
        <w:t>. Source:</w:t>
      </w:r>
      <w:r w:rsidR="00032913">
        <w:rPr>
          <w:i/>
          <w:sz w:val="20"/>
          <w:szCs w:val="20"/>
        </w:rPr>
        <w:t xml:space="preserve"> Usual Resident Population – Single year of age and sex – Table MS-A09. Census 2021, NISRA</w:t>
      </w:r>
      <w:r w:rsidR="00032913" w:rsidRPr="002A2185">
        <w:rPr>
          <w:i/>
          <w:sz w:val="20"/>
          <w:szCs w:val="20"/>
        </w:rPr>
        <w:t>.</w:t>
      </w:r>
    </w:p>
    <w:p w:rsidR="00A34CDA" w:rsidRDefault="00032913" w:rsidP="0037158B">
      <w:r>
        <w:t>On Census Day 202</w:t>
      </w:r>
      <w:r w:rsidR="003D547A">
        <w:t xml:space="preserve">1, the overall age profile of the borough showed that 22.1% were aged under 16, </w:t>
      </w:r>
      <w:r>
        <w:t>29.7</w:t>
      </w:r>
      <w:r w:rsidR="003D547A">
        <w:t xml:space="preserve">% were aged 16 to 39, </w:t>
      </w:r>
      <w:r>
        <w:t>32.2</w:t>
      </w:r>
      <w:r w:rsidR="003D547A">
        <w:t xml:space="preserve">% were aged 40 to 64 and </w:t>
      </w:r>
      <w:r>
        <w:t>16</w:t>
      </w:r>
      <w:r w:rsidR="003D547A">
        <w:t>% were aged 65 and over. Across the seven DEAs i</w:t>
      </w:r>
      <w:r w:rsidR="00A34CDA">
        <w:t>n the borough the age profiles we</w:t>
      </w:r>
      <w:r w:rsidR="003D547A">
        <w:t xml:space="preserve">re </w:t>
      </w:r>
      <w:r w:rsidR="00A34CDA">
        <w:t>broadly</w:t>
      </w:r>
      <w:r w:rsidR="003D547A">
        <w:t xml:space="preserve"> similar to the borough overall. </w:t>
      </w:r>
    </w:p>
    <w:p w:rsidR="004C5921" w:rsidRDefault="00A34CDA" w:rsidP="0037158B">
      <w:r w:rsidRPr="00631264">
        <w:t>Banbridge</w:t>
      </w:r>
      <w:r w:rsidR="007366E0" w:rsidRPr="00631264">
        <w:t xml:space="preserve"> DEA</w:t>
      </w:r>
      <w:r w:rsidRPr="00631264">
        <w:t xml:space="preserve"> and Lagan River </w:t>
      </w:r>
      <w:r w:rsidR="007366E0" w:rsidRPr="00631264">
        <w:t xml:space="preserve">DEA </w:t>
      </w:r>
      <w:r w:rsidRPr="00631264">
        <w:t>had</w:t>
      </w:r>
      <w:r w:rsidR="003D547A" w:rsidRPr="00631264">
        <w:t xml:space="preserve"> higher proportions of those aged 40 to 64 than other age groups in their DEA.  </w:t>
      </w:r>
      <w:r w:rsidRPr="00631264">
        <w:t xml:space="preserve">Craigavon </w:t>
      </w:r>
      <w:r w:rsidR="007366E0" w:rsidRPr="00631264">
        <w:t xml:space="preserve">DEA </w:t>
      </w:r>
      <w:r w:rsidR="00631264" w:rsidRPr="00631264">
        <w:t xml:space="preserve">and </w:t>
      </w:r>
      <w:proofErr w:type="spellStart"/>
      <w:r w:rsidR="00631264" w:rsidRPr="00631264">
        <w:t>Lurgan</w:t>
      </w:r>
      <w:proofErr w:type="spellEnd"/>
      <w:r w:rsidR="00631264" w:rsidRPr="00631264">
        <w:t xml:space="preserve"> DEA </w:t>
      </w:r>
      <w:r w:rsidRPr="00631264">
        <w:t>had</w:t>
      </w:r>
      <w:r w:rsidR="003D547A" w:rsidRPr="00631264">
        <w:t xml:space="preserve"> the highest proportion of those aged 16 to 39 (</w:t>
      </w:r>
      <w:r w:rsidR="00631264" w:rsidRPr="00631264">
        <w:t>31.1</w:t>
      </w:r>
      <w:r w:rsidR="003D547A" w:rsidRPr="00631264">
        <w:t xml:space="preserve">%) while </w:t>
      </w:r>
      <w:proofErr w:type="spellStart"/>
      <w:r w:rsidR="00631264" w:rsidRPr="00631264">
        <w:t>Cusher</w:t>
      </w:r>
      <w:proofErr w:type="spellEnd"/>
      <w:r w:rsidRPr="00631264">
        <w:t xml:space="preserve"> had the highest proportion of those aged 65 and over (</w:t>
      </w:r>
      <w:r w:rsidR="00631264" w:rsidRPr="00631264">
        <w:t>17.3</w:t>
      </w:r>
      <w:r w:rsidRPr="00631264">
        <w:t>%)</w:t>
      </w:r>
    </w:p>
    <w:tbl>
      <w:tblPr>
        <w:tblW w:w="11337" w:type="dxa"/>
        <w:tblInd w:w="-1139" w:type="dxa"/>
        <w:tblLayout w:type="fixed"/>
        <w:tblLook w:val="04A0" w:firstRow="1" w:lastRow="0" w:firstColumn="1" w:lastColumn="0" w:noHBand="0" w:noVBand="1"/>
      </w:tblPr>
      <w:tblGrid>
        <w:gridCol w:w="1359"/>
        <w:gridCol w:w="1425"/>
        <w:gridCol w:w="1425"/>
        <w:gridCol w:w="1426"/>
        <w:gridCol w:w="1425"/>
        <w:gridCol w:w="1426"/>
        <w:gridCol w:w="1425"/>
        <w:gridCol w:w="1426"/>
      </w:tblGrid>
      <w:tr w:rsidR="00032913" w:rsidRPr="00201EEE" w:rsidTr="00201EEE">
        <w:trPr>
          <w:trHeight w:val="341"/>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r w:rsidRPr="00201EEE">
              <w:rPr>
                <w:rFonts w:asciiTheme="majorHAnsi" w:eastAsia="Times New Roman" w:hAnsiTheme="majorHAnsi" w:cstheme="majorHAnsi"/>
                <w:b/>
                <w:bCs/>
                <w:color w:val="000000"/>
                <w:lang w:eastAsia="en-GB"/>
              </w:rPr>
              <w:t>Age Group</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r w:rsidRPr="00201EEE">
              <w:rPr>
                <w:rFonts w:asciiTheme="majorHAnsi" w:eastAsia="Times New Roman" w:hAnsiTheme="majorHAnsi" w:cstheme="majorHAnsi"/>
                <w:b/>
                <w:bCs/>
                <w:color w:val="000000"/>
                <w:lang w:eastAsia="en-GB"/>
              </w:rPr>
              <w:t>Armagh</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r w:rsidRPr="00201EEE">
              <w:rPr>
                <w:rFonts w:asciiTheme="majorHAnsi" w:eastAsia="Times New Roman" w:hAnsiTheme="majorHAnsi" w:cstheme="majorHAnsi"/>
                <w:b/>
                <w:bCs/>
                <w:color w:val="000000"/>
                <w:lang w:eastAsia="en-GB"/>
              </w:rPr>
              <w:t>Banbridge</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r w:rsidRPr="00201EEE">
              <w:rPr>
                <w:rFonts w:asciiTheme="majorHAnsi" w:eastAsia="Times New Roman" w:hAnsiTheme="majorHAnsi" w:cstheme="majorHAnsi"/>
                <w:b/>
                <w:bCs/>
                <w:color w:val="000000"/>
                <w:lang w:eastAsia="en-GB"/>
              </w:rPr>
              <w:t>Craigavon</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proofErr w:type="spellStart"/>
            <w:r w:rsidRPr="00201EEE">
              <w:rPr>
                <w:rFonts w:asciiTheme="majorHAnsi" w:eastAsia="Times New Roman" w:hAnsiTheme="majorHAnsi" w:cstheme="majorHAnsi"/>
                <w:b/>
                <w:bCs/>
                <w:color w:val="000000"/>
                <w:lang w:eastAsia="en-GB"/>
              </w:rPr>
              <w:t>Cusher</w:t>
            </w:r>
            <w:proofErr w:type="spellEnd"/>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r w:rsidRPr="00201EEE">
              <w:rPr>
                <w:rFonts w:asciiTheme="majorHAnsi" w:eastAsia="Times New Roman" w:hAnsiTheme="majorHAnsi" w:cstheme="majorHAnsi"/>
                <w:b/>
                <w:bCs/>
                <w:color w:val="000000"/>
                <w:lang w:eastAsia="en-GB"/>
              </w:rPr>
              <w:t>Lagan River</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proofErr w:type="spellStart"/>
            <w:r w:rsidRPr="00201EEE">
              <w:rPr>
                <w:rFonts w:asciiTheme="majorHAnsi" w:eastAsia="Times New Roman" w:hAnsiTheme="majorHAnsi" w:cstheme="majorHAnsi"/>
                <w:b/>
                <w:bCs/>
                <w:color w:val="000000"/>
                <w:lang w:eastAsia="en-GB"/>
              </w:rPr>
              <w:t>Lurgan</w:t>
            </w:r>
            <w:proofErr w:type="spellEnd"/>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
                <w:bCs/>
                <w:color w:val="000000"/>
                <w:lang w:eastAsia="en-GB"/>
              </w:rPr>
            </w:pPr>
            <w:proofErr w:type="spellStart"/>
            <w:r w:rsidRPr="00201EEE">
              <w:rPr>
                <w:rFonts w:asciiTheme="majorHAnsi" w:eastAsia="Times New Roman" w:hAnsiTheme="majorHAnsi" w:cstheme="majorHAnsi"/>
                <w:b/>
                <w:bCs/>
                <w:color w:val="000000"/>
                <w:lang w:eastAsia="en-GB"/>
              </w:rPr>
              <w:t>Portadown</w:t>
            </w:r>
            <w:proofErr w:type="spellEnd"/>
          </w:p>
        </w:tc>
      </w:tr>
      <w:tr w:rsidR="00032913" w:rsidRPr="00201EEE" w:rsidTr="00201EEE">
        <w:trPr>
          <w:trHeight w:val="334"/>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2913" w:rsidRPr="00201EEE" w:rsidRDefault="00032913" w:rsidP="00032913">
            <w:pPr>
              <w:spacing w:after="0" w:line="240" w:lineRule="auto"/>
              <w:jc w:val="center"/>
              <w:rPr>
                <w:rFonts w:asciiTheme="majorHAnsi" w:eastAsia="Times New Roman" w:hAnsiTheme="majorHAnsi" w:cstheme="majorHAnsi"/>
                <w:bCs/>
                <w:color w:val="000000"/>
                <w:sz w:val="20"/>
                <w:szCs w:val="20"/>
                <w:lang w:eastAsia="en-GB"/>
              </w:rPr>
            </w:pPr>
            <w:r w:rsidRPr="00201EEE">
              <w:rPr>
                <w:rFonts w:asciiTheme="majorHAnsi" w:eastAsia="Times New Roman" w:hAnsiTheme="majorHAnsi" w:cstheme="majorHAnsi"/>
                <w:bCs/>
                <w:color w:val="000000"/>
                <w:sz w:val="20"/>
                <w:szCs w:val="20"/>
                <w:lang w:eastAsia="en-GB"/>
              </w:rPr>
              <w:t>0 – 15 years</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7,364</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7,392</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6,901</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5,854</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5,308</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8,277</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7,158</w:t>
            </w:r>
          </w:p>
        </w:tc>
      </w:tr>
      <w:tr w:rsidR="00032913" w:rsidRPr="00201EEE" w:rsidTr="00201EEE">
        <w:trPr>
          <w:trHeight w:val="334"/>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2913" w:rsidRPr="00201EEE" w:rsidRDefault="00032913" w:rsidP="00032913">
            <w:pPr>
              <w:spacing w:after="0" w:line="240" w:lineRule="auto"/>
              <w:jc w:val="center"/>
              <w:rPr>
                <w:rFonts w:asciiTheme="majorHAnsi" w:eastAsia="Times New Roman" w:hAnsiTheme="majorHAnsi" w:cstheme="majorHAnsi"/>
                <w:bCs/>
                <w:color w:val="000000"/>
                <w:sz w:val="20"/>
                <w:szCs w:val="20"/>
                <w:lang w:eastAsia="en-GB"/>
              </w:rPr>
            </w:pPr>
            <w:r w:rsidRPr="00201EEE">
              <w:rPr>
                <w:rFonts w:asciiTheme="majorHAnsi" w:eastAsia="Times New Roman" w:hAnsiTheme="majorHAnsi" w:cstheme="majorHAnsi"/>
                <w:bCs/>
                <w:color w:val="000000"/>
                <w:sz w:val="20"/>
                <w:szCs w:val="20"/>
                <w:lang w:eastAsia="en-GB"/>
              </w:rPr>
              <w:t>16 – 39 years</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9,611</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9,799</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9,073</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7,375</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7,147</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11,882</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10,002</w:t>
            </w:r>
          </w:p>
        </w:tc>
      </w:tr>
      <w:tr w:rsidR="00032913" w:rsidRPr="00201EEE" w:rsidTr="00201EEE">
        <w:trPr>
          <w:trHeight w:val="334"/>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2913" w:rsidRPr="00201EEE" w:rsidRDefault="00032913" w:rsidP="00032913">
            <w:pPr>
              <w:spacing w:after="0" w:line="240" w:lineRule="auto"/>
              <w:jc w:val="center"/>
              <w:rPr>
                <w:rFonts w:asciiTheme="majorHAnsi" w:eastAsia="Times New Roman" w:hAnsiTheme="majorHAnsi" w:cstheme="majorHAnsi"/>
                <w:bCs/>
                <w:color w:val="000000"/>
                <w:sz w:val="20"/>
                <w:szCs w:val="20"/>
                <w:lang w:eastAsia="en-GB"/>
              </w:rPr>
            </w:pPr>
            <w:r w:rsidRPr="00201EEE">
              <w:rPr>
                <w:rFonts w:asciiTheme="majorHAnsi" w:eastAsia="Times New Roman" w:hAnsiTheme="majorHAnsi" w:cstheme="majorHAnsi"/>
                <w:bCs/>
                <w:color w:val="000000"/>
                <w:sz w:val="20"/>
                <w:szCs w:val="20"/>
                <w:lang w:eastAsia="en-GB"/>
              </w:rPr>
              <w:t>40 – 64 years</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10,055</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11,747</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9,169</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8,451</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8,419</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12,243</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10,459</w:t>
            </w:r>
          </w:p>
        </w:tc>
      </w:tr>
      <w:tr w:rsidR="00032913" w:rsidRPr="00201EEE" w:rsidTr="00201EEE">
        <w:trPr>
          <w:trHeight w:val="334"/>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2913" w:rsidRPr="00201EEE" w:rsidRDefault="00032913" w:rsidP="00032913">
            <w:pPr>
              <w:spacing w:after="0" w:line="240" w:lineRule="auto"/>
              <w:jc w:val="center"/>
              <w:rPr>
                <w:rFonts w:asciiTheme="majorHAnsi" w:eastAsia="Times New Roman" w:hAnsiTheme="majorHAnsi" w:cstheme="majorHAnsi"/>
                <w:bCs/>
                <w:color w:val="000000"/>
                <w:sz w:val="20"/>
                <w:szCs w:val="20"/>
                <w:lang w:eastAsia="en-GB"/>
              </w:rPr>
            </w:pPr>
            <w:r w:rsidRPr="00201EEE">
              <w:rPr>
                <w:rFonts w:asciiTheme="majorHAnsi" w:eastAsia="Times New Roman" w:hAnsiTheme="majorHAnsi" w:cstheme="majorHAnsi"/>
                <w:bCs/>
                <w:color w:val="000000"/>
                <w:sz w:val="20"/>
                <w:szCs w:val="20"/>
                <w:lang w:eastAsia="en-GB"/>
              </w:rPr>
              <w:t>65 and over</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5,371</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6,005</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4,053</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4,525</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3,931</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5,800</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5,314</w:t>
            </w:r>
          </w:p>
        </w:tc>
      </w:tr>
      <w:tr w:rsidR="00032913" w:rsidRPr="00201EEE" w:rsidTr="00201EEE">
        <w:trPr>
          <w:trHeight w:val="334"/>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2913" w:rsidRPr="00201EEE" w:rsidRDefault="00032913" w:rsidP="00032913">
            <w:pPr>
              <w:spacing w:after="0" w:line="240" w:lineRule="auto"/>
              <w:jc w:val="center"/>
              <w:rPr>
                <w:rFonts w:asciiTheme="majorHAnsi" w:eastAsia="Times New Roman" w:hAnsiTheme="majorHAnsi" w:cstheme="majorHAnsi"/>
                <w:bCs/>
                <w:color w:val="000000"/>
                <w:lang w:eastAsia="en-GB"/>
              </w:rPr>
            </w:pPr>
            <w:r w:rsidRPr="00201EEE">
              <w:rPr>
                <w:rFonts w:asciiTheme="majorHAnsi" w:eastAsia="Times New Roman" w:hAnsiTheme="majorHAnsi" w:cstheme="majorHAnsi"/>
                <w:bCs/>
                <w:color w:val="000000"/>
                <w:lang w:eastAsia="en-GB"/>
              </w:rPr>
              <w:t xml:space="preserve">Total </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32,401</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34,943</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29,196</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26,205</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24,805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38,202</w:t>
            </w:r>
          </w:p>
        </w:tc>
        <w:tc>
          <w:tcPr>
            <w:tcW w:w="1426" w:type="dxa"/>
            <w:tcBorders>
              <w:top w:val="single" w:sz="4" w:space="0" w:color="auto"/>
              <w:left w:val="nil"/>
              <w:bottom w:val="single" w:sz="4" w:space="0" w:color="auto"/>
              <w:right w:val="single" w:sz="4" w:space="0" w:color="auto"/>
            </w:tcBorders>
            <w:shd w:val="clear" w:color="auto" w:fill="auto"/>
            <w:vAlign w:val="center"/>
          </w:tcPr>
          <w:p w:rsidR="00032913" w:rsidRPr="00631264" w:rsidRDefault="00032913" w:rsidP="00032913">
            <w:pPr>
              <w:spacing w:after="0" w:line="240" w:lineRule="auto"/>
              <w:jc w:val="center"/>
              <w:rPr>
                <w:rFonts w:asciiTheme="majorHAnsi" w:eastAsia="Times New Roman" w:hAnsiTheme="majorHAnsi" w:cstheme="majorHAnsi"/>
                <w:b/>
                <w:bCs/>
                <w:color w:val="000000"/>
                <w:lang w:eastAsia="en-GB"/>
              </w:rPr>
            </w:pPr>
            <w:r w:rsidRPr="00631264">
              <w:rPr>
                <w:rFonts w:asciiTheme="majorHAnsi" w:eastAsia="Times New Roman" w:hAnsiTheme="majorHAnsi" w:cstheme="majorHAnsi"/>
                <w:b/>
                <w:bCs/>
                <w:color w:val="000000"/>
                <w:lang w:eastAsia="en-GB"/>
              </w:rPr>
              <w:t>32,933</w:t>
            </w:r>
          </w:p>
        </w:tc>
      </w:tr>
    </w:tbl>
    <w:p w:rsidR="00B16FEC" w:rsidRPr="002A2185" w:rsidRDefault="003F3F26" w:rsidP="00201EEE">
      <w:pPr>
        <w:ind w:left="-1134" w:right="-1180"/>
        <w:rPr>
          <w:i/>
          <w:sz w:val="20"/>
          <w:szCs w:val="20"/>
        </w:rPr>
      </w:pPr>
      <w:r>
        <w:rPr>
          <w:i/>
          <w:sz w:val="20"/>
          <w:szCs w:val="20"/>
        </w:rPr>
        <w:t>Table 2</w:t>
      </w:r>
      <w:r w:rsidR="007366E0">
        <w:rPr>
          <w:i/>
          <w:sz w:val="20"/>
          <w:szCs w:val="20"/>
        </w:rPr>
        <w:t>: Age p</w:t>
      </w:r>
      <w:r>
        <w:rPr>
          <w:i/>
          <w:sz w:val="20"/>
          <w:szCs w:val="20"/>
        </w:rPr>
        <w:t>rofile on Census Day</w:t>
      </w:r>
      <w:r w:rsidR="00201EEE">
        <w:rPr>
          <w:i/>
          <w:sz w:val="20"/>
          <w:szCs w:val="20"/>
        </w:rPr>
        <w:t xml:space="preserve"> 202</w:t>
      </w:r>
      <w:r w:rsidR="007366E0">
        <w:rPr>
          <w:i/>
          <w:sz w:val="20"/>
          <w:szCs w:val="20"/>
        </w:rPr>
        <w:t>1 for</w:t>
      </w:r>
      <w:r>
        <w:rPr>
          <w:i/>
          <w:sz w:val="20"/>
          <w:szCs w:val="20"/>
        </w:rPr>
        <w:t xml:space="preserve"> </w:t>
      </w:r>
      <w:r w:rsidR="007366E0">
        <w:rPr>
          <w:i/>
          <w:sz w:val="20"/>
          <w:szCs w:val="20"/>
        </w:rPr>
        <w:t>District Electoral Areas of Armagh City, Banbridge and Craigavon Borough</w:t>
      </w:r>
      <w:r w:rsidRPr="002A2185">
        <w:rPr>
          <w:i/>
          <w:sz w:val="20"/>
          <w:szCs w:val="20"/>
        </w:rPr>
        <w:t>. Source:</w:t>
      </w:r>
      <w:r w:rsidR="00201EEE">
        <w:rPr>
          <w:i/>
          <w:sz w:val="20"/>
          <w:szCs w:val="20"/>
        </w:rPr>
        <w:t xml:space="preserve"> Usual Resident Population – Single year of age and sex – Table MS-A09. Census 2021, NISRA</w:t>
      </w:r>
      <w:r w:rsidR="00201EEE" w:rsidRPr="002A2185">
        <w:rPr>
          <w:i/>
          <w:sz w:val="20"/>
          <w:szCs w:val="20"/>
        </w:rPr>
        <w:t>.</w:t>
      </w:r>
    </w:p>
    <w:tbl>
      <w:tblPr>
        <w:tblW w:w="11337" w:type="dxa"/>
        <w:tblInd w:w="-1139" w:type="dxa"/>
        <w:tblLayout w:type="fixed"/>
        <w:tblLook w:val="04A0" w:firstRow="1" w:lastRow="0" w:firstColumn="1" w:lastColumn="0" w:noHBand="0" w:noVBand="1"/>
      </w:tblPr>
      <w:tblGrid>
        <w:gridCol w:w="1359"/>
        <w:gridCol w:w="1425"/>
        <w:gridCol w:w="1425"/>
        <w:gridCol w:w="1426"/>
        <w:gridCol w:w="1425"/>
        <w:gridCol w:w="1426"/>
        <w:gridCol w:w="1425"/>
        <w:gridCol w:w="1426"/>
      </w:tblGrid>
      <w:tr w:rsidR="00B16FEC" w:rsidRPr="00712EC9" w:rsidTr="00E44E81">
        <w:trPr>
          <w:trHeight w:val="600"/>
        </w:trPr>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6FEC" w:rsidRPr="00712EC9" w:rsidRDefault="00B16FEC" w:rsidP="007366E0">
            <w:pPr>
              <w:spacing w:after="0" w:line="240" w:lineRule="auto"/>
              <w:jc w:val="center"/>
              <w:rPr>
                <w:rFonts w:asciiTheme="majorHAnsi" w:eastAsia="Times New Roman" w:hAnsiTheme="majorHAnsi" w:cstheme="majorHAnsi"/>
                <w:b/>
                <w:bCs/>
                <w:color w:val="000000"/>
                <w:lang w:eastAsia="en-GB"/>
              </w:rPr>
            </w:pPr>
            <w:r w:rsidRPr="00712EC9">
              <w:rPr>
                <w:rFonts w:asciiTheme="majorHAnsi" w:eastAsia="Times New Roman" w:hAnsiTheme="majorHAnsi" w:cstheme="majorHAnsi"/>
                <w:b/>
                <w:bCs/>
                <w:color w:val="000000"/>
                <w:lang w:eastAsia="en-GB"/>
              </w:rPr>
              <w:lastRenderedPageBreak/>
              <w:t>Age Group</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16FEC" w:rsidRPr="00712EC9" w:rsidRDefault="00B16FEC" w:rsidP="00631264">
            <w:pPr>
              <w:pStyle w:val="NoSpacing"/>
              <w:jc w:val="center"/>
              <w:rPr>
                <w:rFonts w:asciiTheme="majorHAnsi" w:hAnsiTheme="majorHAnsi" w:cstheme="majorHAnsi"/>
                <w:b/>
                <w:lang w:eastAsia="en-GB"/>
              </w:rPr>
            </w:pPr>
            <w:r w:rsidRPr="00712EC9">
              <w:rPr>
                <w:rFonts w:asciiTheme="majorHAnsi" w:hAnsiTheme="majorHAnsi" w:cstheme="majorHAnsi"/>
                <w:b/>
                <w:lang w:eastAsia="en-GB"/>
              </w:rPr>
              <w:t>Armagh</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16FEC" w:rsidRPr="00712EC9" w:rsidRDefault="00B16FEC" w:rsidP="00631264">
            <w:pPr>
              <w:pStyle w:val="NoSpacing"/>
              <w:jc w:val="center"/>
              <w:rPr>
                <w:rFonts w:asciiTheme="majorHAnsi" w:hAnsiTheme="majorHAnsi" w:cstheme="majorHAnsi"/>
                <w:b/>
                <w:lang w:eastAsia="en-GB"/>
              </w:rPr>
            </w:pPr>
            <w:r w:rsidRPr="00712EC9">
              <w:rPr>
                <w:rFonts w:asciiTheme="majorHAnsi" w:hAnsiTheme="majorHAnsi" w:cstheme="majorHAnsi"/>
                <w:b/>
                <w:lang w:eastAsia="en-GB"/>
              </w:rPr>
              <w:t>Banbridge</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B16FEC" w:rsidRPr="00712EC9" w:rsidRDefault="00B16FEC" w:rsidP="00631264">
            <w:pPr>
              <w:pStyle w:val="NoSpacing"/>
              <w:jc w:val="center"/>
              <w:rPr>
                <w:rFonts w:asciiTheme="majorHAnsi" w:hAnsiTheme="majorHAnsi" w:cstheme="majorHAnsi"/>
                <w:b/>
                <w:lang w:eastAsia="en-GB"/>
              </w:rPr>
            </w:pPr>
            <w:r w:rsidRPr="00712EC9">
              <w:rPr>
                <w:rFonts w:asciiTheme="majorHAnsi" w:hAnsiTheme="majorHAnsi" w:cstheme="majorHAnsi"/>
                <w:b/>
                <w:lang w:eastAsia="en-GB"/>
              </w:rPr>
              <w:t>Craigavon</w:t>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16FEC" w:rsidRPr="00712EC9" w:rsidRDefault="00B16FEC" w:rsidP="00631264">
            <w:pPr>
              <w:pStyle w:val="NoSpacing"/>
              <w:jc w:val="center"/>
              <w:rPr>
                <w:rFonts w:asciiTheme="majorHAnsi" w:hAnsiTheme="majorHAnsi" w:cstheme="majorHAnsi"/>
                <w:b/>
                <w:lang w:eastAsia="en-GB"/>
              </w:rPr>
            </w:pPr>
            <w:proofErr w:type="spellStart"/>
            <w:r w:rsidRPr="00712EC9">
              <w:rPr>
                <w:rFonts w:asciiTheme="majorHAnsi" w:hAnsiTheme="majorHAnsi" w:cstheme="majorHAnsi"/>
                <w:b/>
                <w:lang w:eastAsia="en-GB"/>
              </w:rPr>
              <w:t>Cusher</w:t>
            </w:r>
            <w:proofErr w:type="spellEnd"/>
          </w:p>
        </w:tc>
        <w:tc>
          <w:tcPr>
            <w:tcW w:w="1426" w:type="dxa"/>
            <w:tcBorders>
              <w:top w:val="single" w:sz="4" w:space="0" w:color="auto"/>
              <w:left w:val="nil"/>
              <w:bottom w:val="single" w:sz="4" w:space="0" w:color="auto"/>
              <w:right w:val="single" w:sz="4" w:space="0" w:color="auto"/>
            </w:tcBorders>
            <w:vAlign w:val="center"/>
          </w:tcPr>
          <w:p w:rsidR="00B16FEC" w:rsidRPr="00712EC9" w:rsidRDefault="00B16FEC" w:rsidP="00631264">
            <w:pPr>
              <w:pStyle w:val="NoSpacing"/>
              <w:jc w:val="center"/>
              <w:rPr>
                <w:rFonts w:asciiTheme="majorHAnsi" w:hAnsiTheme="majorHAnsi" w:cstheme="majorHAnsi"/>
                <w:b/>
                <w:lang w:eastAsia="en-GB"/>
              </w:rPr>
            </w:pPr>
            <w:r w:rsidRPr="00712EC9">
              <w:rPr>
                <w:rFonts w:asciiTheme="majorHAnsi" w:hAnsiTheme="majorHAnsi" w:cstheme="majorHAnsi"/>
                <w:b/>
                <w:lang w:eastAsia="en-GB"/>
              </w:rPr>
              <w:t>Lagan River</w:t>
            </w:r>
          </w:p>
        </w:tc>
        <w:tc>
          <w:tcPr>
            <w:tcW w:w="1425" w:type="dxa"/>
            <w:tcBorders>
              <w:top w:val="single" w:sz="4" w:space="0" w:color="auto"/>
              <w:left w:val="single" w:sz="4" w:space="0" w:color="auto"/>
              <w:bottom w:val="single" w:sz="4" w:space="0" w:color="auto"/>
              <w:right w:val="single" w:sz="4" w:space="0" w:color="auto"/>
            </w:tcBorders>
            <w:vAlign w:val="center"/>
          </w:tcPr>
          <w:p w:rsidR="00B16FEC" w:rsidRPr="00712EC9" w:rsidRDefault="00B16FEC" w:rsidP="00631264">
            <w:pPr>
              <w:pStyle w:val="NoSpacing"/>
              <w:jc w:val="center"/>
              <w:rPr>
                <w:rFonts w:asciiTheme="majorHAnsi" w:hAnsiTheme="majorHAnsi" w:cstheme="majorHAnsi"/>
                <w:b/>
                <w:lang w:eastAsia="en-GB"/>
              </w:rPr>
            </w:pPr>
            <w:proofErr w:type="spellStart"/>
            <w:r w:rsidRPr="00712EC9">
              <w:rPr>
                <w:rFonts w:asciiTheme="majorHAnsi" w:hAnsiTheme="majorHAnsi" w:cstheme="majorHAnsi"/>
                <w:b/>
                <w:lang w:eastAsia="en-GB"/>
              </w:rPr>
              <w:t>Lurgan</w:t>
            </w:r>
            <w:proofErr w:type="spellEnd"/>
          </w:p>
        </w:tc>
        <w:tc>
          <w:tcPr>
            <w:tcW w:w="1426" w:type="dxa"/>
            <w:tcBorders>
              <w:top w:val="single" w:sz="4" w:space="0" w:color="auto"/>
              <w:left w:val="nil"/>
              <w:bottom w:val="single" w:sz="4" w:space="0" w:color="auto"/>
              <w:right w:val="single" w:sz="4" w:space="0" w:color="auto"/>
            </w:tcBorders>
            <w:vAlign w:val="center"/>
          </w:tcPr>
          <w:p w:rsidR="00B16FEC" w:rsidRPr="00712EC9" w:rsidRDefault="00B16FEC" w:rsidP="00631264">
            <w:pPr>
              <w:pStyle w:val="NoSpacing"/>
              <w:jc w:val="center"/>
              <w:rPr>
                <w:rFonts w:asciiTheme="majorHAnsi" w:hAnsiTheme="majorHAnsi" w:cstheme="majorHAnsi"/>
                <w:b/>
                <w:lang w:eastAsia="en-GB"/>
              </w:rPr>
            </w:pPr>
            <w:proofErr w:type="spellStart"/>
            <w:r w:rsidRPr="00712EC9">
              <w:rPr>
                <w:rFonts w:asciiTheme="majorHAnsi" w:hAnsiTheme="majorHAnsi" w:cstheme="majorHAnsi"/>
                <w:b/>
                <w:lang w:eastAsia="en-GB"/>
              </w:rPr>
              <w:t>Portadown</w:t>
            </w:r>
            <w:proofErr w:type="spellEnd"/>
          </w:p>
        </w:tc>
      </w:tr>
      <w:tr w:rsidR="00CB2711" w:rsidRPr="00712EC9" w:rsidTr="00631264">
        <w:trPr>
          <w:trHeight w:val="307"/>
        </w:trPr>
        <w:tc>
          <w:tcPr>
            <w:tcW w:w="1359" w:type="dxa"/>
            <w:tcBorders>
              <w:top w:val="nil"/>
              <w:left w:val="single" w:sz="4" w:space="0" w:color="auto"/>
              <w:bottom w:val="single" w:sz="4" w:space="0" w:color="auto"/>
              <w:right w:val="single" w:sz="4" w:space="0" w:color="auto"/>
            </w:tcBorders>
            <w:shd w:val="clear" w:color="000000" w:fill="FFFFFF"/>
            <w:vAlign w:val="center"/>
          </w:tcPr>
          <w:p w:rsidR="00CB2711" w:rsidRPr="00712EC9" w:rsidRDefault="00CB2711" w:rsidP="00CB2711">
            <w:pPr>
              <w:spacing w:after="0" w:line="240" w:lineRule="auto"/>
              <w:jc w:val="center"/>
              <w:rPr>
                <w:rFonts w:asciiTheme="majorHAnsi" w:eastAsia="Times New Roman" w:hAnsiTheme="majorHAnsi" w:cstheme="majorHAnsi"/>
                <w:b/>
                <w:bCs/>
                <w:sz w:val="18"/>
                <w:szCs w:val="18"/>
                <w:lang w:eastAsia="en-GB"/>
              </w:rPr>
            </w:pPr>
            <w:r w:rsidRPr="00712EC9">
              <w:rPr>
                <w:rFonts w:asciiTheme="majorHAnsi" w:eastAsia="Times New Roman" w:hAnsiTheme="majorHAnsi" w:cstheme="majorHAnsi"/>
                <w:b/>
                <w:bCs/>
                <w:sz w:val="18"/>
                <w:szCs w:val="18"/>
                <w:lang w:eastAsia="en-GB"/>
              </w:rPr>
              <w:t>0 – 15 years</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22.7%</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21.2%</w:t>
            </w:r>
          </w:p>
        </w:tc>
        <w:tc>
          <w:tcPr>
            <w:tcW w:w="1426"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23.6%</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22.3%</w:t>
            </w:r>
          </w:p>
        </w:tc>
        <w:tc>
          <w:tcPr>
            <w:tcW w:w="1426" w:type="dxa"/>
            <w:tcBorders>
              <w:top w:val="single" w:sz="4" w:space="0" w:color="auto"/>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21.4%</w:t>
            </w:r>
          </w:p>
        </w:tc>
        <w:tc>
          <w:tcPr>
            <w:tcW w:w="1425" w:type="dxa"/>
            <w:tcBorders>
              <w:top w:val="nil"/>
              <w:left w:val="single" w:sz="4" w:space="0" w:color="auto"/>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21.7%</w:t>
            </w:r>
          </w:p>
        </w:tc>
        <w:tc>
          <w:tcPr>
            <w:tcW w:w="1426" w:type="dxa"/>
            <w:tcBorders>
              <w:top w:val="nil"/>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21.7%</w:t>
            </w:r>
          </w:p>
        </w:tc>
      </w:tr>
      <w:tr w:rsidR="00CB2711" w:rsidRPr="00712EC9" w:rsidTr="00631264">
        <w:trPr>
          <w:trHeight w:val="307"/>
        </w:trPr>
        <w:tc>
          <w:tcPr>
            <w:tcW w:w="1359" w:type="dxa"/>
            <w:tcBorders>
              <w:top w:val="nil"/>
              <w:left w:val="single" w:sz="4" w:space="0" w:color="auto"/>
              <w:bottom w:val="single" w:sz="4" w:space="0" w:color="auto"/>
              <w:right w:val="single" w:sz="4" w:space="0" w:color="auto"/>
            </w:tcBorders>
            <w:shd w:val="clear" w:color="000000" w:fill="FFFFFF"/>
            <w:vAlign w:val="center"/>
          </w:tcPr>
          <w:p w:rsidR="00CB2711" w:rsidRPr="00712EC9" w:rsidRDefault="00CB2711" w:rsidP="00CB2711">
            <w:pPr>
              <w:spacing w:after="0" w:line="240" w:lineRule="auto"/>
              <w:jc w:val="center"/>
              <w:rPr>
                <w:rFonts w:asciiTheme="majorHAnsi" w:eastAsia="Times New Roman" w:hAnsiTheme="majorHAnsi" w:cstheme="majorHAnsi"/>
                <w:b/>
                <w:bCs/>
                <w:sz w:val="18"/>
                <w:szCs w:val="18"/>
                <w:lang w:eastAsia="en-GB"/>
              </w:rPr>
            </w:pPr>
            <w:r w:rsidRPr="00712EC9">
              <w:rPr>
                <w:rFonts w:asciiTheme="majorHAnsi" w:eastAsia="Times New Roman" w:hAnsiTheme="majorHAnsi" w:cstheme="majorHAnsi"/>
                <w:b/>
                <w:bCs/>
                <w:sz w:val="18"/>
                <w:szCs w:val="18"/>
                <w:lang w:eastAsia="en-GB"/>
              </w:rPr>
              <w:t>16 – 39 years</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29.7%</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28.0%</w:t>
            </w:r>
          </w:p>
        </w:tc>
        <w:tc>
          <w:tcPr>
            <w:tcW w:w="1426"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31.1%</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28.1%</w:t>
            </w:r>
          </w:p>
        </w:tc>
        <w:tc>
          <w:tcPr>
            <w:tcW w:w="1426" w:type="dxa"/>
            <w:tcBorders>
              <w:top w:val="single" w:sz="4" w:space="0" w:color="auto"/>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28.8%</w:t>
            </w:r>
          </w:p>
        </w:tc>
        <w:tc>
          <w:tcPr>
            <w:tcW w:w="1425" w:type="dxa"/>
            <w:tcBorders>
              <w:top w:val="nil"/>
              <w:left w:val="single" w:sz="4" w:space="0" w:color="auto"/>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31.1%</w:t>
            </w:r>
          </w:p>
        </w:tc>
        <w:tc>
          <w:tcPr>
            <w:tcW w:w="1426" w:type="dxa"/>
            <w:tcBorders>
              <w:top w:val="nil"/>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30.4%</w:t>
            </w:r>
          </w:p>
        </w:tc>
      </w:tr>
      <w:tr w:rsidR="00CB2711" w:rsidRPr="00712EC9" w:rsidTr="00631264">
        <w:trPr>
          <w:trHeight w:val="307"/>
        </w:trPr>
        <w:tc>
          <w:tcPr>
            <w:tcW w:w="1359" w:type="dxa"/>
            <w:tcBorders>
              <w:top w:val="nil"/>
              <w:left w:val="single" w:sz="4" w:space="0" w:color="auto"/>
              <w:bottom w:val="single" w:sz="4" w:space="0" w:color="auto"/>
              <w:right w:val="single" w:sz="4" w:space="0" w:color="auto"/>
            </w:tcBorders>
            <w:shd w:val="clear" w:color="000000" w:fill="FFFFFF"/>
            <w:vAlign w:val="center"/>
          </w:tcPr>
          <w:p w:rsidR="00CB2711" w:rsidRPr="00712EC9" w:rsidRDefault="00CB2711" w:rsidP="00CB2711">
            <w:pPr>
              <w:spacing w:after="0" w:line="240" w:lineRule="auto"/>
              <w:jc w:val="center"/>
              <w:rPr>
                <w:rFonts w:asciiTheme="majorHAnsi" w:eastAsia="Times New Roman" w:hAnsiTheme="majorHAnsi" w:cstheme="majorHAnsi"/>
                <w:b/>
                <w:bCs/>
                <w:sz w:val="18"/>
                <w:szCs w:val="18"/>
                <w:lang w:eastAsia="en-GB"/>
              </w:rPr>
            </w:pPr>
            <w:r w:rsidRPr="00712EC9">
              <w:rPr>
                <w:rFonts w:asciiTheme="majorHAnsi" w:eastAsia="Times New Roman" w:hAnsiTheme="majorHAnsi" w:cstheme="majorHAnsi"/>
                <w:b/>
                <w:bCs/>
                <w:sz w:val="18"/>
                <w:szCs w:val="18"/>
                <w:lang w:eastAsia="en-GB"/>
              </w:rPr>
              <w:t>40 – 64 years</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31.0%</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33.6%</w:t>
            </w:r>
          </w:p>
        </w:tc>
        <w:tc>
          <w:tcPr>
            <w:tcW w:w="1426"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31.4%</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32.2%</w:t>
            </w:r>
          </w:p>
        </w:tc>
        <w:tc>
          <w:tcPr>
            <w:tcW w:w="1426" w:type="dxa"/>
            <w:tcBorders>
              <w:top w:val="single" w:sz="4" w:space="0" w:color="auto"/>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33.9%</w:t>
            </w:r>
          </w:p>
        </w:tc>
        <w:tc>
          <w:tcPr>
            <w:tcW w:w="1425" w:type="dxa"/>
            <w:tcBorders>
              <w:top w:val="nil"/>
              <w:left w:val="single" w:sz="4" w:space="0" w:color="auto"/>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32.0%</w:t>
            </w:r>
          </w:p>
        </w:tc>
        <w:tc>
          <w:tcPr>
            <w:tcW w:w="1426" w:type="dxa"/>
            <w:tcBorders>
              <w:top w:val="nil"/>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31.8%</w:t>
            </w:r>
          </w:p>
        </w:tc>
      </w:tr>
      <w:tr w:rsidR="00CB2711" w:rsidRPr="00712EC9" w:rsidTr="00631264">
        <w:trPr>
          <w:trHeight w:val="307"/>
        </w:trPr>
        <w:tc>
          <w:tcPr>
            <w:tcW w:w="1359" w:type="dxa"/>
            <w:tcBorders>
              <w:top w:val="nil"/>
              <w:left w:val="single" w:sz="4" w:space="0" w:color="auto"/>
              <w:bottom w:val="single" w:sz="4" w:space="0" w:color="auto"/>
              <w:right w:val="single" w:sz="4" w:space="0" w:color="auto"/>
            </w:tcBorders>
            <w:shd w:val="clear" w:color="000000" w:fill="FFFFFF"/>
            <w:vAlign w:val="center"/>
          </w:tcPr>
          <w:p w:rsidR="00CB2711" w:rsidRPr="00712EC9" w:rsidRDefault="00CB2711" w:rsidP="00CB2711">
            <w:pPr>
              <w:spacing w:after="0" w:line="240" w:lineRule="auto"/>
              <w:jc w:val="center"/>
              <w:rPr>
                <w:rFonts w:asciiTheme="majorHAnsi" w:eastAsia="Times New Roman" w:hAnsiTheme="majorHAnsi" w:cstheme="majorHAnsi"/>
                <w:b/>
                <w:bCs/>
                <w:sz w:val="18"/>
                <w:szCs w:val="18"/>
                <w:lang w:eastAsia="en-GB"/>
              </w:rPr>
            </w:pPr>
            <w:r w:rsidRPr="00712EC9">
              <w:rPr>
                <w:rFonts w:asciiTheme="majorHAnsi" w:eastAsia="Times New Roman" w:hAnsiTheme="majorHAnsi" w:cstheme="majorHAnsi"/>
                <w:b/>
                <w:bCs/>
                <w:sz w:val="18"/>
                <w:szCs w:val="18"/>
                <w:lang w:eastAsia="en-GB"/>
              </w:rPr>
              <w:t>65 and over</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16.6%</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17.2%</w:t>
            </w:r>
          </w:p>
        </w:tc>
        <w:tc>
          <w:tcPr>
            <w:tcW w:w="1426"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13.9%</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17.3%</w:t>
            </w:r>
          </w:p>
        </w:tc>
        <w:tc>
          <w:tcPr>
            <w:tcW w:w="1426" w:type="dxa"/>
            <w:tcBorders>
              <w:top w:val="single" w:sz="4" w:space="0" w:color="auto"/>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15.8%</w:t>
            </w:r>
          </w:p>
        </w:tc>
        <w:tc>
          <w:tcPr>
            <w:tcW w:w="1425" w:type="dxa"/>
            <w:tcBorders>
              <w:top w:val="nil"/>
              <w:left w:val="single" w:sz="4" w:space="0" w:color="auto"/>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15.2%</w:t>
            </w:r>
          </w:p>
        </w:tc>
        <w:tc>
          <w:tcPr>
            <w:tcW w:w="1426" w:type="dxa"/>
            <w:tcBorders>
              <w:top w:val="nil"/>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rPr>
            </w:pPr>
            <w:r w:rsidRPr="00712EC9">
              <w:rPr>
                <w:rFonts w:asciiTheme="majorHAnsi" w:hAnsiTheme="majorHAnsi" w:cstheme="majorHAnsi"/>
              </w:rPr>
              <w:t>16.1%</w:t>
            </w:r>
          </w:p>
        </w:tc>
      </w:tr>
      <w:tr w:rsidR="00CB2711" w:rsidRPr="00712EC9" w:rsidTr="00631264">
        <w:trPr>
          <w:trHeight w:val="307"/>
        </w:trPr>
        <w:tc>
          <w:tcPr>
            <w:tcW w:w="1359" w:type="dxa"/>
            <w:tcBorders>
              <w:top w:val="nil"/>
              <w:left w:val="single" w:sz="4" w:space="0" w:color="auto"/>
              <w:bottom w:val="single" w:sz="4" w:space="0" w:color="auto"/>
              <w:right w:val="single" w:sz="4" w:space="0" w:color="auto"/>
            </w:tcBorders>
            <w:shd w:val="clear" w:color="000000" w:fill="FFFFFF"/>
            <w:vAlign w:val="center"/>
          </w:tcPr>
          <w:p w:rsidR="00CB2711" w:rsidRPr="00712EC9" w:rsidRDefault="00CB2711" w:rsidP="00CB2711">
            <w:pPr>
              <w:spacing w:after="0" w:line="240" w:lineRule="auto"/>
              <w:jc w:val="center"/>
              <w:rPr>
                <w:rFonts w:asciiTheme="majorHAnsi" w:eastAsia="Times New Roman" w:hAnsiTheme="majorHAnsi" w:cstheme="majorHAnsi"/>
                <w:b/>
                <w:bCs/>
                <w:sz w:val="18"/>
                <w:szCs w:val="18"/>
                <w:lang w:eastAsia="en-GB"/>
              </w:rPr>
            </w:pPr>
            <w:r w:rsidRPr="00712EC9">
              <w:rPr>
                <w:rFonts w:asciiTheme="majorHAnsi" w:eastAsia="Times New Roman" w:hAnsiTheme="majorHAnsi" w:cstheme="majorHAnsi"/>
                <w:b/>
                <w:bCs/>
                <w:sz w:val="18"/>
                <w:szCs w:val="18"/>
                <w:lang w:eastAsia="en-GB"/>
              </w:rPr>
              <w:t xml:space="preserve">Total </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c>
          <w:tcPr>
            <w:tcW w:w="1426"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c>
          <w:tcPr>
            <w:tcW w:w="1425" w:type="dxa"/>
            <w:tcBorders>
              <w:top w:val="nil"/>
              <w:left w:val="nil"/>
              <w:bottom w:val="single" w:sz="4" w:space="0" w:color="auto"/>
              <w:right w:val="single" w:sz="4" w:space="0" w:color="auto"/>
            </w:tcBorders>
            <w:shd w:val="clear" w:color="auto" w:fill="auto"/>
            <w:noWrap/>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c>
          <w:tcPr>
            <w:tcW w:w="1426" w:type="dxa"/>
            <w:tcBorders>
              <w:top w:val="single" w:sz="4" w:space="0" w:color="auto"/>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c>
          <w:tcPr>
            <w:tcW w:w="1425" w:type="dxa"/>
            <w:tcBorders>
              <w:top w:val="nil"/>
              <w:left w:val="single" w:sz="4" w:space="0" w:color="auto"/>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c>
          <w:tcPr>
            <w:tcW w:w="1426" w:type="dxa"/>
            <w:tcBorders>
              <w:top w:val="nil"/>
              <w:left w:val="nil"/>
              <w:bottom w:val="single" w:sz="4" w:space="0" w:color="auto"/>
              <w:right w:val="single" w:sz="4" w:space="0" w:color="auto"/>
            </w:tcBorders>
            <w:vAlign w:val="bottom"/>
          </w:tcPr>
          <w:p w:rsidR="00CB2711" w:rsidRPr="00712EC9" w:rsidRDefault="00CB2711" w:rsidP="00631264">
            <w:pPr>
              <w:pStyle w:val="NoSpacing"/>
              <w:jc w:val="center"/>
              <w:rPr>
                <w:rFonts w:asciiTheme="majorHAnsi" w:hAnsiTheme="majorHAnsi" w:cstheme="majorHAnsi"/>
                <w:b/>
              </w:rPr>
            </w:pPr>
            <w:r w:rsidRPr="00712EC9">
              <w:rPr>
                <w:rFonts w:asciiTheme="majorHAnsi" w:hAnsiTheme="majorHAnsi" w:cstheme="majorHAnsi"/>
                <w:b/>
              </w:rPr>
              <w:t>100.0%</w:t>
            </w:r>
          </w:p>
        </w:tc>
      </w:tr>
    </w:tbl>
    <w:p w:rsidR="00631264" w:rsidRPr="002A2185" w:rsidRDefault="007366E0" w:rsidP="00631264">
      <w:pPr>
        <w:ind w:left="-1134" w:right="-1180"/>
        <w:rPr>
          <w:i/>
          <w:sz w:val="20"/>
          <w:szCs w:val="20"/>
        </w:rPr>
      </w:pPr>
      <w:r>
        <w:rPr>
          <w:i/>
          <w:sz w:val="20"/>
          <w:szCs w:val="20"/>
        </w:rPr>
        <w:t>T</w:t>
      </w:r>
      <w:r w:rsidR="00C55302">
        <w:rPr>
          <w:i/>
          <w:sz w:val="20"/>
          <w:szCs w:val="20"/>
        </w:rPr>
        <w:t xml:space="preserve">able 3: Age profile </w:t>
      </w:r>
      <w:r>
        <w:rPr>
          <w:i/>
          <w:sz w:val="20"/>
          <w:szCs w:val="20"/>
        </w:rPr>
        <w:t>on Census Day 2011 for District Electoral Areas of Armagh City, Banbridge and Craigavon Borough</w:t>
      </w:r>
      <w:r w:rsidR="00B16FEC" w:rsidRPr="002A2185">
        <w:rPr>
          <w:i/>
          <w:sz w:val="20"/>
          <w:szCs w:val="20"/>
        </w:rPr>
        <w:t>. Source</w:t>
      </w:r>
      <w:r w:rsidR="00631264" w:rsidRPr="002A2185">
        <w:rPr>
          <w:i/>
          <w:sz w:val="20"/>
          <w:szCs w:val="20"/>
        </w:rPr>
        <w:t>:</w:t>
      </w:r>
      <w:r w:rsidR="00631264">
        <w:rPr>
          <w:i/>
          <w:sz w:val="20"/>
          <w:szCs w:val="20"/>
        </w:rPr>
        <w:t xml:space="preserve"> Usual Resident Population – Single year of age and sex – Table MS-A09. Census 2021, NISRA</w:t>
      </w:r>
      <w:r w:rsidR="00631264" w:rsidRPr="002A2185">
        <w:rPr>
          <w:i/>
          <w:sz w:val="20"/>
          <w:szCs w:val="20"/>
        </w:rPr>
        <w:t>.</w:t>
      </w:r>
    </w:p>
    <w:p w:rsidR="00780BD9" w:rsidRDefault="00780BD9" w:rsidP="00631264">
      <w:pPr>
        <w:ind w:left="-1134" w:right="-1180"/>
      </w:pPr>
    </w:p>
    <w:p w:rsidR="007366E0" w:rsidRDefault="00631264" w:rsidP="00A34CDA">
      <w:pPr>
        <w:rPr>
          <w:i/>
          <w:sz w:val="20"/>
          <w:szCs w:val="20"/>
        </w:rPr>
      </w:pPr>
      <w:r>
        <w:rPr>
          <w:noProof/>
          <w:lang w:eastAsia="en-GB"/>
        </w:rPr>
        <w:drawing>
          <wp:inline distT="0" distB="0" distL="0" distR="0" wp14:anchorId="449D8EDF" wp14:editId="1FA8F712">
            <wp:extent cx="5772150" cy="2743200"/>
            <wp:effectExtent l="0" t="0" r="0" b="0"/>
            <wp:docPr id="5" name="Chart 5" title="Age Profile proportions on Census Day 2021 for DEAs of Armagh City, Banbridge and Craigavon Borough"/>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15F1F">
        <w:rPr>
          <w:i/>
          <w:sz w:val="20"/>
          <w:szCs w:val="20"/>
        </w:rPr>
        <w:t>Figure 3</w:t>
      </w:r>
      <w:r w:rsidR="007366E0">
        <w:rPr>
          <w:i/>
          <w:sz w:val="20"/>
          <w:szCs w:val="20"/>
        </w:rPr>
        <w:t>: Age p</w:t>
      </w:r>
      <w:r w:rsidR="00915F1F">
        <w:rPr>
          <w:i/>
          <w:sz w:val="20"/>
          <w:szCs w:val="20"/>
        </w:rPr>
        <w:t xml:space="preserve">rofile </w:t>
      </w:r>
      <w:r w:rsidR="007366E0">
        <w:rPr>
          <w:i/>
          <w:sz w:val="20"/>
          <w:szCs w:val="20"/>
        </w:rPr>
        <w:t xml:space="preserve">proportions </w:t>
      </w:r>
      <w:r w:rsidR="00915F1F">
        <w:rPr>
          <w:i/>
          <w:sz w:val="20"/>
          <w:szCs w:val="20"/>
        </w:rPr>
        <w:t>on Census Day</w:t>
      </w:r>
      <w:r>
        <w:rPr>
          <w:i/>
          <w:sz w:val="20"/>
          <w:szCs w:val="20"/>
        </w:rPr>
        <w:t xml:space="preserve"> 202</w:t>
      </w:r>
      <w:r w:rsidR="007366E0">
        <w:rPr>
          <w:i/>
          <w:sz w:val="20"/>
          <w:szCs w:val="20"/>
        </w:rPr>
        <w:t>1 for District Electoral Areas of Armagh City, Banbridge and Craigavon Borough</w:t>
      </w:r>
      <w:r w:rsidR="00915F1F" w:rsidRPr="002A2185">
        <w:rPr>
          <w:i/>
          <w:sz w:val="20"/>
          <w:szCs w:val="20"/>
        </w:rPr>
        <w:t>. Source:</w:t>
      </w:r>
      <w:r w:rsidR="00915F1F">
        <w:rPr>
          <w:i/>
          <w:sz w:val="20"/>
          <w:szCs w:val="20"/>
        </w:rPr>
        <w:t xml:space="preserve"> </w:t>
      </w:r>
      <w:r>
        <w:rPr>
          <w:i/>
          <w:sz w:val="20"/>
          <w:szCs w:val="20"/>
        </w:rPr>
        <w:t>Usual Resident Population – Single year of age and sex – Table MS-A09. Census 2021, NISRA</w:t>
      </w:r>
      <w:r w:rsidRPr="002A2185">
        <w:rPr>
          <w:i/>
          <w:sz w:val="20"/>
          <w:szCs w:val="20"/>
        </w:rPr>
        <w:t>.</w:t>
      </w:r>
    </w:p>
    <w:p w:rsidR="00D76532" w:rsidRDefault="00D76532" w:rsidP="00A5008B">
      <w:r>
        <w:t xml:space="preserve">Further information on District Electoral Areas </w:t>
      </w:r>
      <w:r w:rsidR="00712EC9">
        <w:t xml:space="preserve">from Census 2021 </w:t>
      </w:r>
      <w:r>
        <w:t>can be found via the following links:</w:t>
      </w:r>
    </w:p>
    <w:p w:rsidR="00D76532" w:rsidRPr="004A7624" w:rsidRDefault="001649A9" w:rsidP="004A7624">
      <w:hyperlink r:id="rId9" w:history="1">
        <w:r w:rsidR="00712EC9">
          <w:rPr>
            <w:rStyle w:val="Hyperlink"/>
          </w:rPr>
          <w:t>Census 2021 main statistics demography tables – age and sex | Northern Ireland Statistics and Research Agency (nisra.gov.uk)</w:t>
        </w:r>
      </w:hyperlink>
    </w:p>
    <w:sectPr w:rsidR="00D76532" w:rsidRPr="004A762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913" w:rsidRDefault="00032913" w:rsidP="007366E0">
      <w:pPr>
        <w:spacing w:after="0" w:line="240" w:lineRule="auto"/>
      </w:pPr>
      <w:r>
        <w:separator/>
      </w:r>
    </w:p>
  </w:endnote>
  <w:endnote w:type="continuationSeparator" w:id="0">
    <w:p w:rsidR="00032913" w:rsidRDefault="00032913" w:rsidP="0073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089027"/>
      <w:docPartObj>
        <w:docPartGallery w:val="Page Numbers (Bottom of Page)"/>
        <w:docPartUnique/>
      </w:docPartObj>
    </w:sdtPr>
    <w:sdtEndPr>
      <w:rPr>
        <w:noProof/>
      </w:rPr>
    </w:sdtEndPr>
    <w:sdtContent>
      <w:p w:rsidR="00032913" w:rsidRDefault="00032913">
        <w:pPr>
          <w:pStyle w:val="Footer"/>
          <w:jc w:val="right"/>
        </w:pPr>
        <w:r>
          <w:fldChar w:fldCharType="begin"/>
        </w:r>
        <w:r>
          <w:instrText xml:space="preserve"> PAGE   \* MERGEFORMAT </w:instrText>
        </w:r>
        <w:r>
          <w:fldChar w:fldCharType="separate"/>
        </w:r>
        <w:r w:rsidR="001649A9">
          <w:rPr>
            <w:noProof/>
          </w:rPr>
          <w:t>3</w:t>
        </w:r>
        <w:r>
          <w:rPr>
            <w:noProof/>
          </w:rPr>
          <w:fldChar w:fldCharType="end"/>
        </w:r>
      </w:p>
    </w:sdtContent>
  </w:sdt>
  <w:p w:rsidR="00032913" w:rsidRDefault="0003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913" w:rsidRDefault="00032913" w:rsidP="007366E0">
      <w:pPr>
        <w:spacing w:after="0" w:line="240" w:lineRule="auto"/>
      </w:pPr>
      <w:r>
        <w:separator/>
      </w:r>
    </w:p>
  </w:footnote>
  <w:footnote w:type="continuationSeparator" w:id="0">
    <w:p w:rsidR="00032913" w:rsidRDefault="00032913" w:rsidP="0073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92"/>
    <w:rsid w:val="000017F4"/>
    <w:rsid w:val="00032913"/>
    <w:rsid w:val="00106892"/>
    <w:rsid w:val="001649A9"/>
    <w:rsid w:val="001A290C"/>
    <w:rsid w:val="00201EEE"/>
    <w:rsid w:val="00252044"/>
    <w:rsid w:val="00262A55"/>
    <w:rsid w:val="002C6837"/>
    <w:rsid w:val="00307D85"/>
    <w:rsid w:val="0037158B"/>
    <w:rsid w:val="00377489"/>
    <w:rsid w:val="003C753A"/>
    <w:rsid w:val="003D547A"/>
    <w:rsid w:val="003F3F26"/>
    <w:rsid w:val="0044387B"/>
    <w:rsid w:val="004A7624"/>
    <w:rsid w:val="004C5921"/>
    <w:rsid w:val="004F741B"/>
    <w:rsid w:val="00503482"/>
    <w:rsid w:val="005E0D7E"/>
    <w:rsid w:val="005F7F2D"/>
    <w:rsid w:val="0060206C"/>
    <w:rsid w:val="00631264"/>
    <w:rsid w:val="006748D1"/>
    <w:rsid w:val="006C5A2E"/>
    <w:rsid w:val="00712EC9"/>
    <w:rsid w:val="007366E0"/>
    <w:rsid w:val="00780BD9"/>
    <w:rsid w:val="007E722F"/>
    <w:rsid w:val="00816EA0"/>
    <w:rsid w:val="008353E9"/>
    <w:rsid w:val="008472BF"/>
    <w:rsid w:val="00866768"/>
    <w:rsid w:val="008D53C7"/>
    <w:rsid w:val="00915F1F"/>
    <w:rsid w:val="009C2C3A"/>
    <w:rsid w:val="009F3C08"/>
    <w:rsid w:val="00A34CDA"/>
    <w:rsid w:val="00A35378"/>
    <w:rsid w:val="00A37F93"/>
    <w:rsid w:val="00A4675B"/>
    <w:rsid w:val="00A5008B"/>
    <w:rsid w:val="00B01CD9"/>
    <w:rsid w:val="00B10B2B"/>
    <w:rsid w:val="00B16FEC"/>
    <w:rsid w:val="00B933F9"/>
    <w:rsid w:val="00BA03F2"/>
    <w:rsid w:val="00BE1AB0"/>
    <w:rsid w:val="00C3728C"/>
    <w:rsid w:val="00C512D6"/>
    <w:rsid w:val="00C55302"/>
    <w:rsid w:val="00CB2711"/>
    <w:rsid w:val="00CF56DF"/>
    <w:rsid w:val="00D76532"/>
    <w:rsid w:val="00D859A2"/>
    <w:rsid w:val="00E44E81"/>
    <w:rsid w:val="00E52703"/>
    <w:rsid w:val="00F54D78"/>
    <w:rsid w:val="00FA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755F"/>
  <w15:chartTrackingRefBased/>
  <w15:docId w15:val="{16E5998B-5388-4948-B118-6438F83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532"/>
    <w:rPr>
      <w:color w:val="0000FF"/>
      <w:u w:val="single"/>
    </w:rPr>
  </w:style>
  <w:style w:type="paragraph" w:styleId="BalloonText">
    <w:name w:val="Balloon Text"/>
    <w:basedOn w:val="Normal"/>
    <w:link w:val="BalloonTextChar"/>
    <w:uiPriority w:val="99"/>
    <w:semiHidden/>
    <w:unhideWhenUsed/>
    <w:rsid w:val="00E4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E81"/>
    <w:rPr>
      <w:rFonts w:ascii="Segoe UI" w:hAnsi="Segoe UI" w:cs="Segoe UI"/>
      <w:sz w:val="18"/>
      <w:szCs w:val="18"/>
    </w:rPr>
  </w:style>
  <w:style w:type="paragraph" w:styleId="Header">
    <w:name w:val="header"/>
    <w:basedOn w:val="Normal"/>
    <w:link w:val="HeaderChar"/>
    <w:uiPriority w:val="99"/>
    <w:unhideWhenUsed/>
    <w:rsid w:val="0073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6E0"/>
  </w:style>
  <w:style w:type="paragraph" w:styleId="Footer">
    <w:name w:val="footer"/>
    <w:basedOn w:val="Normal"/>
    <w:link w:val="FooterChar"/>
    <w:uiPriority w:val="99"/>
    <w:unhideWhenUsed/>
    <w:rsid w:val="0073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6E0"/>
  </w:style>
  <w:style w:type="character" w:styleId="FollowedHyperlink">
    <w:name w:val="FollowedHyperlink"/>
    <w:basedOn w:val="DefaultParagraphFont"/>
    <w:uiPriority w:val="99"/>
    <w:semiHidden/>
    <w:unhideWhenUsed/>
    <w:rsid w:val="009C2C3A"/>
    <w:rPr>
      <w:color w:val="954F72" w:themeColor="followedHyperlink"/>
      <w:u w:val="single"/>
    </w:rPr>
  </w:style>
  <w:style w:type="paragraph" w:styleId="NoSpacing">
    <w:name w:val="No Spacing"/>
    <w:uiPriority w:val="1"/>
    <w:qFormat/>
    <w:rsid w:val="00631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3141">
      <w:bodyDiv w:val="1"/>
      <w:marLeft w:val="0"/>
      <w:marRight w:val="0"/>
      <w:marTop w:val="0"/>
      <w:marBottom w:val="0"/>
      <w:divBdr>
        <w:top w:val="none" w:sz="0" w:space="0" w:color="auto"/>
        <w:left w:val="none" w:sz="0" w:space="0" w:color="auto"/>
        <w:bottom w:val="none" w:sz="0" w:space="0" w:color="auto"/>
        <w:right w:val="none" w:sz="0" w:space="0" w:color="auto"/>
      </w:divBdr>
    </w:div>
    <w:div w:id="21233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isra.gov.uk/publications/census-2021-main-statistics-demography-tables-age-and-s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Population\2022%20Updates\DEA%20Census%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Population\2022%20Updates\DEA%20Census%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Sheet1!$B$33</c:f>
              <c:strCache>
                <c:ptCount val="1"/>
              </c:strCache>
            </c:strRef>
          </c:tx>
          <c:spPr>
            <a:solidFill>
              <a:schemeClr val="accent1"/>
            </a:solidFill>
            <a:ln>
              <a:noFill/>
            </a:ln>
            <a:effectLst/>
          </c:spPr>
          <c:invertIfNegative val="0"/>
          <c:cat>
            <c:strRef>
              <c:f>Sheet1!$A$34:$A$40</c:f>
              <c:strCache>
                <c:ptCount val="7"/>
                <c:pt idx="0">
                  <c:v>Armagh</c:v>
                </c:pt>
                <c:pt idx="1">
                  <c:v>Banbridge</c:v>
                </c:pt>
                <c:pt idx="2">
                  <c:v>Craigavon</c:v>
                </c:pt>
                <c:pt idx="3">
                  <c:v>Cusher</c:v>
                </c:pt>
                <c:pt idx="4">
                  <c:v>Lagan River</c:v>
                </c:pt>
                <c:pt idx="5">
                  <c:v>Lurgan</c:v>
                </c:pt>
                <c:pt idx="6">
                  <c:v>Portadown</c:v>
                </c:pt>
              </c:strCache>
            </c:strRef>
          </c:cat>
          <c:val>
            <c:numRef>
              <c:f>Sheet1!$B$34:$B$40</c:f>
            </c:numRef>
          </c:val>
          <c:extLst>
            <c:ext xmlns:c16="http://schemas.microsoft.com/office/drawing/2014/chart" uri="{C3380CC4-5D6E-409C-BE32-E72D297353CC}">
              <c16:uniqueId val="{00000000-CAA7-4767-BB73-C6D7A48BDE08}"/>
            </c:ext>
          </c:extLst>
        </c:ser>
        <c:ser>
          <c:idx val="1"/>
          <c:order val="1"/>
          <c:tx>
            <c:strRef>
              <c:f>Sheet1!$C$33</c:f>
              <c:strCache>
                <c:ptCount val="1"/>
                <c:pt idx="0">
                  <c:v>Total </c:v>
                </c:pt>
              </c:strCache>
            </c:strRef>
          </c:tx>
          <c:spPr>
            <a:solidFill>
              <a:schemeClr val="accent1"/>
            </a:solidFill>
            <a:ln>
              <a:noFill/>
            </a:ln>
            <a:effectLst/>
          </c:spPr>
          <c:invertIfNegative val="0"/>
          <c:cat>
            <c:strRef>
              <c:f>Sheet1!$A$34:$A$40</c:f>
              <c:strCache>
                <c:ptCount val="7"/>
                <c:pt idx="0">
                  <c:v>Armagh</c:v>
                </c:pt>
                <c:pt idx="1">
                  <c:v>Banbridge</c:v>
                </c:pt>
                <c:pt idx="2">
                  <c:v>Craigavon</c:v>
                </c:pt>
                <c:pt idx="3">
                  <c:v>Cusher</c:v>
                </c:pt>
                <c:pt idx="4">
                  <c:v>Lagan River</c:v>
                </c:pt>
                <c:pt idx="5">
                  <c:v>Lurgan</c:v>
                </c:pt>
                <c:pt idx="6">
                  <c:v>Portadown</c:v>
                </c:pt>
              </c:strCache>
            </c:strRef>
          </c:cat>
          <c:val>
            <c:numRef>
              <c:f>Sheet1!$C$34:$C$40</c:f>
              <c:numCache>
                <c:formatCode>#,##0</c:formatCode>
                <c:ptCount val="7"/>
                <c:pt idx="0">
                  <c:v>32401</c:v>
                </c:pt>
                <c:pt idx="1">
                  <c:v>34943</c:v>
                </c:pt>
                <c:pt idx="2">
                  <c:v>29196</c:v>
                </c:pt>
                <c:pt idx="3">
                  <c:v>26205</c:v>
                </c:pt>
                <c:pt idx="4">
                  <c:v>24805</c:v>
                </c:pt>
                <c:pt idx="5">
                  <c:v>38202</c:v>
                </c:pt>
                <c:pt idx="6">
                  <c:v>32933</c:v>
                </c:pt>
              </c:numCache>
            </c:numRef>
          </c:val>
          <c:extLst>
            <c:ext xmlns:c16="http://schemas.microsoft.com/office/drawing/2014/chart" uri="{C3380CC4-5D6E-409C-BE32-E72D297353CC}">
              <c16:uniqueId val="{00000001-CAA7-4767-BB73-C6D7A48BDE08}"/>
            </c:ext>
          </c:extLst>
        </c:ser>
        <c:dLbls>
          <c:showLegendKey val="0"/>
          <c:showVal val="0"/>
          <c:showCatName val="0"/>
          <c:showSerName val="0"/>
          <c:showPercent val="0"/>
          <c:showBubbleSize val="0"/>
        </c:dLbls>
        <c:gapWidth val="100"/>
        <c:overlap val="-27"/>
        <c:axId val="488676159"/>
        <c:axId val="488686975"/>
      </c:barChart>
      <c:catAx>
        <c:axId val="48867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686975"/>
        <c:crosses val="autoZero"/>
        <c:auto val="1"/>
        <c:lblAlgn val="ctr"/>
        <c:lblOffset val="100"/>
        <c:noMultiLvlLbl val="0"/>
      </c:catAx>
      <c:valAx>
        <c:axId val="488686975"/>
        <c:scaling>
          <c:orientation val="minMax"/>
        </c:scaling>
        <c:delete val="0"/>
        <c:axPos val="l"/>
        <c:majorGridlines>
          <c:spPr>
            <a:ln w="9525" cap="flat" cmpd="sng" algn="ctr">
              <a:solidFill>
                <a:schemeClr val="tx1">
                  <a:lumMod val="15000"/>
                  <a:lumOff val="85000"/>
                </a:schemeClr>
              </a:solidFill>
              <a:prstDash val="lg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676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Sheet1!$V$22</c:f>
              <c:strCache>
                <c:ptCount val="1"/>
                <c:pt idx="0">
                  <c:v>0 – 15 years</c:v>
                </c:pt>
              </c:strCache>
            </c:strRef>
          </c:tx>
          <c:spPr>
            <a:solidFill>
              <a:schemeClr val="accent1"/>
            </a:solidFill>
            <a:ln>
              <a:noFill/>
            </a:ln>
            <a:effectLst/>
          </c:spPr>
          <c:invertIfNegative val="0"/>
          <c:cat>
            <c:strRef>
              <c:f>Sheet1!$W$21:$AC$21</c:f>
              <c:strCache>
                <c:ptCount val="7"/>
                <c:pt idx="0">
                  <c:v>Armagh</c:v>
                </c:pt>
                <c:pt idx="1">
                  <c:v>Banbridge</c:v>
                </c:pt>
                <c:pt idx="2">
                  <c:v>Craigavon</c:v>
                </c:pt>
                <c:pt idx="3">
                  <c:v>Cusher</c:v>
                </c:pt>
                <c:pt idx="4">
                  <c:v>Lagan River</c:v>
                </c:pt>
                <c:pt idx="5">
                  <c:v>Lurgan</c:v>
                </c:pt>
                <c:pt idx="6">
                  <c:v>Portadown</c:v>
                </c:pt>
              </c:strCache>
            </c:strRef>
          </c:cat>
          <c:val>
            <c:numRef>
              <c:f>Sheet1!$W$22:$AC$22</c:f>
              <c:numCache>
                <c:formatCode>0.0%</c:formatCode>
                <c:ptCount val="7"/>
                <c:pt idx="0">
                  <c:v>0.22727693589704021</c:v>
                </c:pt>
                <c:pt idx="1">
                  <c:v>0.21154451535357602</c:v>
                </c:pt>
                <c:pt idx="2">
                  <c:v>0.23636799561583777</c:v>
                </c:pt>
                <c:pt idx="3">
                  <c:v>0.2233924823506967</c:v>
                </c:pt>
                <c:pt idx="4">
                  <c:v>0.21398911509776258</c:v>
                </c:pt>
                <c:pt idx="5">
                  <c:v>0.21666404900267008</c:v>
                </c:pt>
                <c:pt idx="6">
                  <c:v>0.2173503780402635</c:v>
                </c:pt>
              </c:numCache>
            </c:numRef>
          </c:val>
          <c:extLst>
            <c:ext xmlns:c16="http://schemas.microsoft.com/office/drawing/2014/chart" uri="{C3380CC4-5D6E-409C-BE32-E72D297353CC}">
              <c16:uniqueId val="{00000000-8C6F-4D3C-8896-C76EF797755A}"/>
            </c:ext>
          </c:extLst>
        </c:ser>
        <c:ser>
          <c:idx val="1"/>
          <c:order val="1"/>
          <c:tx>
            <c:strRef>
              <c:f>Sheet1!$V$23</c:f>
              <c:strCache>
                <c:ptCount val="1"/>
                <c:pt idx="0">
                  <c:v>16 – 39 years</c:v>
                </c:pt>
              </c:strCache>
            </c:strRef>
          </c:tx>
          <c:spPr>
            <a:solidFill>
              <a:schemeClr val="accent2"/>
            </a:solidFill>
            <a:ln>
              <a:noFill/>
            </a:ln>
            <a:effectLst/>
          </c:spPr>
          <c:invertIfNegative val="0"/>
          <c:cat>
            <c:strRef>
              <c:f>Sheet1!$W$21:$AC$21</c:f>
              <c:strCache>
                <c:ptCount val="7"/>
                <c:pt idx="0">
                  <c:v>Armagh</c:v>
                </c:pt>
                <c:pt idx="1">
                  <c:v>Banbridge</c:v>
                </c:pt>
                <c:pt idx="2">
                  <c:v>Craigavon</c:v>
                </c:pt>
                <c:pt idx="3">
                  <c:v>Cusher</c:v>
                </c:pt>
                <c:pt idx="4">
                  <c:v>Lagan River</c:v>
                </c:pt>
                <c:pt idx="5">
                  <c:v>Lurgan</c:v>
                </c:pt>
                <c:pt idx="6">
                  <c:v>Portadown</c:v>
                </c:pt>
              </c:strCache>
            </c:strRef>
          </c:cat>
          <c:val>
            <c:numRef>
              <c:f>Sheet1!$W$23:$AC$23</c:f>
              <c:numCache>
                <c:formatCode>0.0%</c:formatCode>
                <c:ptCount val="7"/>
                <c:pt idx="0">
                  <c:v>0.29662664732569999</c:v>
                </c:pt>
                <c:pt idx="1">
                  <c:v>0.28042812580488213</c:v>
                </c:pt>
                <c:pt idx="2">
                  <c:v>0.31076174818468283</c:v>
                </c:pt>
                <c:pt idx="3">
                  <c:v>0.28143484067926</c:v>
                </c:pt>
                <c:pt idx="4">
                  <c:v>0.28812739367063073</c:v>
                </c:pt>
                <c:pt idx="5">
                  <c:v>0.31103083608188059</c:v>
                </c:pt>
                <c:pt idx="6">
                  <c:v>0.30370752740412327</c:v>
                </c:pt>
              </c:numCache>
            </c:numRef>
          </c:val>
          <c:extLst>
            <c:ext xmlns:c16="http://schemas.microsoft.com/office/drawing/2014/chart" uri="{C3380CC4-5D6E-409C-BE32-E72D297353CC}">
              <c16:uniqueId val="{00000001-8C6F-4D3C-8896-C76EF797755A}"/>
            </c:ext>
          </c:extLst>
        </c:ser>
        <c:ser>
          <c:idx val="2"/>
          <c:order val="2"/>
          <c:tx>
            <c:strRef>
              <c:f>Sheet1!$V$24</c:f>
              <c:strCache>
                <c:ptCount val="1"/>
                <c:pt idx="0">
                  <c:v>40 – 64 years</c:v>
                </c:pt>
              </c:strCache>
            </c:strRef>
          </c:tx>
          <c:spPr>
            <a:solidFill>
              <a:schemeClr val="accent3"/>
            </a:solidFill>
            <a:ln>
              <a:noFill/>
            </a:ln>
            <a:effectLst/>
          </c:spPr>
          <c:invertIfNegative val="0"/>
          <c:cat>
            <c:strRef>
              <c:f>Sheet1!$W$21:$AC$21</c:f>
              <c:strCache>
                <c:ptCount val="7"/>
                <c:pt idx="0">
                  <c:v>Armagh</c:v>
                </c:pt>
                <c:pt idx="1">
                  <c:v>Banbridge</c:v>
                </c:pt>
                <c:pt idx="2">
                  <c:v>Craigavon</c:v>
                </c:pt>
                <c:pt idx="3">
                  <c:v>Cusher</c:v>
                </c:pt>
                <c:pt idx="4">
                  <c:v>Lagan River</c:v>
                </c:pt>
                <c:pt idx="5">
                  <c:v>Lurgan</c:v>
                </c:pt>
                <c:pt idx="6">
                  <c:v>Portadown</c:v>
                </c:pt>
              </c:strCache>
            </c:strRef>
          </c:cat>
          <c:val>
            <c:numRef>
              <c:f>Sheet1!$W$24:$AC$24</c:f>
              <c:numCache>
                <c:formatCode>0.0%</c:formatCode>
                <c:ptCount val="7"/>
                <c:pt idx="0">
                  <c:v>0.31032992808863952</c:v>
                </c:pt>
                <c:pt idx="1">
                  <c:v>0.33617605815184703</c:v>
                </c:pt>
                <c:pt idx="2">
                  <c:v>0.3140498698451844</c:v>
                </c:pt>
                <c:pt idx="3">
                  <c:v>0.32249570692615909</c:v>
                </c:pt>
                <c:pt idx="4">
                  <c:v>0.33940737754484962</c:v>
                </c:pt>
                <c:pt idx="5">
                  <c:v>0.32048060310978499</c:v>
                </c:pt>
                <c:pt idx="6">
                  <c:v>0.31758418607475758</c:v>
                </c:pt>
              </c:numCache>
            </c:numRef>
          </c:val>
          <c:extLst>
            <c:ext xmlns:c16="http://schemas.microsoft.com/office/drawing/2014/chart" uri="{C3380CC4-5D6E-409C-BE32-E72D297353CC}">
              <c16:uniqueId val="{00000002-8C6F-4D3C-8896-C76EF797755A}"/>
            </c:ext>
          </c:extLst>
        </c:ser>
        <c:ser>
          <c:idx val="3"/>
          <c:order val="3"/>
          <c:tx>
            <c:strRef>
              <c:f>Sheet1!$V$25</c:f>
              <c:strCache>
                <c:ptCount val="1"/>
                <c:pt idx="0">
                  <c:v>65 and over</c:v>
                </c:pt>
              </c:strCache>
            </c:strRef>
          </c:tx>
          <c:spPr>
            <a:solidFill>
              <a:schemeClr val="accent4"/>
            </a:solidFill>
            <a:ln>
              <a:noFill/>
            </a:ln>
            <a:effectLst/>
          </c:spPr>
          <c:invertIfNegative val="0"/>
          <c:cat>
            <c:strRef>
              <c:f>Sheet1!$W$21:$AC$21</c:f>
              <c:strCache>
                <c:ptCount val="7"/>
                <c:pt idx="0">
                  <c:v>Armagh</c:v>
                </c:pt>
                <c:pt idx="1">
                  <c:v>Banbridge</c:v>
                </c:pt>
                <c:pt idx="2">
                  <c:v>Craigavon</c:v>
                </c:pt>
                <c:pt idx="3">
                  <c:v>Cusher</c:v>
                </c:pt>
                <c:pt idx="4">
                  <c:v>Lagan River</c:v>
                </c:pt>
                <c:pt idx="5">
                  <c:v>Lurgan</c:v>
                </c:pt>
                <c:pt idx="6">
                  <c:v>Portadown</c:v>
                </c:pt>
              </c:strCache>
            </c:strRef>
          </c:cat>
          <c:val>
            <c:numRef>
              <c:f>Sheet1!$W$25:$AC$25</c:f>
              <c:numCache>
                <c:formatCode>0.0%</c:formatCode>
                <c:ptCount val="7"/>
                <c:pt idx="0">
                  <c:v>0.16576648868862073</c:v>
                </c:pt>
                <c:pt idx="1">
                  <c:v>0.17185130068969456</c:v>
                </c:pt>
                <c:pt idx="2">
                  <c:v>0.13882038635429517</c:v>
                </c:pt>
                <c:pt idx="3">
                  <c:v>0.17267697004388474</c:v>
                </c:pt>
                <c:pt idx="4">
                  <c:v>0.15847611368675674</c:v>
                </c:pt>
                <c:pt idx="5">
                  <c:v>0.15182451180566456</c:v>
                </c:pt>
                <c:pt idx="6">
                  <c:v>0.16135790848085504</c:v>
                </c:pt>
              </c:numCache>
            </c:numRef>
          </c:val>
          <c:extLst>
            <c:ext xmlns:c16="http://schemas.microsoft.com/office/drawing/2014/chart" uri="{C3380CC4-5D6E-409C-BE32-E72D297353CC}">
              <c16:uniqueId val="{00000003-8C6F-4D3C-8896-C76EF797755A}"/>
            </c:ext>
          </c:extLst>
        </c:ser>
        <c:dLbls>
          <c:showLegendKey val="0"/>
          <c:showVal val="0"/>
          <c:showCatName val="0"/>
          <c:showSerName val="0"/>
          <c:showPercent val="0"/>
          <c:showBubbleSize val="0"/>
        </c:dLbls>
        <c:gapWidth val="219"/>
        <c:overlap val="-27"/>
        <c:axId val="2099107679"/>
        <c:axId val="2099101023"/>
      </c:barChart>
      <c:catAx>
        <c:axId val="209910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101023"/>
        <c:crosses val="autoZero"/>
        <c:auto val="1"/>
        <c:lblAlgn val="ctr"/>
        <c:lblOffset val="100"/>
        <c:noMultiLvlLbl val="0"/>
      </c:catAx>
      <c:valAx>
        <c:axId val="2099101023"/>
        <c:scaling>
          <c:orientation val="minMax"/>
        </c:scaling>
        <c:delete val="0"/>
        <c:axPos val="l"/>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1076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30</cp:revision>
  <cp:lastPrinted>2020-02-14T10:24:00Z</cp:lastPrinted>
  <dcterms:created xsi:type="dcterms:W3CDTF">2019-08-09T09:48:00Z</dcterms:created>
  <dcterms:modified xsi:type="dcterms:W3CDTF">2023-06-05T10:32:00Z</dcterms:modified>
</cp:coreProperties>
</file>