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charts/chart6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7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94F53" w:rsidRDefault="00594F53" w:rsidP="00594F53">
      <w:pPr>
        <w:rPr>
          <w:b/>
        </w:rPr>
      </w:pPr>
      <w:r>
        <w:rPr>
          <w:b/>
        </w:rPr>
        <w:t>Businesses</w:t>
      </w:r>
    </w:p>
    <w:p w:rsidR="00594F53" w:rsidRDefault="00716C49" w:rsidP="00594F53">
      <w:r>
        <w:t>In 2023</w:t>
      </w:r>
      <w:r w:rsidR="001700C8">
        <w:t xml:space="preserve"> there were 9,</w:t>
      </w:r>
      <w:r>
        <w:t>390</w:t>
      </w:r>
      <w:r w:rsidR="00594F53">
        <w:t xml:space="preserve"> VAT and/or PAYE registered businesses in </w:t>
      </w:r>
      <w:r>
        <w:t>the borough, accounting for 11.9</w:t>
      </w:r>
      <w:r w:rsidR="00594F53">
        <w:t xml:space="preserve">% of all such </w:t>
      </w:r>
      <w:r w:rsidR="009F46C2">
        <w:t>businesses in Northern Ireland</w:t>
      </w:r>
      <w:r w:rsidR="0022570B">
        <w:t xml:space="preserve">, the </w:t>
      </w:r>
      <w:r w:rsidR="001700C8">
        <w:t>third</w:t>
      </w:r>
      <w:r w:rsidR="0022570B">
        <w:t xml:space="preserve"> highest </w:t>
      </w:r>
      <w:r w:rsidR="009F46C2">
        <w:t>of the eleven councils.</w:t>
      </w:r>
    </w:p>
    <w:tbl>
      <w:tblPr>
        <w:tblStyle w:val="GridTable1Light"/>
        <w:tblW w:w="6653" w:type="dxa"/>
        <w:tblLayout w:type="fixed"/>
        <w:tblLook w:val="04A0" w:firstRow="1" w:lastRow="0" w:firstColumn="1" w:lastColumn="0" w:noHBand="0" w:noVBand="1"/>
        <w:tblCaption w:val="VAT and /or PAYE registered businesses operating in Northern Ireland by Council in 2022."/>
      </w:tblPr>
      <w:tblGrid>
        <w:gridCol w:w="3818"/>
        <w:gridCol w:w="1417"/>
        <w:gridCol w:w="1418"/>
      </w:tblGrid>
      <w:tr w:rsidR="001700C8" w:rsidRPr="001700C8" w:rsidTr="001700C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18" w:type="dxa"/>
            <w:hideMark/>
          </w:tcPr>
          <w:p w:rsidR="001700C8" w:rsidRPr="001700C8" w:rsidRDefault="001700C8" w:rsidP="001700C8">
            <w:pPr>
              <w:rPr>
                <w:rFonts w:eastAsia="Times New Roman" w:cstheme="minorHAnsi"/>
                <w:color w:val="000000"/>
                <w:lang w:eastAsia="en-GB"/>
              </w:rPr>
            </w:pPr>
            <w:r w:rsidRPr="001700C8">
              <w:rPr>
                <w:rFonts w:eastAsia="Times New Roman" w:cstheme="minorHAnsi"/>
                <w:color w:val="000000"/>
                <w:lang w:eastAsia="en-GB"/>
              </w:rPr>
              <w:t>District Council Area</w:t>
            </w:r>
          </w:p>
        </w:tc>
        <w:tc>
          <w:tcPr>
            <w:tcW w:w="1417" w:type="dxa"/>
            <w:noWrap/>
            <w:hideMark/>
          </w:tcPr>
          <w:p w:rsidR="001700C8" w:rsidRPr="001700C8" w:rsidRDefault="001700C8" w:rsidP="001700C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lang w:eastAsia="en-GB"/>
              </w:rPr>
            </w:pPr>
            <w:r w:rsidRPr="001700C8">
              <w:rPr>
                <w:rFonts w:eastAsia="Times New Roman" w:cstheme="minorHAnsi"/>
                <w:color w:val="000000"/>
                <w:lang w:eastAsia="en-GB"/>
              </w:rPr>
              <w:t>Number</w:t>
            </w:r>
          </w:p>
        </w:tc>
        <w:tc>
          <w:tcPr>
            <w:tcW w:w="1418" w:type="dxa"/>
            <w:noWrap/>
            <w:hideMark/>
          </w:tcPr>
          <w:p w:rsidR="001700C8" w:rsidRPr="001700C8" w:rsidRDefault="001700C8" w:rsidP="001700C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lang w:eastAsia="en-GB"/>
              </w:rPr>
            </w:pPr>
            <w:r w:rsidRPr="001700C8">
              <w:rPr>
                <w:rFonts w:eastAsia="Times New Roman" w:cstheme="minorHAnsi"/>
                <w:color w:val="000000"/>
                <w:lang w:eastAsia="en-GB"/>
              </w:rPr>
              <w:t>% of NI</w:t>
            </w:r>
          </w:p>
        </w:tc>
      </w:tr>
      <w:tr w:rsidR="00716C49" w:rsidRPr="001700C8" w:rsidTr="009F76E7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18" w:type="dxa"/>
            <w:hideMark/>
          </w:tcPr>
          <w:p w:rsidR="00716C49" w:rsidRPr="001700C8" w:rsidRDefault="00716C49" w:rsidP="00716C49">
            <w:pPr>
              <w:rPr>
                <w:rFonts w:eastAsia="Times New Roman" w:cstheme="minorHAnsi"/>
                <w:b w:val="0"/>
                <w:color w:val="000000"/>
                <w:lang w:eastAsia="en-GB"/>
              </w:rPr>
            </w:pPr>
            <w:r w:rsidRPr="001700C8">
              <w:rPr>
                <w:rFonts w:eastAsia="Times New Roman" w:cstheme="minorHAnsi"/>
                <w:b w:val="0"/>
                <w:color w:val="000000"/>
                <w:lang w:eastAsia="en-GB"/>
              </w:rPr>
              <w:t xml:space="preserve">Antrim and </w:t>
            </w:r>
            <w:proofErr w:type="spellStart"/>
            <w:r w:rsidRPr="001700C8">
              <w:rPr>
                <w:rFonts w:eastAsia="Times New Roman" w:cstheme="minorHAnsi"/>
                <w:b w:val="0"/>
                <w:color w:val="000000"/>
                <w:lang w:eastAsia="en-GB"/>
              </w:rPr>
              <w:t>Newtonabbey</w:t>
            </w:r>
            <w:proofErr w:type="spellEnd"/>
          </w:p>
        </w:tc>
        <w:tc>
          <w:tcPr>
            <w:tcW w:w="1417" w:type="dxa"/>
            <w:vAlign w:val="center"/>
            <w:hideMark/>
          </w:tcPr>
          <w:p w:rsidR="00716C49" w:rsidRDefault="00716C49" w:rsidP="00716C4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4,220</w:t>
            </w:r>
          </w:p>
        </w:tc>
        <w:tc>
          <w:tcPr>
            <w:tcW w:w="1418" w:type="dxa"/>
            <w:noWrap/>
            <w:vAlign w:val="center"/>
            <w:hideMark/>
          </w:tcPr>
          <w:p w:rsidR="00716C49" w:rsidRDefault="00716C49" w:rsidP="00716C4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5.3%</w:t>
            </w:r>
          </w:p>
        </w:tc>
      </w:tr>
      <w:tr w:rsidR="00716C49" w:rsidRPr="001700C8" w:rsidTr="009F76E7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18" w:type="dxa"/>
            <w:hideMark/>
          </w:tcPr>
          <w:p w:rsidR="00716C49" w:rsidRPr="001700C8" w:rsidRDefault="00716C49" w:rsidP="00716C49">
            <w:pPr>
              <w:rPr>
                <w:rFonts w:eastAsia="Times New Roman" w:cstheme="minorHAnsi"/>
                <w:b w:val="0"/>
                <w:color w:val="000000"/>
                <w:lang w:eastAsia="en-GB"/>
              </w:rPr>
            </w:pPr>
            <w:proofErr w:type="spellStart"/>
            <w:r w:rsidRPr="001700C8">
              <w:rPr>
                <w:rFonts w:eastAsia="Times New Roman" w:cstheme="minorHAnsi"/>
                <w:b w:val="0"/>
                <w:color w:val="000000"/>
                <w:lang w:eastAsia="en-GB"/>
              </w:rPr>
              <w:t>Ards</w:t>
            </w:r>
            <w:proofErr w:type="spellEnd"/>
            <w:r w:rsidRPr="001700C8">
              <w:rPr>
                <w:rFonts w:eastAsia="Times New Roman" w:cstheme="minorHAnsi"/>
                <w:b w:val="0"/>
                <w:color w:val="000000"/>
                <w:lang w:eastAsia="en-GB"/>
              </w:rPr>
              <w:t xml:space="preserve"> and North Down</w:t>
            </w:r>
          </w:p>
        </w:tc>
        <w:tc>
          <w:tcPr>
            <w:tcW w:w="1417" w:type="dxa"/>
            <w:vAlign w:val="center"/>
            <w:hideMark/>
          </w:tcPr>
          <w:p w:rsidR="00716C49" w:rsidRDefault="00716C49" w:rsidP="00716C4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4,815</w:t>
            </w:r>
          </w:p>
        </w:tc>
        <w:tc>
          <w:tcPr>
            <w:tcW w:w="1418" w:type="dxa"/>
            <w:noWrap/>
            <w:vAlign w:val="center"/>
            <w:hideMark/>
          </w:tcPr>
          <w:p w:rsidR="00716C49" w:rsidRDefault="00716C49" w:rsidP="00716C4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6.1%</w:t>
            </w:r>
          </w:p>
        </w:tc>
      </w:tr>
      <w:tr w:rsidR="00716C49" w:rsidRPr="001700C8" w:rsidTr="009F76E7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18" w:type="dxa"/>
            <w:hideMark/>
          </w:tcPr>
          <w:p w:rsidR="00716C49" w:rsidRPr="001700C8" w:rsidRDefault="00716C49" w:rsidP="00716C49">
            <w:pPr>
              <w:rPr>
                <w:rFonts w:eastAsia="Times New Roman" w:cstheme="minorHAnsi"/>
                <w:b w:val="0"/>
                <w:color w:val="000000"/>
                <w:lang w:eastAsia="en-GB"/>
              </w:rPr>
            </w:pPr>
            <w:r w:rsidRPr="001700C8">
              <w:rPr>
                <w:rFonts w:eastAsia="Times New Roman" w:cstheme="minorHAnsi"/>
                <w:b w:val="0"/>
                <w:color w:val="000000"/>
                <w:lang w:eastAsia="en-GB"/>
              </w:rPr>
              <w:t>Armagh City, Banbridge and Craigavon</w:t>
            </w:r>
          </w:p>
        </w:tc>
        <w:tc>
          <w:tcPr>
            <w:tcW w:w="1417" w:type="dxa"/>
            <w:vAlign w:val="center"/>
            <w:hideMark/>
          </w:tcPr>
          <w:p w:rsidR="00716C49" w:rsidRDefault="00716C49" w:rsidP="00716C4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9,390</w:t>
            </w:r>
          </w:p>
        </w:tc>
        <w:tc>
          <w:tcPr>
            <w:tcW w:w="1418" w:type="dxa"/>
            <w:noWrap/>
            <w:vAlign w:val="center"/>
            <w:hideMark/>
          </w:tcPr>
          <w:p w:rsidR="00716C49" w:rsidRDefault="00716C49" w:rsidP="00716C4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11.9%</w:t>
            </w:r>
          </w:p>
        </w:tc>
      </w:tr>
      <w:tr w:rsidR="00716C49" w:rsidRPr="001700C8" w:rsidTr="009F76E7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18" w:type="dxa"/>
            <w:hideMark/>
          </w:tcPr>
          <w:p w:rsidR="00716C49" w:rsidRPr="001700C8" w:rsidRDefault="00716C49" w:rsidP="00716C49">
            <w:pPr>
              <w:rPr>
                <w:rFonts w:eastAsia="Times New Roman" w:cstheme="minorHAnsi"/>
                <w:b w:val="0"/>
                <w:color w:val="000000"/>
                <w:lang w:eastAsia="en-GB"/>
              </w:rPr>
            </w:pPr>
            <w:r w:rsidRPr="001700C8">
              <w:rPr>
                <w:rFonts w:eastAsia="Times New Roman" w:cstheme="minorHAnsi"/>
                <w:b w:val="0"/>
                <w:color w:val="000000"/>
                <w:lang w:eastAsia="en-GB"/>
              </w:rPr>
              <w:t>Belfast</w:t>
            </w:r>
          </w:p>
        </w:tc>
        <w:tc>
          <w:tcPr>
            <w:tcW w:w="1417" w:type="dxa"/>
            <w:vAlign w:val="center"/>
            <w:hideMark/>
          </w:tcPr>
          <w:p w:rsidR="00716C49" w:rsidRDefault="00716C49" w:rsidP="00716C4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11,300</w:t>
            </w:r>
          </w:p>
        </w:tc>
        <w:tc>
          <w:tcPr>
            <w:tcW w:w="1418" w:type="dxa"/>
            <w:noWrap/>
            <w:vAlign w:val="center"/>
            <w:hideMark/>
          </w:tcPr>
          <w:p w:rsidR="00716C49" w:rsidRDefault="00716C49" w:rsidP="00716C4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14.3%</w:t>
            </w:r>
          </w:p>
        </w:tc>
      </w:tr>
      <w:tr w:rsidR="00716C49" w:rsidRPr="001700C8" w:rsidTr="009F76E7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18" w:type="dxa"/>
            <w:hideMark/>
          </w:tcPr>
          <w:p w:rsidR="00716C49" w:rsidRPr="001700C8" w:rsidRDefault="00716C49" w:rsidP="00716C49">
            <w:pPr>
              <w:rPr>
                <w:rFonts w:eastAsia="Times New Roman" w:cstheme="minorHAnsi"/>
                <w:b w:val="0"/>
                <w:color w:val="000000"/>
                <w:lang w:eastAsia="en-GB"/>
              </w:rPr>
            </w:pPr>
            <w:r w:rsidRPr="001700C8">
              <w:rPr>
                <w:rFonts w:eastAsia="Times New Roman" w:cstheme="minorHAnsi"/>
                <w:b w:val="0"/>
                <w:color w:val="000000"/>
                <w:lang w:eastAsia="en-GB"/>
              </w:rPr>
              <w:t>Causeway Coast and Glens</w:t>
            </w:r>
          </w:p>
        </w:tc>
        <w:tc>
          <w:tcPr>
            <w:tcW w:w="1417" w:type="dxa"/>
            <w:vAlign w:val="center"/>
            <w:hideMark/>
          </w:tcPr>
          <w:p w:rsidR="00716C49" w:rsidRDefault="00716C49" w:rsidP="00716C4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6,160</w:t>
            </w:r>
          </w:p>
        </w:tc>
        <w:tc>
          <w:tcPr>
            <w:tcW w:w="1418" w:type="dxa"/>
            <w:noWrap/>
            <w:vAlign w:val="center"/>
            <w:hideMark/>
          </w:tcPr>
          <w:p w:rsidR="00716C49" w:rsidRDefault="00716C49" w:rsidP="00716C4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7.8%</w:t>
            </w:r>
          </w:p>
        </w:tc>
      </w:tr>
      <w:tr w:rsidR="00716C49" w:rsidRPr="001700C8" w:rsidTr="009F76E7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18" w:type="dxa"/>
            <w:hideMark/>
          </w:tcPr>
          <w:p w:rsidR="00716C49" w:rsidRPr="001700C8" w:rsidRDefault="00716C49" w:rsidP="00716C49">
            <w:pPr>
              <w:rPr>
                <w:rFonts w:eastAsia="Times New Roman" w:cstheme="minorHAnsi"/>
                <w:b w:val="0"/>
                <w:color w:val="000000"/>
                <w:lang w:eastAsia="en-GB"/>
              </w:rPr>
            </w:pPr>
            <w:r w:rsidRPr="001700C8">
              <w:rPr>
                <w:rFonts w:eastAsia="Times New Roman" w:cstheme="minorHAnsi"/>
                <w:b w:val="0"/>
                <w:color w:val="000000"/>
                <w:lang w:eastAsia="en-GB"/>
              </w:rPr>
              <w:t>Derry City and Strabane</w:t>
            </w:r>
          </w:p>
        </w:tc>
        <w:tc>
          <w:tcPr>
            <w:tcW w:w="1417" w:type="dxa"/>
            <w:vAlign w:val="center"/>
            <w:hideMark/>
          </w:tcPr>
          <w:p w:rsidR="00716C49" w:rsidRDefault="00716C49" w:rsidP="00716C4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5,555</w:t>
            </w:r>
          </w:p>
        </w:tc>
        <w:tc>
          <w:tcPr>
            <w:tcW w:w="1418" w:type="dxa"/>
            <w:noWrap/>
            <w:vAlign w:val="center"/>
            <w:hideMark/>
          </w:tcPr>
          <w:p w:rsidR="00716C49" w:rsidRDefault="00716C49" w:rsidP="00716C4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7.0%</w:t>
            </w:r>
          </w:p>
        </w:tc>
      </w:tr>
      <w:tr w:rsidR="00716C49" w:rsidRPr="001700C8" w:rsidTr="009F76E7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18" w:type="dxa"/>
            <w:hideMark/>
          </w:tcPr>
          <w:p w:rsidR="00716C49" w:rsidRPr="001700C8" w:rsidRDefault="00716C49" w:rsidP="00716C49">
            <w:pPr>
              <w:rPr>
                <w:rFonts w:eastAsia="Times New Roman" w:cstheme="minorHAnsi"/>
                <w:b w:val="0"/>
                <w:color w:val="000000"/>
                <w:lang w:eastAsia="en-GB"/>
              </w:rPr>
            </w:pPr>
            <w:r w:rsidRPr="001700C8">
              <w:rPr>
                <w:rFonts w:eastAsia="Times New Roman" w:cstheme="minorHAnsi"/>
                <w:b w:val="0"/>
                <w:color w:val="000000"/>
                <w:lang w:eastAsia="en-GB"/>
              </w:rPr>
              <w:t xml:space="preserve">Fermanagh and </w:t>
            </w:r>
            <w:proofErr w:type="spellStart"/>
            <w:r w:rsidRPr="001700C8">
              <w:rPr>
                <w:rFonts w:eastAsia="Times New Roman" w:cstheme="minorHAnsi"/>
                <w:b w:val="0"/>
                <w:color w:val="000000"/>
                <w:lang w:eastAsia="en-GB"/>
              </w:rPr>
              <w:t>Omagh</w:t>
            </w:r>
            <w:proofErr w:type="spellEnd"/>
          </w:p>
        </w:tc>
        <w:tc>
          <w:tcPr>
            <w:tcW w:w="1417" w:type="dxa"/>
            <w:vAlign w:val="center"/>
            <w:hideMark/>
          </w:tcPr>
          <w:p w:rsidR="00716C49" w:rsidRDefault="00716C49" w:rsidP="00716C4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8,575</w:t>
            </w:r>
          </w:p>
        </w:tc>
        <w:tc>
          <w:tcPr>
            <w:tcW w:w="1418" w:type="dxa"/>
            <w:noWrap/>
            <w:vAlign w:val="center"/>
            <w:hideMark/>
          </w:tcPr>
          <w:p w:rsidR="00716C49" w:rsidRDefault="00716C49" w:rsidP="00716C4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10.8%</w:t>
            </w:r>
          </w:p>
        </w:tc>
      </w:tr>
      <w:tr w:rsidR="00716C49" w:rsidRPr="001700C8" w:rsidTr="009F76E7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18" w:type="dxa"/>
            <w:hideMark/>
          </w:tcPr>
          <w:p w:rsidR="00716C49" w:rsidRPr="001700C8" w:rsidRDefault="00716C49" w:rsidP="00716C49">
            <w:pPr>
              <w:rPr>
                <w:rFonts w:eastAsia="Times New Roman" w:cstheme="minorHAnsi"/>
                <w:b w:val="0"/>
                <w:color w:val="000000"/>
                <w:lang w:eastAsia="en-GB"/>
              </w:rPr>
            </w:pPr>
            <w:r w:rsidRPr="001700C8">
              <w:rPr>
                <w:rFonts w:eastAsia="Times New Roman" w:cstheme="minorHAnsi"/>
                <w:b w:val="0"/>
                <w:color w:val="000000"/>
                <w:lang w:eastAsia="en-GB"/>
              </w:rPr>
              <w:t>Lisburn and Castlereagh</w:t>
            </w:r>
          </w:p>
        </w:tc>
        <w:tc>
          <w:tcPr>
            <w:tcW w:w="1417" w:type="dxa"/>
            <w:vAlign w:val="center"/>
            <w:hideMark/>
          </w:tcPr>
          <w:p w:rsidR="00716C49" w:rsidRDefault="00716C49" w:rsidP="00716C4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5,240</w:t>
            </w:r>
          </w:p>
        </w:tc>
        <w:tc>
          <w:tcPr>
            <w:tcW w:w="1418" w:type="dxa"/>
            <w:noWrap/>
            <w:vAlign w:val="center"/>
            <w:hideMark/>
          </w:tcPr>
          <w:p w:rsidR="00716C49" w:rsidRDefault="00716C49" w:rsidP="00716C4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6.6%</w:t>
            </w:r>
          </w:p>
        </w:tc>
      </w:tr>
      <w:tr w:rsidR="00716C49" w:rsidRPr="001700C8" w:rsidTr="009F76E7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18" w:type="dxa"/>
            <w:hideMark/>
          </w:tcPr>
          <w:p w:rsidR="00716C49" w:rsidRPr="001700C8" w:rsidRDefault="00716C49" w:rsidP="00716C49">
            <w:pPr>
              <w:rPr>
                <w:rFonts w:eastAsia="Times New Roman" w:cstheme="minorHAnsi"/>
                <w:b w:val="0"/>
                <w:color w:val="000000"/>
                <w:lang w:eastAsia="en-GB"/>
              </w:rPr>
            </w:pPr>
            <w:r w:rsidRPr="001700C8">
              <w:rPr>
                <w:rFonts w:eastAsia="Times New Roman" w:cstheme="minorHAnsi"/>
                <w:b w:val="0"/>
                <w:color w:val="000000"/>
                <w:lang w:eastAsia="en-GB"/>
              </w:rPr>
              <w:t>Mid and East Antrim</w:t>
            </w:r>
          </w:p>
        </w:tc>
        <w:tc>
          <w:tcPr>
            <w:tcW w:w="1417" w:type="dxa"/>
            <w:vAlign w:val="center"/>
            <w:hideMark/>
          </w:tcPr>
          <w:p w:rsidR="00716C49" w:rsidRDefault="00716C49" w:rsidP="00716C4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5,065</w:t>
            </w:r>
          </w:p>
        </w:tc>
        <w:tc>
          <w:tcPr>
            <w:tcW w:w="1418" w:type="dxa"/>
            <w:noWrap/>
            <w:vAlign w:val="center"/>
            <w:hideMark/>
          </w:tcPr>
          <w:p w:rsidR="00716C49" w:rsidRDefault="00716C49" w:rsidP="00716C4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6.4%</w:t>
            </w:r>
          </w:p>
        </w:tc>
      </w:tr>
      <w:tr w:rsidR="00716C49" w:rsidRPr="001700C8" w:rsidTr="009F76E7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18" w:type="dxa"/>
            <w:hideMark/>
          </w:tcPr>
          <w:p w:rsidR="00716C49" w:rsidRPr="001700C8" w:rsidRDefault="00716C49" w:rsidP="00716C49">
            <w:pPr>
              <w:rPr>
                <w:rFonts w:eastAsia="Times New Roman" w:cstheme="minorHAnsi"/>
                <w:b w:val="0"/>
                <w:color w:val="000000"/>
                <w:lang w:eastAsia="en-GB"/>
              </w:rPr>
            </w:pPr>
            <w:r w:rsidRPr="001700C8">
              <w:rPr>
                <w:rFonts w:eastAsia="Times New Roman" w:cstheme="minorHAnsi"/>
                <w:b w:val="0"/>
                <w:color w:val="000000"/>
                <w:lang w:eastAsia="en-GB"/>
              </w:rPr>
              <w:t>Mid Ulster</w:t>
            </w:r>
          </w:p>
        </w:tc>
        <w:tc>
          <w:tcPr>
            <w:tcW w:w="1417" w:type="dxa"/>
            <w:vAlign w:val="center"/>
            <w:hideMark/>
          </w:tcPr>
          <w:p w:rsidR="00716C49" w:rsidRDefault="00716C49" w:rsidP="00716C4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9,540</w:t>
            </w:r>
          </w:p>
        </w:tc>
        <w:tc>
          <w:tcPr>
            <w:tcW w:w="1418" w:type="dxa"/>
            <w:noWrap/>
            <w:vAlign w:val="center"/>
            <w:hideMark/>
          </w:tcPr>
          <w:p w:rsidR="00716C49" w:rsidRDefault="00716C49" w:rsidP="00716C4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12.0%</w:t>
            </w:r>
          </w:p>
        </w:tc>
      </w:tr>
      <w:tr w:rsidR="00716C49" w:rsidRPr="001700C8" w:rsidTr="009F76E7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18" w:type="dxa"/>
            <w:hideMark/>
          </w:tcPr>
          <w:p w:rsidR="00716C49" w:rsidRPr="001700C8" w:rsidRDefault="00716C49" w:rsidP="00716C49">
            <w:pPr>
              <w:rPr>
                <w:rFonts w:eastAsia="Times New Roman" w:cstheme="minorHAnsi"/>
                <w:b w:val="0"/>
                <w:color w:val="000000"/>
                <w:lang w:eastAsia="en-GB"/>
              </w:rPr>
            </w:pPr>
            <w:r w:rsidRPr="001700C8">
              <w:rPr>
                <w:rFonts w:eastAsia="Times New Roman" w:cstheme="minorHAnsi"/>
                <w:b w:val="0"/>
                <w:color w:val="000000"/>
                <w:lang w:eastAsia="en-GB"/>
              </w:rPr>
              <w:t xml:space="preserve">Newry, </w:t>
            </w:r>
            <w:proofErr w:type="spellStart"/>
            <w:r w:rsidRPr="001700C8">
              <w:rPr>
                <w:rFonts w:eastAsia="Times New Roman" w:cstheme="minorHAnsi"/>
                <w:b w:val="0"/>
                <w:color w:val="000000"/>
                <w:lang w:eastAsia="en-GB"/>
              </w:rPr>
              <w:t>Mourne</w:t>
            </w:r>
            <w:proofErr w:type="spellEnd"/>
            <w:r w:rsidRPr="001700C8">
              <w:rPr>
                <w:rFonts w:eastAsia="Times New Roman" w:cstheme="minorHAnsi"/>
                <w:b w:val="0"/>
                <w:color w:val="000000"/>
                <w:lang w:eastAsia="en-GB"/>
              </w:rPr>
              <w:t xml:space="preserve"> and Down</w:t>
            </w:r>
          </w:p>
        </w:tc>
        <w:tc>
          <w:tcPr>
            <w:tcW w:w="1417" w:type="dxa"/>
            <w:vAlign w:val="center"/>
            <w:hideMark/>
          </w:tcPr>
          <w:p w:rsidR="00716C49" w:rsidRDefault="00716C49" w:rsidP="00716C4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9,375</w:t>
            </w:r>
          </w:p>
        </w:tc>
        <w:tc>
          <w:tcPr>
            <w:tcW w:w="1418" w:type="dxa"/>
            <w:noWrap/>
            <w:vAlign w:val="center"/>
            <w:hideMark/>
          </w:tcPr>
          <w:p w:rsidR="00716C49" w:rsidRDefault="00716C49" w:rsidP="00716C4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11.8%</w:t>
            </w:r>
          </w:p>
        </w:tc>
      </w:tr>
      <w:tr w:rsidR="00716C49" w:rsidRPr="001700C8" w:rsidTr="009F76E7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18" w:type="dxa"/>
            <w:hideMark/>
          </w:tcPr>
          <w:p w:rsidR="00716C49" w:rsidRPr="001700C8" w:rsidRDefault="00716C49" w:rsidP="00716C49">
            <w:pPr>
              <w:rPr>
                <w:rFonts w:eastAsia="Times New Roman" w:cstheme="minorHAnsi"/>
                <w:color w:val="000000"/>
                <w:lang w:eastAsia="en-GB"/>
              </w:rPr>
            </w:pPr>
            <w:r w:rsidRPr="001700C8">
              <w:rPr>
                <w:rFonts w:eastAsia="Times New Roman" w:cstheme="minorHAnsi"/>
                <w:color w:val="000000"/>
                <w:lang w:eastAsia="en-GB"/>
              </w:rPr>
              <w:t>Northern Ireland</w:t>
            </w:r>
          </w:p>
        </w:tc>
        <w:tc>
          <w:tcPr>
            <w:tcW w:w="1417" w:type="dxa"/>
            <w:vAlign w:val="center"/>
            <w:hideMark/>
          </w:tcPr>
          <w:p w:rsidR="00716C49" w:rsidRDefault="00716C49" w:rsidP="00716C4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</w:rPr>
              <w:t>79,235</w:t>
            </w:r>
          </w:p>
        </w:tc>
        <w:tc>
          <w:tcPr>
            <w:tcW w:w="1418" w:type="dxa"/>
            <w:noWrap/>
            <w:vAlign w:val="center"/>
            <w:hideMark/>
          </w:tcPr>
          <w:p w:rsidR="00716C49" w:rsidRPr="00437156" w:rsidRDefault="00716C49" w:rsidP="00716C4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color w:val="000000"/>
              </w:rPr>
            </w:pPr>
            <w:r w:rsidRPr="00437156">
              <w:rPr>
                <w:rFonts w:ascii="Calibri" w:hAnsi="Calibri" w:cs="Calibri"/>
                <w:b/>
                <w:color w:val="000000"/>
              </w:rPr>
              <w:t>100.0%</w:t>
            </w:r>
          </w:p>
        </w:tc>
      </w:tr>
    </w:tbl>
    <w:p w:rsidR="00B75C2F" w:rsidRDefault="0020269F" w:rsidP="00B75C2F">
      <w:pPr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Table 1: </w:t>
      </w:r>
      <w:r w:rsidR="00B75C2F">
        <w:rPr>
          <w:i/>
          <w:sz w:val="20"/>
          <w:szCs w:val="20"/>
        </w:rPr>
        <w:t>VAT and/or PAYE registered businesses operating in Northern Ireland</w:t>
      </w:r>
      <w:r w:rsidR="00651E24">
        <w:rPr>
          <w:i/>
          <w:sz w:val="20"/>
          <w:szCs w:val="20"/>
        </w:rPr>
        <w:t xml:space="preserve"> by Council</w:t>
      </w:r>
      <w:r w:rsidR="00B40E75">
        <w:rPr>
          <w:i/>
          <w:sz w:val="20"/>
          <w:szCs w:val="20"/>
        </w:rPr>
        <w:t xml:space="preserve"> in 202</w:t>
      </w:r>
      <w:r w:rsidR="00437156">
        <w:rPr>
          <w:i/>
          <w:sz w:val="20"/>
          <w:szCs w:val="20"/>
        </w:rPr>
        <w:t>3</w:t>
      </w:r>
      <w:r w:rsidR="00B75C2F" w:rsidRPr="002A2185">
        <w:rPr>
          <w:i/>
          <w:sz w:val="20"/>
          <w:szCs w:val="20"/>
        </w:rPr>
        <w:t>. Source:</w:t>
      </w:r>
      <w:r w:rsidR="00B75C2F">
        <w:rPr>
          <w:i/>
          <w:sz w:val="20"/>
          <w:szCs w:val="20"/>
        </w:rPr>
        <w:t xml:space="preserve"> Inter-Departmental Business Register, NISRA</w:t>
      </w:r>
      <w:r w:rsidR="00B75C2F" w:rsidRPr="002A2185">
        <w:rPr>
          <w:i/>
          <w:sz w:val="20"/>
          <w:szCs w:val="20"/>
        </w:rPr>
        <w:t>.</w:t>
      </w:r>
      <w:r w:rsidR="0022570B">
        <w:rPr>
          <w:i/>
          <w:sz w:val="20"/>
          <w:szCs w:val="20"/>
        </w:rPr>
        <w:t xml:space="preserve"> Please note figures have been rounded to the nearest five and therefore may not sum to totals.</w:t>
      </w:r>
    </w:p>
    <w:p w:rsidR="004F707A" w:rsidRPr="00437156" w:rsidRDefault="00437156" w:rsidP="004F707A">
      <w:pPr>
        <w:rPr>
          <w:i/>
          <w:sz w:val="20"/>
          <w:szCs w:val="20"/>
        </w:rPr>
      </w:pPr>
      <w:r>
        <w:rPr>
          <w:noProof/>
          <w:lang w:eastAsia="en-GB"/>
        </w:rPr>
        <w:drawing>
          <wp:inline distT="0" distB="0" distL="0" distR="0" wp14:anchorId="783673BE" wp14:editId="6A12F90E">
            <wp:extent cx="5731510" cy="3413760"/>
            <wp:effectExtent l="0" t="0" r="2540" b="15240"/>
            <wp:docPr id="8" name="Chart 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  <w:r w:rsidR="004F707A">
        <w:rPr>
          <w:i/>
          <w:sz w:val="20"/>
          <w:szCs w:val="20"/>
        </w:rPr>
        <w:t>Figure 1: VAT and/or PAYE registered businesses operating in Northern Ireland by Council in 202</w:t>
      </w:r>
      <w:r>
        <w:rPr>
          <w:i/>
          <w:sz w:val="20"/>
          <w:szCs w:val="20"/>
        </w:rPr>
        <w:t>3</w:t>
      </w:r>
      <w:r w:rsidR="004F707A" w:rsidRPr="002A2185">
        <w:rPr>
          <w:i/>
          <w:sz w:val="20"/>
          <w:szCs w:val="20"/>
        </w:rPr>
        <w:t>. Source:</w:t>
      </w:r>
      <w:r w:rsidR="004F707A">
        <w:rPr>
          <w:i/>
          <w:sz w:val="20"/>
          <w:szCs w:val="20"/>
        </w:rPr>
        <w:t xml:space="preserve"> Inter-Departmental Business Register, NISRA</w:t>
      </w:r>
      <w:r w:rsidR="004F707A" w:rsidRPr="002A2185">
        <w:rPr>
          <w:i/>
          <w:sz w:val="20"/>
          <w:szCs w:val="20"/>
        </w:rPr>
        <w:t>.</w:t>
      </w:r>
    </w:p>
    <w:p w:rsidR="00A6332E" w:rsidRDefault="00E87C00" w:rsidP="000F24E1">
      <w:r>
        <w:t xml:space="preserve">The number of VAT and/or PAYE registered businesses in the borough have been increasing year-on-year since 2014. </w:t>
      </w:r>
      <w:r w:rsidR="00A6332E">
        <w:t>Between 2014 and 202</w:t>
      </w:r>
      <w:r w:rsidR="00B80B3F">
        <w:t>3</w:t>
      </w:r>
      <w:r w:rsidR="00A6332E">
        <w:t>,</w:t>
      </w:r>
      <w:r>
        <w:t xml:space="preserve"> </w:t>
      </w:r>
      <w:r w:rsidR="009E08ED">
        <w:t xml:space="preserve">there has been an increase of </w:t>
      </w:r>
      <w:r w:rsidR="00A6332E">
        <w:t>1,</w:t>
      </w:r>
      <w:r w:rsidR="00437156">
        <w:t>580</w:t>
      </w:r>
      <w:r>
        <w:t xml:space="preserve"> such businesses in the borough. This is an increase o</w:t>
      </w:r>
      <w:r w:rsidR="009E08ED">
        <w:t xml:space="preserve">f </w:t>
      </w:r>
      <w:r w:rsidR="00437156">
        <w:t>20.2</w:t>
      </w:r>
      <w:r w:rsidR="009E08ED">
        <w:t xml:space="preserve">%, </w:t>
      </w:r>
      <w:r w:rsidR="001700C8">
        <w:t>higher than the</w:t>
      </w:r>
      <w:r>
        <w:t xml:space="preserve"> increases shown in Northern Ireland o</w:t>
      </w:r>
      <w:r w:rsidR="009E08ED">
        <w:t xml:space="preserve">verall for the same period, </w:t>
      </w:r>
      <w:r w:rsidR="00437156">
        <w:t>17</w:t>
      </w:r>
      <w:r>
        <w:t>%.</w:t>
      </w:r>
      <w:r w:rsidR="00DE1CD9">
        <w:t xml:space="preserve"> The proportion of VAT and/or PAYE registered businesses in Northern Ireland located in the borough has rem</w:t>
      </w:r>
      <w:r w:rsidR="009E08ED">
        <w:t xml:space="preserve">ained </w:t>
      </w:r>
      <w:r w:rsidR="002152A1">
        <w:t xml:space="preserve">relatively </w:t>
      </w:r>
      <w:r w:rsidR="009E08ED">
        <w:t xml:space="preserve">steady </w:t>
      </w:r>
      <w:r w:rsidR="00B7658C">
        <w:t>since 2013</w:t>
      </w:r>
      <w:r w:rsidR="00DE1CD9">
        <w:t>.</w:t>
      </w:r>
    </w:p>
    <w:tbl>
      <w:tblPr>
        <w:tblStyle w:val="GridTable1Light"/>
        <w:tblW w:w="3539" w:type="dxa"/>
        <w:tblLayout w:type="fixed"/>
        <w:tblLook w:val="04A0" w:firstRow="1" w:lastRow="0" w:firstColumn="1" w:lastColumn="0" w:noHBand="0" w:noVBand="1"/>
        <w:tblCaption w:val="VAT and/or PAYE registered businesses operating in Armagh City, Banbridge and Craigavon Borough between 2013 and 2021"/>
      </w:tblPr>
      <w:tblGrid>
        <w:gridCol w:w="980"/>
        <w:gridCol w:w="1279"/>
        <w:gridCol w:w="1280"/>
      </w:tblGrid>
      <w:tr w:rsidR="00A6332E" w:rsidRPr="00A6332E" w:rsidTr="009E05B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8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0" w:type="dxa"/>
            <w:noWrap/>
            <w:hideMark/>
          </w:tcPr>
          <w:p w:rsidR="00A6332E" w:rsidRPr="00A6332E" w:rsidRDefault="00A6332E" w:rsidP="00A6332E">
            <w:pPr>
              <w:jc w:val="center"/>
              <w:rPr>
                <w:rFonts w:ascii="Calibri" w:eastAsia="Times New Roman" w:hAnsi="Calibri" w:cs="Calibri"/>
                <w:lang w:eastAsia="en-GB"/>
              </w:rPr>
            </w:pPr>
            <w:r w:rsidRPr="00A6332E">
              <w:rPr>
                <w:rFonts w:ascii="Calibri" w:eastAsia="Times New Roman" w:hAnsi="Calibri" w:cs="Calibri"/>
                <w:lang w:eastAsia="en-GB"/>
              </w:rPr>
              <w:lastRenderedPageBreak/>
              <w:t> </w:t>
            </w:r>
          </w:p>
        </w:tc>
        <w:tc>
          <w:tcPr>
            <w:tcW w:w="1279" w:type="dxa"/>
            <w:noWrap/>
            <w:hideMark/>
          </w:tcPr>
          <w:p w:rsidR="00A6332E" w:rsidRPr="00A6332E" w:rsidRDefault="00A6332E" w:rsidP="00A6332E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lang w:eastAsia="en-GB"/>
              </w:rPr>
            </w:pPr>
            <w:r w:rsidRPr="00A6332E">
              <w:rPr>
                <w:rFonts w:ascii="Calibri" w:eastAsia="Times New Roman" w:hAnsi="Calibri" w:cs="Calibri"/>
                <w:lang w:eastAsia="en-GB"/>
              </w:rPr>
              <w:t>Number</w:t>
            </w:r>
          </w:p>
        </w:tc>
        <w:tc>
          <w:tcPr>
            <w:tcW w:w="1280" w:type="dxa"/>
            <w:noWrap/>
            <w:hideMark/>
          </w:tcPr>
          <w:p w:rsidR="00A6332E" w:rsidRPr="00A6332E" w:rsidRDefault="00A6332E" w:rsidP="00A6332E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lang w:eastAsia="en-GB"/>
              </w:rPr>
            </w:pPr>
            <w:r w:rsidRPr="00A6332E">
              <w:rPr>
                <w:rFonts w:ascii="Calibri" w:eastAsia="Times New Roman" w:hAnsi="Calibri" w:cs="Calibri"/>
                <w:lang w:eastAsia="en-GB"/>
              </w:rPr>
              <w:t>% of NI</w:t>
            </w:r>
          </w:p>
        </w:tc>
      </w:tr>
      <w:tr w:rsidR="00A6332E" w:rsidRPr="00A6332E" w:rsidTr="00A6332E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0" w:type="dxa"/>
            <w:hideMark/>
          </w:tcPr>
          <w:p w:rsidR="00A6332E" w:rsidRPr="00A6332E" w:rsidRDefault="00A6332E" w:rsidP="00A6332E">
            <w:pPr>
              <w:jc w:val="center"/>
              <w:rPr>
                <w:rFonts w:ascii="Calibri" w:eastAsia="Times New Roman" w:hAnsi="Calibri" w:cs="Calibri"/>
                <w:lang w:eastAsia="en-GB"/>
              </w:rPr>
            </w:pPr>
            <w:r w:rsidRPr="00A6332E">
              <w:rPr>
                <w:rFonts w:ascii="Calibri" w:eastAsia="Times New Roman" w:hAnsi="Calibri" w:cs="Calibri"/>
                <w:lang w:eastAsia="en-GB"/>
              </w:rPr>
              <w:t>2013</w:t>
            </w:r>
          </w:p>
        </w:tc>
        <w:tc>
          <w:tcPr>
            <w:tcW w:w="1279" w:type="dxa"/>
            <w:hideMark/>
          </w:tcPr>
          <w:p w:rsidR="00A6332E" w:rsidRPr="00A6332E" w:rsidRDefault="00A6332E" w:rsidP="00A6332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lang w:eastAsia="en-GB"/>
              </w:rPr>
            </w:pPr>
            <w:r w:rsidRPr="00A6332E">
              <w:rPr>
                <w:rFonts w:ascii="Calibri" w:eastAsia="Times New Roman" w:hAnsi="Calibri" w:cs="Calibri"/>
                <w:lang w:eastAsia="en-GB"/>
              </w:rPr>
              <w:t>7,870</w:t>
            </w:r>
          </w:p>
        </w:tc>
        <w:tc>
          <w:tcPr>
            <w:tcW w:w="1280" w:type="dxa"/>
            <w:noWrap/>
            <w:hideMark/>
          </w:tcPr>
          <w:p w:rsidR="00A6332E" w:rsidRPr="00A6332E" w:rsidRDefault="00A6332E" w:rsidP="00A6332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lang w:eastAsia="en-GB"/>
              </w:rPr>
            </w:pPr>
            <w:r w:rsidRPr="00A6332E">
              <w:rPr>
                <w:rFonts w:ascii="Calibri" w:eastAsia="Times New Roman" w:hAnsi="Calibri" w:cs="Calibri"/>
                <w:lang w:eastAsia="en-GB"/>
              </w:rPr>
              <w:t>11.6%</w:t>
            </w:r>
          </w:p>
        </w:tc>
      </w:tr>
      <w:tr w:rsidR="00A6332E" w:rsidRPr="00A6332E" w:rsidTr="00A6332E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0" w:type="dxa"/>
            <w:hideMark/>
          </w:tcPr>
          <w:p w:rsidR="00A6332E" w:rsidRPr="00A6332E" w:rsidRDefault="00A6332E" w:rsidP="00A6332E">
            <w:pPr>
              <w:jc w:val="center"/>
              <w:rPr>
                <w:rFonts w:ascii="Calibri" w:eastAsia="Times New Roman" w:hAnsi="Calibri" w:cs="Calibri"/>
                <w:lang w:eastAsia="en-GB"/>
              </w:rPr>
            </w:pPr>
            <w:r w:rsidRPr="00A6332E">
              <w:rPr>
                <w:rFonts w:ascii="Calibri" w:eastAsia="Times New Roman" w:hAnsi="Calibri" w:cs="Calibri"/>
                <w:lang w:eastAsia="en-GB"/>
              </w:rPr>
              <w:t>2014</w:t>
            </w:r>
          </w:p>
        </w:tc>
        <w:tc>
          <w:tcPr>
            <w:tcW w:w="1279" w:type="dxa"/>
            <w:hideMark/>
          </w:tcPr>
          <w:p w:rsidR="00A6332E" w:rsidRPr="00A6332E" w:rsidRDefault="00A6332E" w:rsidP="00A6332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lang w:eastAsia="en-GB"/>
              </w:rPr>
            </w:pPr>
            <w:r w:rsidRPr="00A6332E">
              <w:rPr>
                <w:rFonts w:ascii="Calibri" w:eastAsia="Times New Roman" w:hAnsi="Calibri" w:cs="Calibri"/>
                <w:lang w:eastAsia="en-GB"/>
              </w:rPr>
              <w:t>7,810</w:t>
            </w:r>
          </w:p>
        </w:tc>
        <w:tc>
          <w:tcPr>
            <w:tcW w:w="1280" w:type="dxa"/>
            <w:noWrap/>
            <w:hideMark/>
          </w:tcPr>
          <w:p w:rsidR="00A6332E" w:rsidRPr="00A6332E" w:rsidRDefault="00A6332E" w:rsidP="00A6332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lang w:eastAsia="en-GB"/>
              </w:rPr>
            </w:pPr>
            <w:r w:rsidRPr="00A6332E">
              <w:rPr>
                <w:rFonts w:ascii="Calibri" w:eastAsia="Times New Roman" w:hAnsi="Calibri" w:cs="Calibri"/>
                <w:lang w:eastAsia="en-GB"/>
              </w:rPr>
              <w:t>11.5%</w:t>
            </w:r>
          </w:p>
        </w:tc>
      </w:tr>
      <w:tr w:rsidR="00A6332E" w:rsidRPr="00A6332E" w:rsidTr="00A6332E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0" w:type="dxa"/>
            <w:hideMark/>
          </w:tcPr>
          <w:p w:rsidR="00A6332E" w:rsidRPr="00A6332E" w:rsidRDefault="00A6332E" w:rsidP="00A6332E">
            <w:pPr>
              <w:jc w:val="center"/>
              <w:rPr>
                <w:rFonts w:ascii="Calibri" w:eastAsia="Times New Roman" w:hAnsi="Calibri" w:cs="Calibri"/>
                <w:lang w:eastAsia="en-GB"/>
              </w:rPr>
            </w:pPr>
            <w:r w:rsidRPr="00A6332E">
              <w:rPr>
                <w:rFonts w:ascii="Calibri" w:eastAsia="Times New Roman" w:hAnsi="Calibri" w:cs="Calibri"/>
                <w:lang w:eastAsia="en-GB"/>
              </w:rPr>
              <w:t>2015</w:t>
            </w:r>
          </w:p>
        </w:tc>
        <w:tc>
          <w:tcPr>
            <w:tcW w:w="1279" w:type="dxa"/>
            <w:hideMark/>
          </w:tcPr>
          <w:p w:rsidR="00A6332E" w:rsidRPr="00A6332E" w:rsidRDefault="00A6332E" w:rsidP="00A6332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lang w:eastAsia="en-GB"/>
              </w:rPr>
            </w:pPr>
            <w:r w:rsidRPr="00A6332E">
              <w:rPr>
                <w:rFonts w:ascii="Calibri" w:eastAsia="Times New Roman" w:hAnsi="Calibri" w:cs="Calibri"/>
                <w:lang w:eastAsia="en-GB"/>
              </w:rPr>
              <w:t>7,865</w:t>
            </w:r>
          </w:p>
        </w:tc>
        <w:tc>
          <w:tcPr>
            <w:tcW w:w="1280" w:type="dxa"/>
            <w:noWrap/>
            <w:hideMark/>
          </w:tcPr>
          <w:p w:rsidR="00A6332E" w:rsidRPr="00A6332E" w:rsidRDefault="00A6332E" w:rsidP="00A6332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lang w:eastAsia="en-GB"/>
              </w:rPr>
            </w:pPr>
            <w:r w:rsidRPr="00A6332E">
              <w:rPr>
                <w:rFonts w:ascii="Calibri" w:eastAsia="Times New Roman" w:hAnsi="Calibri" w:cs="Calibri"/>
                <w:lang w:eastAsia="en-GB"/>
              </w:rPr>
              <w:t>11.6%</w:t>
            </w:r>
          </w:p>
        </w:tc>
      </w:tr>
      <w:tr w:rsidR="00A6332E" w:rsidRPr="00A6332E" w:rsidTr="00A6332E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0" w:type="dxa"/>
            <w:hideMark/>
          </w:tcPr>
          <w:p w:rsidR="00A6332E" w:rsidRPr="00A6332E" w:rsidRDefault="00A6332E" w:rsidP="00A6332E">
            <w:pPr>
              <w:jc w:val="center"/>
              <w:rPr>
                <w:rFonts w:ascii="Calibri" w:eastAsia="Times New Roman" w:hAnsi="Calibri" w:cs="Calibri"/>
                <w:lang w:eastAsia="en-GB"/>
              </w:rPr>
            </w:pPr>
            <w:r w:rsidRPr="00A6332E">
              <w:rPr>
                <w:rFonts w:ascii="Calibri" w:eastAsia="Times New Roman" w:hAnsi="Calibri" w:cs="Calibri"/>
                <w:lang w:eastAsia="en-GB"/>
              </w:rPr>
              <w:t>2016</w:t>
            </w:r>
          </w:p>
        </w:tc>
        <w:tc>
          <w:tcPr>
            <w:tcW w:w="1279" w:type="dxa"/>
            <w:hideMark/>
          </w:tcPr>
          <w:p w:rsidR="00A6332E" w:rsidRPr="00A6332E" w:rsidRDefault="00A6332E" w:rsidP="00A6332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lang w:eastAsia="en-GB"/>
              </w:rPr>
            </w:pPr>
            <w:r w:rsidRPr="00A6332E">
              <w:rPr>
                <w:rFonts w:ascii="Calibri" w:eastAsia="Times New Roman" w:hAnsi="Calibri" w:cs="Calibri"/>
                <w:lang w:eastAsia="en-GB"/>
              </w:rPr>
              <w:t>8,100</w:t>
            </w:r>
          </w:p>
        </w:tc>
        <w:tc>
          <w:tcPr>
            <w:tcW w:w="1280" w:type="dxa"/>
            <w:noWrap/>
            <w:hideMark/>
          </w:tcPr>
          <w:p w:rsidR="00A6332E" w:rsidRPr="00A6332E" w:rsidRDefault="00A6332E" w:rsidP="00A6332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lang w:eastAsia="en-GB"/>
              </w:rPr>
            </w:pPr>
            <w:r w:rsidRPr="00A6332E">
              <w:rPr>
                <w:rFonts w:ascii="Calibri" w:eastAsia="Times New Roman" w:hAnsi="Calibri" w:cs="Calibri"/>
                <w:lang w:eastAsia="en-GB"/>
              </w:rPr>
              <w:t>11.6%</w:t>
            </w:r>
          </w:p>
        </w:tc>
      </w:tr>
      <w:tr w:rsidR="00A6332E" w:rsidRPr="00A6332E" w:rsidTr="00A6332E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0" w:type="dxa"/>
            <w:hideMark/>
          </w:tcPr>
          <w:p w:rsidR="00A6332E" w:rsidRPr="00A6332E" w:rsidRDefault="00A6332E" w:rsidP="00A6332E">
            <w:pPr>
              <w:jc w:val="center"/>
              <w:rPr>
                <w:rFonts w:ascii="Calibri" w:eastAsia="Times New Roman" w:hAnsi="Calibri" w:cs="Calibri"/>
                <w:lang w:eastAsia="en-GB"/>
              </w:rPr>
            </w:pPr>
            <w:r w:rsidRPr="00A6332E">
              <w:rPr>
                <w:rFonts w:ascii="Calibri" w:eastAsia="Times New Roman" w:hAnsi="Calibri" w:cs="Calibri"/>
                <w:lang w:eastAsia="en-GB"/>
              </w:rPr>
              <w:t>2017</w:t>
            </w:r>
          </w:p>
        </w:tc>
        <w:tc>
          <w:tcPr>
            <w:tcW w:w="1279" w:type="dxa"/>
            <w:hideMark/>
          </w:tcPr>
          <w:p w:rsidR="00A6332E" w:rsidRPr="00A6332E" w:rsidRDefault="00A6332E" w:rsidP="00A6332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lang w:eastAsia="en-GB"/>
              </w:rPr>
            </w:pPr>
            <w:r w:rsidRPr="00A6332E">
              <w:rPr>
                <w:rFonts w:ascii="Calibri" w:eastAsia="Times New Roman" w:hAnsi="Calibri" w:cs="Calibri"/>
                <w:lang w:eastAsia="en-GB"/>
              </w:rPr>
              <w:t>8,275</w:t>
            </w:r>
          </w:p>
        </w:tc>
        <w:tc>
          <w:tcPr>
            <w:tcW w:w="1280" w:type="dxa"/>
            <w:noWrap/>
            <w:hideMark/>
          </w:tcPr>
          <w:p w:rsidR="00A6332E" w:rsidRPr="00A6332E" w:rsidRDefault="00A6332E" w:rsidP="00A6332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lang w:eastAsia="en-GB"/>
              </w:rPr>
            </w:pPr>
            <w:r w:rsidRPr="00A6332E">
              <w:rPr>
                <w:rFonts w:ascii="Calibri" w:eastAsia="Times New Roman" w:hAnsi="Calibri" w:cs="Calibri"/>
                <w:lang w:eastAsia="en-GB"/>
              </w:rPr>
              <w:t>11.6%</w:t>
            </w:r>
          </w:p>
        </w:tc>
      </w:tr>
      <w:tr w:rsidR="00A6332E" w:rsidRPr="00A6332E" w:rsidTr="00A6332E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0" w:type="dxa"/>
            <w:hideMark/>
          </w:tcPr>
          <w:p w:rsidR="00A6332E" w:rsidRPr="00A6332E" w:rsidRDefault="00A6332E" w:rsidP="00A6332E">
            <w:pPr>
              <w:jc w:val="center"/>
              <w:rPr>
                <w:rFonts w:ascii="Calibri" w:eastAsia="Times New Roman" w:hAnsi="Calibri" w:cs="Calibri"/>
                <w:lang w:eastAsia="en-GB"/>
              </w:rPr>
            </w:pPr>
            <w:r w:rsidRPr="00A6332E">
              <w:rPr>
                <w:rFonts w:ascii="Calibri" w:eastAsia="Times New Roman" w:hAnsi="Calibri" w:cs="Calibri"/>
                <w:lang w:eastAsia="en-GB"/>
              </w:rPr>
              <w:t>2018</w:t>
            </w:r>
          </w:p>
        </w:tc>
        <w:tc>
          <w:tcPr>
            <w:tcW w:w="1279" w:type="dxa"/>
            <w:hideMark/>
          </w:tcPr>
          <w:p w:rsidR="00A6332E" w:rsidRPr="00A6332E" w:rsidRDefault="00A6332E" w:rsidP="00A6332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lang w:eastAsia="en-GB"/>
              </w:rPr>
            </w:pPr>
            <w:r w:rsidRPr="00A6332E">
              <w:rPr>
                <w:rFonts w:ascii="Calibri" w:eastAsia="Times New Roman" w:hAnsi="Calibri" w:cs="Calibri"/>
                <w:lang w:eastAsia="en-GB"/>
              </w:rPr>
              <w:t>8,555</w:t>
            </w:r>
          </w:p>
        </w:tc>
        <w:tc>
          <w:tcPr>
            <w:tcW w:w="1280" w:type="dxa"/>
            <w:noWrap/>
            <w:hideMark/>
          </w:tcPr>
          <w:p w:rsidR="00A6332E" w:rsidRPr="00A6332E" w:rsidRDefault="00A6332E" w:rsidP="00A6332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lang w:eastAsia="en-GB"/>
              </w:rPr>
            </w:pPr>
            <w:r w:rsidRPr="00A6332E">
              <w:rPr>
                <w:rFonts w:ascii="Calibri" w:eastAsia="Times New Roman" w:hAnsi="Calibri" w:cs="Calibri"/>
                <w:lang w:eastAsia="en-GB"/>
              </w:rPr>
              <w:t>11.6%</w:t>
            </w:r>
          </w:p>
        </w:tc>
      </w:tr>
      <w:tr w:rsidR="00A6332E" w:rsidRPr="00A6332E" w:rsidTr="00A6332E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0" w:type="dxa"/>
            <w:hideMark/>
          </w:tcPr>
          <w:p w:rsidR="00A6332E" w:rsidRPr="00A6332E" w:rsidRDefault="00A6332E" w:rsidP="00A6332E">
            <w:pPr>
              <w:jc w:val="center"/>
              <w:rPr>
                <w:rFonts w:ascii="Calibri" w:eastAsia="Times New Roman" w:hAnsi="Calibri" w:cs="Calibri"/>
                <w:lang w:eastAsia="en-GB"/>
              </w:rPr>
            </w:pPr>
            <w:r w:rsidRPr="00A6332E">
              <w:rPr>
                <w:rFonts w:ascii="Calibri" w:eastAsia="Times New Roman" w:hAnsi="Calibri" w:cs="Calibri"/>
                <w:lang w:eastAsia="en-GB"/>
              </w:rPr>
              <w:t>2019</w:t>
            </w:r>
          </w:p>
        </w:tc>
        <w:tc>
          <w:tcPr>
            <w:tcW w:w="1279" w:type="dxa"/>
            <w:hideMark/>
          </w:tcPr>
          <w:p w:rsidR="00A6332E" w:rsidRPr="00A6332E" w:rsidRDefault="00A6332E" w:rsidP="00A6332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lang w:eastAsia="en-GB"/>
              </w:rPr>
            </w:pPr>
            <w:r w:rsidRPr="00A6332E">
              <w:rPr>
                <w:rFonts w:ascii="Calibri" w:eastAsia="Times New Roman" w:hAnsi="Calibri" w:cs="Calibri"/>
                <w:lang w:eastAsia="en-GB"/>
              </w:rPr>
              <w:t>8,715</w:t>
            </w:r>
          </w:p>
        </w:tc>
        <w:tc>
          <w:tcPr>
            <w:tcW w:w="1280" w:type="dxa"/>
            <w:noWrap/>
            <w:hideMark/>
          </w:tcPr>
          <w:p w:rsidR="00A6332E" w:rsidRPr="00A6332E" w:rsidRDefault="00A6332E" w:rsidP="00A6332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lang w:eastAsia="en-GB"/>
              </w:rPr>
            </w:pPr>
            <w:r w:rsidRPr="00A6332E">
              <w:rPr>
                <w:rFonts w:ascii="Calibri" w:eastAsia="Times New Roman" w:hAnsi="Calibri" w:cs="Calibri"/>
                <w:lang w:eastAsia="en-GB"/>
              </w:rPr>
              <w:t>11.5%</w:t>
            </w:r>
          </w:p>
        </w:tc>
      </w:tr>
      <w:tr w:rsidR="00A6332E" w:rsidRPr="00A6332E" w:rsidTr="00A6332E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0" w:type="dxa"/>
            <w:hideMark/>
          </w:tcPr>
          <w:p w:rsidR="00A6332E" w:rsidRPr="00A6332E" w:rsidRDefault="00A6332E" w:rsidP="00A6332E">
            <w:pPr>
              <w:jc w:val="center"/>
              <w:rPr>
                <w:rFonts w:ascii="Calibri" w:eastAsia="Times New Roman" w:hAnsi="Calibri" w:cs="Calibri"/>
                <w:lang w:eastAsia="en-GB"/>
              </w:rPr>
            </w:pPr>
            <w:r w:rsidRPr="00A6332E">
              <w:rPr>
                <w:rFonts w:ascii="Calibri" w:eastAsia="Times New Roman" w:hAnsi="Calibri" w:cs="Calibri"/>
                <w:lang w:eastAsia="en-GB"/>
              </w:rPr>
              <w:t>2020</w:t>
            </w:r>
          </w:p>
        </w:tc>
        <w:tc>
          <w:tcPr>
            <w:tcW w:w="1279" w:type="dxa"/>
            <w:hideMark/>
          </w:tcPr>
          <w:p w:rsidR="00A6332E" w:rsidRPr="00A6332E" w:rsidRDefault="00A6332E" w:rsidP="00A6332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lang w:eastAsia="en-GB"/>
              </w:rPr>
            </w:pPr>
            <w:r w:rsidRPr="00A6332E">
              <w:rPr>
                <w:rFonts w:ascii="Calibri" w:eastAsia="Times New Roman" w:hAnsi="Calibri" w:cs="Calibri"/>
                <w:lang w:eastAsia="en-GB"/>
              </w:rPr>
              <w:t>8,725</w:t>
            </w:r>
          </w:p>
        </w:tc>
        <w:tc>
          <w:tcPr>
            <w:tcW w:w="1280" w:type="dxa"/>
            <w:noWrap/>
            <w:hideMark/>
          </w:tcPr>
          <w:p w:rsidR="00A6332E" w:rsidRPr="00A6332E" w:rsidRDefault="00A6332E" w:rsidP="00A6332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lang w:eastAsia="en-GB"/>
              </w:rPr>
            </w:pPr>
            <w:r w:rsidRPr="00A6332E">
              <w:rPr>
                <w:rFonts w:ascii="Calibri" w:eastAsia="Times New Roman" w:hAnsi="Calibri" w:cs="Calibri"/>
                <w:lang w:eastAsia="en-GB"/>
              </w:rPr>
              <w:t>11.5%</w:t>
            </w:r>
          </w:p>
        </w:tc>
      </w:tr>
      <w:tr w:rsidR="00A6332E" w:rsidRPr="00A6332E" w:rsidTr="00A6332E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0" w:type="dxa"/>
            <w:hideMark/>
          </w:tcPr>
          <w:p w:rsidR="00A6332E" w:rsidRPr="00A6332E" w:rsidRDefault="00A6332E" w:rsidP="00A6332E">
            <w:pPr>
              <w:jc w:val="center"/>
              <w:rPr>
                <w:rFonts w:ascii="Calibri" w:eastAsia="Times New Roman" w:hAnsi="Calibri" w:cs="Calibri"/>
                <w:lang w:eastAsia="en-GB"/>
              </w:rPr>
            </w:pPr>
            <w:r w:rsidRPr="00A6332E">
              <w:rPr>
                <w:rFonts w:ascii="Calibri" w:eastAsia="Times New Roman" w:hAnsi="Calibri" w:cs="Calibri"/>
                <w:lang w:eastAsia="en-GB"/>
              </w:rPr>
              <w:t>2021</w:t>
            </w:r>
          </w:p>
        </w:tc>
        <w:tc>
          <w:tcPr>
            <w:tcW w:w="1279" w:type="dxa"/>
            <w:hideMark/>
          </w:tcPr>
          <w:p w:rsidR="00A6332E" w:rsidRPr="00A6332E" w:rsidRDefault="00A6332E" w:rsidP="00A6332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lang w:eastAsia="en-GB"/>
              </w:rPr>
            </w:pPr>
            <w:r w:rsidRPr="00A6332E">
              <w:rPr>
                <w:rFonts w:ascii="Calibri" w:eastAsia="Times New Roman" w:hAnsi="Calibri" w:cs="Calibri"/>
                <w:lang w:eastAsia="en-GB"/>
              </w:rPr>
              <w:t>8,930</w:t>
            </w:r>
          </w:p>
        </w:tc>
        <w:tc>
          <w:tcPr>
            <w:tcW w:w="1280" w:type="dxa"/>
            <w:noWrap/>
            <w:hideMark/>
          </w:tcPr>
          <w:p w:rsidR="00A6332E" w:rsidRPr="00A6332E" w:rsidRDefault="00A6332E" w:rsidP="00A6332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lang w:eastAsia="en-GB"/>
              </w:rPr>
            </w:pPr>
            <w:r w:rsidRPr="00A6332E">
              <w:rPr>
                <w:rFonts w:ascii="Calibri" w:eastAsia="Times New Roman" w:hAnsi="Calibri" w:cs="Calibri"/>
                <w:lang w:eastAsia="en-GB"/>
              </w:rPr>
              <w:t>11.5%</w:t>
            </w:r>
          </w:p>
        </w:tc>
      </w:tr>
      <w:tr w:rsidR="001700C8" w:rsidRPr="00A6332E" w:rsidTr="00A6332E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0" w:type="dxa"/>
          </w:tcPr>
          <w:p w:rsidR="001700C8" w:rsidRPr="00A6332E" w:rsidRDefault="001700C8" w:rsidP="00A6332E">
            <w:pPr>
              <w:jc w:val="center"/>
              <w:rPr>
                <w:rFonts w:ascii="Calibri" w:eastAsia="Times New Roman" w:hAnsi="Calibri" w:cs="Calibri"/>
                <w:lang w:eastAsia="en-GB"/>
              </w:rPr>
            </w:pPr>
            <w:r>
              <w:rPr>
                <w:rFonts w:ascii="Calibri" w:eastAsia="Times New Roman" w:hAnsi="Calibri" w:cs="Calibri"/>
                <w:lang w:eastAsia="en-GB"/>
              </w:rPr>
              <w:t>2022</w:t>
            </w:r>
          </w:p>
        </w:tc>
        <w:tc>
          <w:tcPr>
            <w:tcW w:w="1279" w:type="dxa"/>
          </w:tcPr>
          <w:p w:rsidR="001700C8" w:rsidRPr="00A6332E" w:rsidRDefault="001700C8" w:rsidP="00A6332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lang w:eastAsia="en-GB"/>
              </w:rPr>
            </w:pPr>
            <w:r>
              <w:rPr>
                <w:rFonts w:ascii="Calibri" w:eastAsia="Times New Roman" w:hAnsi="Calibri" w:cs="Calibri"/>
                <w:lang w:eastAsia="en-GB"/>
              </w:rPr>
              <w:t>9,255</w:t>
            </w:r>
          </w:p>
        </w:tc>
        <w:tc>
          <w:tcPr>
            <w:tcW w:w="1280" w:type="dxa"/>
            <w:noWrap/>
          </w:tcPr>
          <w:p w:rsidR="001700C8" w:rsidRPr="00A6332E" w:rsidRDefault="001700C8" w:rsidP="00A6332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lang w:eastAsia="en-GB"/>
              </w:rPr>
            </w:pPr>
            <w:r>
              <w:rPr>
                <w:rFonts w:ascii="Calibri" w:eastAsia="Times New Roman" w:hAnsi="Calibri" w:cs="Calibri"/>
                <w:lang w:eastAsia="en-GB"/>
              </w:rPr>
              <w:t>11.7%</w:t>
            </w:r>
          </w:p>
        </w:tc>
      </w:tr>
      <w:tr w:rsidR="00437156" w:rsidRPr="00A6332E" w:rsidTr="00A6332E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0" w:type="dxa"/>
          </w:tcPr>
          <w:p w:rsidR="00437156" w:rsidRDefault="00437156" w:rsidP="00A6332E">
            <w:pPr>
              <w:jc w:val="center"/>
              <w:rPr>
                <w:rFonts w:ascii="Calibri" w:eastAsia="Times New Roman" w:hAnsi="Calibri" w:cs="Calibri"/>
                <w:lang w:eastAsia="en-GB"/>
              </w:rPr>
            </w:pPr>
            <w:r>
              <w:rPr>
                <w:rFonts w:ascii="Calibri" w:eastAsia="Times New Roman" w:hAnsi="Calibri" w:cs="Calibri"/>
                <w:lang w:eastAsia="en-GB"/>
              </w:rPr>
              <w:t>2023</w:t>
            </w:r>
          </w:p>
        </w:tc>
        <w:tc>
          <w:tcPr>
            <w:tcW w:w="1279" w:type="dxa"/>
          </w:tcPr>
          <w:p w:rsidR="00437156" w:rsidRDefault="00437156" w:rsidP="00A6332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lang w:eastAsia="en-GB"/>
              </w:rPr>
            </w:pPr>
            <w:r>
              <w:rPr>
                <w:rFonts w:ascii="Calibri" w:eastAsia="Times New Roman" w:hAnsi="Calibri" w:cs="Calibri"/>
                <w:lang w:eastAsia="en-GB"/>
              </w:rPr>
              <w:t>9,390</w:t>
            </w:r>
          </w:p>
        </w:tc>
        <w:tc>
          <w:tcPr>
            <w:tcW w:w="1280" w:type="dxa"/>
            <w:noWrap/>
          </w:tcPr>
          <w:p w:rsidR="00437156" w:rsidRDefault="00437156" w:rsidP="00A6332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lang w:eastAsia="en-GB"/>
              </w:rPr>
            </w:pPr>
            <w:r>
              <w:rPr>
                <w:rFonts w:ascii="Calibri" w:eastAsia="Times New Roman" w:hAnsi="Calibri" w:cs="Calibri"/>
                <w:lang w:eastAsia="en-GB"/>
              </w:rPr>
              <w:t>11.9%</w:t>
            </w:r>
          </w:p>
        </w:tc>
      </w:tr>
    </w:tbl>
    <w:p w:rsidR="00E87C00" w:rsidRDefault="00E87C00" w:rsidP="00E87C00">
      <w:pPr>
        <w:rPr>
          <w:i/>
          <w:sz w:val="20"/>
          <w:szCs w:val="20"/>
        </w:rPr>
      </w:pPr>
      <w:r>
        <w:rPr>
          <w:i/>
          <w:sz w:val="20"/>
          <w:szCs w:val="20"/>
        </w:rPr>
        <w:t>Table 2</w:t>
      </w:r>
      <w:r w:rsidR="0020269F">
        <w:rPr>
          <w:i/>
          <w:sz w:val="20"/>
          <w:szCs w:val="20"/>
        </w:rPr>
        <w:t>:</w:t>
      </w:r>
      <w:r>
        <w:rPr>
          <w:i/>
          <w:sz w:val="20"/>
          <w:szCs w:val="20"/>
        </w:rPr>
        <w:t xml:space="preserve"> VAT and/or PAYE registered businesses operating in Armagh City, Banbridge and Craigav</w:t>
      </w:r>
      <w:r w:rsidR="009E08ED">
        <w:rPr>
          <w:i/>
          <w:sz w:val="20"/>
          <w:szCs w:val="20"/>
        </w:rPr>
        <w:t>on Borough between 2013 and 202</w:t>
      </w:r>
      <w:r w:rsidR="00437156">
        <w:rPr>
          <w:i/>
          <w:sz w:val="20"/>
          <w:szCs w:val="20"/>
        </w:rPr>
        <w:t>3</w:t>
      </w:r>
      <w:r w:rsidRPr="002A2185">
        <w:rPr>
          <w:i/>
          <w:sz w:val="20"/>
          <w:szCs w:val="20"/>
        </w:rPr>
        <w:t>. Source:</w:t>
      </w:r>
      <w:r>
        <w:rPr>
          <w:i/>
          <w:sz w:val="20"/>
          <w:szCs w:val="20"/>
        </w:rPr>
        <w:t xml:space="preserve"> Inter-Departmental Business Register, NISRA</w:t>
      </w:r>
      <w:r w:rsidRPr="002A2185">
        <w:rPr>
          <w:i/>
          <w:sz w:val="20"/>
          <w:szCs w:val="20"/>
        </w:rPr>
        <w:t>.</w:t>
      </w:r>
      <w:r>
        <w:rPr>
          <w:i/>
          <w:sz w:val="20"/>
          <w:szCs w:val="20"/>
        </w:rPr>
        <w:t xml:space="preserve"> Please note figures have been rounded to the nearest five.</w:t>
      </w:r>
    </w:p>
    <w:p w:rsidR="00AA46F7" w:rsidRDefault="00437156" w:rsidP="00C66006">
      <w:pPr>
        <w:rPr>
          <w:i/>
          <w:sz w:val="20"/>
          <w:szCs w:val="20"/>
        </w:rPr>
      </w:pPr>
      <w:r>
        <w:rPr>
          <w:noProof/>
          <w:lang w:eastAsia="en-GB"/>
        </w:rPr>
        <w:drawing>
          <wp:inline distT="0" distB="0" distL="0" distR="0" wp14:anchorId="6A9CD5DB" wp14:editId="76D296D9">
            <wp:extent cx="5676900" cy="2910840"/>
            <wp:effectExtent l="0" t="0" r="0" b="3810"/>
            <wp:docPr id="9" name="Chart 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  <w:r w:rsidR="00C66006">
        <w:rPr>
          <w:i/>
          <w:sz w:val="20"/>
          <w:szCs w:val="20"/>
        </w:rPr>
        <w:t>Figure 2</w:t>
      </w:r>
      <w:r w:rsidR="0020269F">
        <w:rPr>
          <w:i/>
          <w:sz w:val="20"/>
          <w:szCs w:val="20"/>
        </w:rPr>
        <w:t>:</w:t>
      </w:r>
      <w:r w:rsidR="00657BFC">
        <w:rPr>
          <w:i/>
          <w:sz w:val="20"/>
          <w:szCs w:val="20"/>
        </w:rPr>
        <w:t xml:space="preserve"> </w:t>
      </w:r>
      <w:r w:rsidR="00C66006">
        <w:rPr>
          <w:i/>
          <w:sz w:val="20"/>
          <w:szCs w:val="20"/>
        </w:rPr>
        <w:t xml:space="preserve">VAT and/or PAYE registered businesses operating in </w:t>
      </w:r>
      <w:r w:rsidR="00657BFC">
        <w:rPr>
          <w:i/>
          <w:sz w:val="20"/>
          <w:szCs w:val="20"/>
        </w:rPr>
        <w:t>Armagh City, Banbridge and Craigavon</w:t>
      </w:r>
      <w:r w:rsidR="0020269F">
        <w:rPr>
          <w:i/>
          <w:sz w:val="20"/>
          <w:szCs w:val="20"/>
        </w:rPr>
        <w:t xml:space="preserve"> Borough</w:t>
      </w:r>
      <w:r w:rsidR="009E08ED">
        <w:rPr>
          <w:i/>
          <w:sz w:val="20"/>
          <w:szCs w:val="20"/>
        </w:rPr>
        <w:t xml:space="preserve"> between 2013 and 202</w:t>
      </w:r>
      <w:r>
        <w:rPr>
          <w:i/>
          <w:sz w:val="20"/>
          <w:szCs w:val="20"/>
        </w:rPr>
        <w:t>3</w:t>
      </w:r>
      <w:r w:rsidR="00C66006" w:rsidRPr="002A2185">
        <w:rPr>
          <w:i/>
          <w:sz w:val="20"/>
          <w:szCs w:val="20"/>
        </w:rPr>
        <w:t>. Source:</w:t>
      </w:r>
      <w:r w:rsidR="00C66006">
        <w:rPr>
          <w:i/>
          <w:sz w:val="20"/>
          <w:szCs w:val="20"/>
        </w:rPr>
        <w:t xml:space="preserve"> Inter-Departmental Business Register, NISRA</w:t>
      </w:r>
      <w:r w:rsidR="00C66006" w:rsidRPr="002A2185">
        <w:rPr>
          <w:i/>
          <w:sz w:val="20"/>
          <w:szCs w:val="20"/>
        </w:rPr>
        <w:t>.</w:t>
      </w:r>
    </w:p>
    <w:p w:rsidR="00FE1146" w:rsidRDefault="00FE1146" w:rsidP="00FE1146">
      <w:pPr>
        <w:rPr>
          <w:i/>
          <w:sz w:val="20"/>
          <w:szCs w:val="20"/>
        </w:rPr>
      </w:pPr>
    </w:p>
    <w:p w:rsidR="00DE1CD9" w:rsidRDefault="004B5C32" w:rsidP="00C66006">
      <w:r>
        <w:t>Agriculture, forestry and fishing make up the largest proportion of VAT and/or PAYE registered businesses</w:t>
      </w:r>
      <w:r w:rsidR="00963197">
        <w:t xml:space="preserve"> in 202</w:t>
      </w:r>
      <w:r w:rsidR="00437156">
        <w:t>3</w:t>
      </w:r>
      <w:r w:rsidR="00963197">
        <w:t xml:space="preserve"> in the borough, 2,</w:t>
      </w:r>
      <w:r w:rsidR="003600DF">
        <w:t>4</w:t>
      </w:r>
      <w:r w:rsidR="00437156">
        <w:t>80</w:t>
      </w:r>
      <w:r w:rsidR="00963197">
        <w:t xml:space="preserve"> accounting for </w:t>
      </w:r>
      <w:r w:rsidR="003600DF">
        <w:t>26</w:t>
      </w:r>
      <w:r>
        <w:t>%</w:t>
      </w:r>
      <w:r w:rsidR="00FE1146">
        <w:t>.</w:t>
      </w:r>
      <w:r>
        <w:t xml:space="preserve"> This is followed by cons</w:t>
      </w:r>
      <w:r w:rsidR="00963197">
        <w:t>truction (</w:t>
      </w:r>
      <w:r w:rsidR="00437156">
        <w:t>14.1</w:t>
      </w:r>
      <w:r w:rsidR="00963197">
        <w:t>%) and retail (8.</w:t>
      </w:r>
      <w:r w:rsidR="005A44F6">
        <w:t>4</w:t>
      </w:r>
      <w:r>
        <w:t>%). Together these three broad indust</w:t>
      </w:r>
      <w:r w:rsidR="00963197">
        <w:t xml:space="preserve">ry groups account for </w:t>
      </w:r>
      <w:r w:rsidR="00E93487">
        <w:t xml:space="preserve">almost </w:t>
      </w:r>
      <w:r w:rsidR="00963197">
        <w:t>half (</w:t>
      </w:r>
      <w:r w:rsidR="003600DF">
        <w:t>48.</w:t>
      </w:r>
      <w:r w:rsidR="005A44F6">
        <w:t>8</w:t>
      </w:r>
      <w:r>
        <w:t>%) of VAT and/or PAYE registered businesses in the borough. The proportion of agriculture, forestry and fishing in the borough (</w:t>
      </w:r>
      <w:r w:rsidR="00E93487">
        <w:t>26</w:t>
      </w:r>
      <w:r w:rsidR="005A44F6">
        <w:t>.4</w:t>
      </w:r>
      <w:r>
        <w:t>%) is higher than the proportion i</w:t>
      </w:r>
      <w:r w:rsidR="00963197">
        <w:t>n Northern Ireland overall (</w:t>
      </w:r>
      <w:r w:rsidR="00E93487">
        <w:t>23.</w:t>
      </w:r>
      <w:r w:rsidR="005A44F6">
        <w:t>5</w:t>
      </w:r>
      <w:r>
        <w:t>%). The proportion of VAT and/or PAYE registered businesses in Armagh City, Banbridge and Craigavon Borough in the professional, scientific and technical industry group is lower than Nort</w:t>
      </w:r>
      <w:r w:rsidR="00963197">
        <w:t>hern Ireland overall, 6.</w:t>
      </w:r>
      <w:r w:rsidR="005A44F6">
        <w:t>2</w:t>
      </w:r>
      <w:r w:rsidR="00963197">
        <w:t>% in the borough compared to 8.1</w:t>
      </w:r>
      <w:r>
        <w:t>% in Northern Ireland.</w:t>
      </w:r>
    </w:p>
    <w:p w:rsidR="00437156" w:rsidRDefault="00437156" w:rsidP="00C66006"/>
    <w:tbl>
      <w:tblPr>
        <w:tblStyle w:val="GridTable1Light"/>
        <w:tblW w:w="10160" w:type="dxa"/>
        <w:tblLayout w:type="fixed"/>
        <w:tblLook w:val="04A0" w:firstRow="1" w:lastRow="0" w:firstColumn="1" w:lastColumn="0" w:noHBand="0" w:noVBand="1"/>
        <w:tblCaption w:val="Broad Industry goup of VAT and / or PAYE registered businesses operating in Armagh City, Banbridge and Craigavon Borough and Northern Ireland in 2022. "/>
      </w:tblPr>
      <w:tblGrid>
        <w:gridCol w:w="4248"/>
        <w:gridCol w:w="1701"/>
        <w:gridCol w:w="1255"/>
        <w:gridCol w:w="1580"/>
        <w:gridCol w:w="1376"/>
      </w:tblGrid>
      <w:tr w:rsidR="00B850F5" w:rsidRPr="00B850F5" w:rsidTr="00B850F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86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48" w:type="dxa"/>
            <w:hideMark/>
          </w:tcPr>
          <w:p w:rsidR="00B850F5" w:rsidRPr="00B850F5" w:rsidRDefault="00B850F5" w:rsidP="00B850F5">
            <w:pPr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B850F5">
              <w:rPr>
                <w:rFonts w:ascii="Calibri" w:eastAsia="Times New Roman" w:hAnsi="Calibri" w:cs="Calibri"/>
                <w:color w:val="000000"/>
                <w:lang w:eastAsia="en-GB"/>
              </w:rPr>
              <w:lastRenderedPageBreak/>
              <w:t>Broad Industry Group</w:t>
            </w:r>
          </w:p>
        </w:tc>
        <w:tc>
          <w:tcPr>
            <w:tcW w:w="1701" w:type="dxa"/>
            <w:hideMark/>
          </w:tcPr>
          <w:p w:rsidR="00B850F5" w:rsidRPr="00B850F5" w:rsidRDefault="00B850F5" w:rsidP="00B850F5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B850F5">
              <w:rPr>
                <w:rFonts w:ascii="Calibri" w:eastAsia="Times New Roman" w:hAnsi="Calibri" w:cs="Calibri"/>
                <w:color w:val="000000"/>
                <w:lang w:eastAsia="en-GB"/>
              </w:rPr>
              <w:t>Armagh City, Banbridge and Craigavon</w:t>
            </w:r>
          </w:p>
        </w:tc>
        <w:tc>
          <w:tcPr>
            <w:tcW w:w="1255" w:type="dxa"/>
            <w:noWrap/>
            <w:hideMark/>
          </w:tcPr>
          <w:p w:rsidR="00B850F5" w:rsidRPr="00B850F5" w:rsidRDefault="00B850F5" w:rsidP="00B850F5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B850F5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% </w:t>
            </w:r>
          </w:p>
        </w:tc>
        <w:tc>
          <w:tcPr>
            <w:tcW w:w="1580" w:type="dxa"/>
            <w:hideMark/>
          </w:tcPr>
          <w:p w:rsidR="00B850F5" w:rsidRPr="00B850F5" w:rsidRDefault="00B850F5" w:rsidP="00B850F5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B850F5">
              <w:rPr>
                <w:rFonts w:ascii="Calibri" w:eastAsia="Times New Roman" w:hAnsi="Calibri" w:cs="Calibri"/>
                <w:color w:val="000000"/>
                <w:lang w:eastAsia="en-GB"/>
              </w:rPr>
              <w:t>Northern Ireland</w:t>
            </w:r>
          </w:p>
        </w:tc>
        <w:tc>
          <w:tcPr>
            <w:tcW w:w="1376" w:type="dxa"/>
            <w:hideMark/>
          </w:tcPr>
          <w:p w:rsidR="00B850F5" w:rsidRPr="00B850F5" w:rsidRDefault="00B850F5" w:rsidP="00B850F5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B850F5">
              <w:rPr>
                <w:rFonts w:ascii="Calibri" w:eastAsia="Times New Roman" w:hAnsi="Calibri" w:cs="Calibri"/>
                <w:color w:val="000000"/>
                <w:lang w:eastAsia="en-GB"/>
              </w:rPr>
              <w:t>%</w:t>
            </w:r>
          </w:p>
        </w:tc>
      </w:tr>
      <w:tr w:rsidR="00437156" w:rsidRPr="00B850F5" w:rsidTr="00EE3731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48" w:type="dxa"/>
            <w:hideMark/>
          </w:tcPr>
          <w:p w:rsidR="00437156" w:rsidRPr="00B850F5" w:rsidRDefault="00437156" w:rsidP="00437156">
            <w:pPr>
              <w:rPr>
                <w:rFonts w:ascii="Calibri" w:eastAsia="Times New Roman" w:hAnsi="Calibri" w:cs="Calibri"/>
                <w:b w:val="0"/>
                <w:color w:val="000000"/>
                <w:lang w:eastAsia="en-GB"/>
              </w:rPr>
            </w:pPr>
            <w:r w:rsidRPr="00B850F5">
              <w:rPr>
                <w:rFonts w:ascii="Calibri" w:eastAsia="Times New Roman" w:hAnsi="Calibri" w:cs="Calibri"/>
                <w:b w:val="0"/>
                <w:color w:val="000000"/>
                <w:lang w:eastAsia="en-GB"/>
              </w:rPr>
              <w:t>Agriculture, forestry and fishing</w:t>
            </w:r>
          </w:p>
        </w:tc>
        <w:tc>
          <w:tcPr>
            <w:tcW w:w="1701" w:type="dxa"/>
            <w:noWrap/>
            <w:vAlign w:val="bottom"/>
            <w:hideMark/>
          </w:tcPr>
          <w:p w:rsidR="00437156" w:rsidRDefault="00437156" w:rsidP="0043715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2,480</w:t>
            </w:r>
          </w:p>
        </w:tc>
        <w:tc>
          <w:tcPr>
            <w:tcW w:w="1255" w:type="dxa"/>
            <w:noWrap/>
            <w:vAlign w:val="center"/>
            <w:hideMark/>
          </w:tcPr>
          <w:p w:rsidR="00437156" w:rsidRDefault="00437156" w:rsidP="0043715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26.4%</w:t>
            </w:r>
          </w:p>
        </w:tc>
        <w:tc>
          <w:tcPr>
            <w:tcW w:w="1580" w:type="dxa"/>
            <w:noWrap/>
            <w:vAlign w:val="bottom"/>
            <w:hideMark/>
          </w:tcPr>
          <w:p w:rsidR="00437156" w:rsidRDefault="00437156" w:rsidP="0043715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18,645</w:t>
            </w:r>
          </w:p>
        </w:tc>
        <w:tc>
          <w:tcPr>
            <w:tcW w:w="1376" w:type="dxa"/>
            <w:noWrap/>
            <w:vAlign w:val="center"/>
            <w:hideMark/>
          </w:tcPr>
          <w:p w:rsidR="00437156" w:rsidRDefault="00437156" w:rsidP="0043715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23.5%</w:t>
            </w:r>
          </w:p>
        </w:tc>
      </w:tr>
      <w:tr w:rsidR="00437156" w:rsidRPr="00B850F5" w:rsidTr="00EE3731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48" w:type="dxa"/>
            <w:hideMark/>
          </w:tcPr>
          <w:p w:rsidR="00437156" w:rsidRPr="00B850F5" w:rsidRDefault="00437156" w:rsidP="00437156">
            <w:pPr>
              <w:rPr>
                <w:rFonts w:ascii="Calibri" w:eastAsia="Times New Roman" w:hAnsi="Calibri" w:cs="Calibri"/>
                <w:b w:val="0"/>
                <w:color w:val="000000"/>
                <w:lang w:eastAsia="en-GB"/>
              </w:rPr>
            </w:pPr>
            <w:r w:rsidRPr="00B850F5">
              <w:rPr>
                <w:rFonts w:ascii="Calibri" w:eastAsia="Times New Roman" w:hAnsi="Calibri" w:cs="Calibri"/>
                <w:b w:val="0"/>
                <w:color w:val="000000"/>
                <w:lang w:eastAsia="en-GB"/>
              </w:rPr>
              <w:t>Production</w:t>
            </w:r>
          </w:p>
        </w:tc>
        <w:tc>
          <w:tcPr>
            <w:tcW w:w="1701" w:type="dxa"/>
            <w:noWrap/>
            <w:vAlign w:val="bottom"/>
            <w:hideMark/>
          </w:tcPr>
          <w:p w:rsidR="00437156" w:rsidRDefault="00437156" w:rsidP="0043715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695</w:t>
            </w:r>
          </w:p>
        </w:tc>
        <w:tc>
          <w:tcPr>
            <w:tcW w:w="1255" w:type="dxa"/>
            <w:noWrap/>
            <w:vAlign w:val="center"/>
            <w:hideMark/>
          </w:tcPr>
          <w:p w:rsidR="00437156" w:rsidRDefault="00437156" w:rsidP="0043715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7.4%</w:t>
            </w:r>
          </w:p>
        </w:tc>
        <w:tc>
          <w:tcPr>
            <w:tcW w:w="1580" w:type="dxa"/>
            <w:noWrap/>
            <w:vAlign w:val="bottom"/>
            <w:hideMark/>
          </w:tcPr>
          <w:p w:rsidR="00437156" w:rsidRDefault="00437156" w:rsidP="0043715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5,475</w:t>
            </w:r>
          </w:p>
        </w:tc>
        <w:tc>
          <w:tcPr>
            <w:tcW w:w="1376" w:type="dxa"/>
            <w:noWrap/>
            <w:vAlign w:val="center"/>
            <w:hideMark/>
          </w:tcPr>
          <w:p w:rsidR="00437156" w:rsidRDefault="00437156" w:rsidP="0043715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6.9%</w:t>
            </w:r>
          </w:p>
        </w:tc>
      </w:tr>
      <w:tr w:rsidR="00437156" w:rsidRPr="00B850F5" w:rsidTr="00EE3731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48" w:type="dxa"/>
            <w:hideMark/>
          </w:tcPr>
          <w:p w:rsidR="00437156" w:rsidRPr="00B850F5" w:rsidRDefault="00437156" w:rsidP="00437156">
            <w:pPr>
              <w:rPr>
                <w:rFonts w:ascii="Calibri" w:eastAsia="Times New Roman" w:hAnsi="Calibri" w:cs="Calibri"/>
                <w:b w:val="0"/>
                <w:color w:val="000000"/>
                <w:lang w:eastAsia="en-GB"/>
              </w:rPr>
            </w:pPr>
            <w:r w:rsidRPr="00B850F5">
              <w:rPr>
                <w:rFonts w:ascii="Calibri" w:eastAsia="Times New Roman" w:hAnsi="Calibri" w:cs="Calibri"/>
                <w:b w:val="0"/>
                <w:color w:val="000000"/>
                <w:lang w:eastAsia="en-GB"/>
              </w:rPr>
              <w:t>Construction</w:t>
            </w:r>
          </w:p>
        </w:tc>
        <w:tc>
          <w:tcPr>
            <w:tcW w:w="1701" w:type="dxa"/>
            <w:noWrap/>
            <w:vAlign w:val="bottom"/>
            <w:hideMark/>
          </w:tcPr>
          <w:p w:rsidR="00437156" w:rsidRDefault="00437156" w:rsidP="0043715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1,320</w:t>
            </w:r>
          </w:p>
        </w:tc>
        <w:tc>
          <w:tcPr>
            <w:tcW w:w="1255" w:type="dxa"/>
            <w:noWrap/>
            <w:vAlign w:val="center"/>
            <w:hideMark/>
          </w:tcPr>
          <w:p w:rsidR="00437156" w:rsidRDefault="00437156" w:rsidP="0043715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14.1%</w:t>
            </w:r>
          </w:p>
        </w:tc>
        <w:tc>
          <w:tcPr>
            <w:tcW w:w="1580" w:type="dxa"/>
            <w:noWrap/>
            <w:vAlign w:val="bottom"/>
            <w:hideMark/>
          </w:tcPr>
          <w:p w:rsidR="00437156" w:rsidRDefault="00437156" w:rsidP="0043715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11,195</w:t>
            </w:r>
          </w:p>
        </w:tc>
        <w:tc>
          <w:tcPr>
            <w:tcW w:w="1376" w:type="dxa"/>
            <w:noWrap/>
            <w:vAlign w:val="center"/>
            <w:hideMark/>
          </w:tcPr>
          <w:p w:rsidR="00437156" w:rsidRDefault="00437156" w:rsidP="0043715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14.1%</w:t>
            </w:r>
          </w:p>
        </w:tc>
      </w:tr>
      <w:tr w:rsidR="00437156" w:rsidRPr="00B850F5" w:rsidTr="00EE3731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48" w:type="dxa"/>
            <w:hideMark/>
          </w:tcPr>
          <w:p w:rsidR="00437156" w:rsidRPr="00B850F5" w:rsidRDefault="00437156" w:rsidP="00437156">
            <w:pPr>
              <w:rPr>
                <w:rFonts w:ascii="Calibri" w:eastAsia="Times New Roman" w:hAnsi="Calibri" w:cs="Calibri"/>
                <w:b w:val="0"/>
                <w:color w:val="000000"/>
                <w:lang w:eastAsia="en-GB"/>
              </w:rPr>
            </w:pPr>
            <w:r w:rsidRPr="00B850F5">
              <w:rPr>
                <w:rFonts w:ascii="Calibri" w:eastAsia="Times New Roman" w:hAnsi="Calibri" w:cs="Calibri"/>
                <w:b w:val="0"/>
                <w:color w:val="000000"/>
                <w:lang w:eastAsia="en-GB"/>
              </w:rPr>
              <w:t>Motor trades</w:t>
            </w:r>
          </w:p>
        </w:tc>
        <w:tc>
          <w:tcPr>
            <w:tcW w:w="1701" w:type="dxa"/>
            <w:noWrap/>
            <w:vAlign w:val="bottom"/>
            <w:hideMark/>
          </w:tcPr>
          <w:p w:rsidR="00437156" w:rsidRDefault="00437156" w:rsidP="0043715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395</w:t>
            </w:r>
          </w:p>
        </w:tc>
        <w:tc>
          <w:tcPr>
            <w:tcW w:w="1255" w:type="dxa"/>
            <w:noWrap/>
            <w:vAlign w:val="center"/>
            <w:hideMark/>
          </w:tcPr>
          <w:p w:rsidR="00437156" w:rsidRDefault="00437156" w:rsidP="0043715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4.2%</w:t>
            </w:r>
          </w:p>
        </w:tc>
        <w:tc>
          <w:tcPr>
            <w:tcW w:w="1580" w:type="dxa"/>
            <w:noWrap/>
            <w:vAlign w:val="bottom"/>
            <w:hideMark/>
          </w:tcPr>
          <w:p w:rsidR="00437156" w:rsidRDefault="00437156" w:rsidP="0043715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2,920</w:t>
            </w:r>
          </w:p>
        </w:tc>
        <w:tc>
          <w:tcPr>
            <w:tcW w:w="1376" w:type="dxa"/>
            <w:noWrap/>
            <w:vAlign w:val="center"/>
            <w:hideMark/>
          </w:tcPr>
          <w:p w:rsidR="00437156" w:rsidRDefault="00437156" w:rsidP="0043715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3.7%</w:t>
            </w:r>
          </w:p>
        </w:tc>
      </w:tr>
      <w:tr w:rsidR="00437156" w:rsidRPr="00B850F5" w:rsidTr="00EE3731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48" w:type="dxa"/>
            <w:hideMark/>
          </w:tcPr>
          <w:p w:rsidR="00437156" w:rsidRPr="00B850F5" w:rsidRDefault="00437156" w:rsidP="00437156">
            <w:pPr>
              <w:rPr>
                <w:rFonts w:ascii="Calibri" w:eastAsia="Times New Roman" w:hAnsi="Calibri" w:cs="Calibri"/>
                <w:b w:val="0"/>
                <w:color w:val="000000"/>
                <w:lang w:eastAsia="en-GB"/>
              </w:rPr>
            </w:pPr>
            <w:r w:rsidRPr="00B850F5">
              <w:rPr>
                <w:rFonts w:ascii="Calibri" w:eastAsia="Times New Roman" w:hAnsi="Calibri" w:cs="Calibri"/>
                <w:b w:val="0"/>
                <w:color w:val="000000"/>
                <w:lang w:eastAsia="en-GB"/>
              </w:rPr>
              <w:t>Wholesale</w:t>
            </w:r>
          </w:p>
        </w:tc>
        <w:tc>
          <w:tcPr>
            <w:tcW w:w="1701" w:type="dxa"/>
            <w:noWrap/>
            <w:vAlign w:val="bottom"/>
            <w:hideMark/>
          </w:tcPr>
          <w:p w:rsidR="00437156" w:rsidRDefault="00437156" w:rsidP="0043715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415</w:t>
            </w:r>
          </w:p>
        </w:tc>
        <w:tc>
          <w:tcPr>
            <w:tcW w:w="1255" w:type="dxa"/>
            <w:noWrap/>
            <w:vAlign w:val="center"/>
            <w:hideMark/>
          </w:tcPr>
          <w:p w:rsidR="00437156" w:rsidRDefault="00437156" w:rsidP="0043715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4.4%</w:t>
            </w:r>
          </w:p>
        </w:tc>
        <w:tc>
          <w:tcPr>
            <w:tcW w:w="1580" w:type="dxa"/>
            <w:noWrap/>
            <w:vAlign w:val="bottom"/>
            <w:hideMark/>
          </w:tcPr>
          <w:p w:rsidR="00437156" w:rsidRDefault="00437156" w:rsidP="0043715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3,305</w:t>
            </w:r>
          </w:p>
        </w:tc>
        <w:tc>
          <w:tcPr>
            <w:tcW w:w="1376" w:type="dxa"/>
            <w:noWrap/>
            <w:vAlign w:val="center"/>
            <w:hideMark/>
          </w:tcPr>
          <w:p w:rsidR="00437156" w:rsidRDefault="00437156" w:rsidP="0043715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4.2%</w:t>
            </w:r>
          </w:p>
        </w:tc>
      </w:tr>
      <w:tr w:rsidR="00437156" w:rsidRPr="00B850F5" w:rsidTr="00EE3731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48" w:type="dxa"/>
            <w:hideMark/>
          </w:tcPr>
          <w:p w:rsidR="00437156" w:rsidRPr="00B850F5" w:rsidRDefault="00437156" w:rsidP="00437156">
            <w:pPr>
              <w:rPr>
                <w:rFonts w:ascii="Calibri" w:eastAsia="Times New Roman" w:hAnsi="Calibri" w:cs="Calibri"/>
                <w:b w:val="0"/>
                <w:color w:val="000000"/>
                <w:lang w:eastAsia="en-GB"/>
              </w:rPr>
            </w:pPr>
            <w:r w:rsidRPr="00B850F5">
              <w:rPr>
                <w:rFonts w:ascii="Calibri" w:eastAsia="Times New Roman" w:hAnsi="Calibri" w:cs="Calibri"/>
                <w:b w:val="0"/>
                <w:color w:val="000000"/>
                <w:lang w:eastAsia="en-GB"/>
              </w:rPr>
              <w:t>Retail</w:t>
            </w:r>
          </w:p>
        </w:tc>
        <w:tc>
          <w:tcPr>
            <w:tcW w:w="1701" w:type="dxa"/>
            <w:noWrap/>
            <w:vAlign w:val="bottom"/>
            <w:hideMark/>
          </w:tcPr>
          <w:p w:rsidR="00437156" w:rsidRDefault="00437156" w:rsidP="0043715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785</w:t>
            </w:r>
          </w:p>
        </w:tc>
        <w:tc>
          <w:tcPr>
            <w:tcW w:w="1255" w:type="dxa"/>
            <w:noWrap/>
            <w:vAlign w:val="center"/>
            <w:hideMark/>
          </w:tcPr>
          <w:p w:rsidR="00437156" w:rsidRDefault="00437156" w:rsidP="0043715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8.4%</w:t>
            </w:r>
          </w:p>
        </w:tc>
        <w:tc>
          <w:tcPr>
            <w:tcW w:w="1580" w:type="dxa"/>
            <w:noWrap/>
            <w:vAlign w:val="bottom"/>
            <w:hideMark/>
          </w:tcPr>
          <w:p w:rsidR="00437156" w:rsidRDefault="00437156" w:rsidP="0043715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6,120</w:t>
            </w:r>
          </w:p>
        </w:tc>
        <w:tc>
          <w:tcPr>
            <w:tcW w:w="1376" w:type="dxa"/>
            <w:noWrap/>
            <w:vAlign w:val="center"/>
            <w:hideMark/>
          </w:tcPr>
          <w:p w:rsidR="00437156" w:rsidRDefault="00437156" w:rsidP="0043715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7.7%</w:t>
            </w:r>
          </w:p>
        </w:tc>
      </w:tr>
      <w:tr w:rsidR="00437156" w:rsidRPr="00B850F5" w:rsidTr="00EE3731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48" w:type="dxa"/>
            <w:hideMark/>
          </w:tcPr>
          <w:p w:rsidR="00437156" w:rsidRPr="00B850F5" w:rsidRDefault="00437156" w:rsidP="00437156">
            <w:pPr>
              <w:rPr>
                <w:rFonts w:ascii="Calibri" w:eastAsia="Times New Roman" w:hAnsi="Calibri" w:cs="Calibri"/>
                <w:b w:val="0"/>
                <w:color w:val="000000"/>
                <w:lang w:eastAsia="en-GB"/>
              </w:rPr>
            </w:pPr>
            <w:r w:rsidRPr="00B850F5">
              <w:rPr>
                <w:rFonts w:ascii="Calibri" w:eastAsia="Times New Roman" w:hAnsi="Calibri" w:cs="Calibri"/>
                <w:b w:val="0"/>
                <w:color w:val="000000"/>
                <w:lang w:eastAsia="en-GB"/>
              </w:rPr>
              <w:t>Transport and storage (</w:t>
            </w:r>
            <w:proofErr w:type="spellStart"/>
            <w:r w:rsidRPr="00B850F5">
              <w:rPr>
                <w:rFonts w:ascii="Calibri" w:eastAsia="Times New Roman" w:hAnsi="Calibri" w:cs="Calibri"/>
                <w:b w:val="0"/>
                <w:color w:val="000000"/>
                <w:lang w:eastAsia="en-GB"/>
              </w:rPr>
              <w:t>inc.</w:t>
            </w:r>
            <w:proofErr w:type="spellEnd"/>
            <w:r w:rsidRPr="00B850F5">
              <w:rPr>
                <w:rFonts w:ascii="Calibri" w:eastAsia="Times New Roman" w:hAnsi="Calibri" w:cs="Calibri"/>
                <w:b w:val="0"/>
                <w:color w:val="000000"/>
                <w:lang w:eastAsia="en-GB"/>
              </w:rPr>
              <w:t xml:space="preserve"> postal)</w:t>
            </w:r>
          </w:p>
        </w:tc>
        <w:tc>
          <w:tcPr>
            <w:tcW w:w="1701" w:type="dxa"/>
            <w:noWrap/>
            <w:vAlign w:val="bottom"/>
            <w:hideMark/>
          </w:tcPr>
          <w:p w:rsidR="00437156" w:rsidRDefault="00437156" w:rsidP="0043715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565</w:t>
            </w:r>
          </w:p>
        </w:tc>
        <w:tc>
          <w:tcPr>
            <w:tcW w:w="1255" w:type="dxa"/>
            <w:noWrap/>
            <w:vAlign w:val="center"/>
            <w:hideMark/>
          </w:tcPr>
          <w:p w:rsidR="00437156" w:rsidRDefault="00437156" w:rsidP="0043715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6.0%</w:t>
            </w:r>
          </w:p>
        </w:tc>
        <w:tc>
          <w:tcPr>
            <w:tcW w:w="1580" w:type="dxa"/>
            <w:noWrap/>
            <w:vAlign w:val="bottom"/>
            <w:hideMark/>
          </w:tcPr>
          <w:p w:rsidR="00437156" w:rsidRDefault="00437156" w:rsidP="0043715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3,110</w:t>
            </w:r>
          </w:p>
        </w:tc>
        <w:tc>
          <w:tcPr>
            <w:tcW w:w="1376" w:type="dxa"/>
            <w:noWrap/>
            <w:vAlign w:val="center"/>
            <w:hideMark/>
          </w:tcPr>
          <w:p w:rsidR="00437156" w:rsidRDefault="00437156" w:rsidP="0043715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3.9%</w:t>
            </w:r>
          </w:p>
        </w:tc>
      </w:tr>
      <w:tr w:rsidR="00437156" w:rsidRPr="00B850F5" w:rsidTr="00EE3731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48" w:type="dxa"/>
            <w:hideMark/>
          </w:tcPr>
          <w:p w:rsidR="00437156" w:rsidRPr="00B850F5" w:rsidRDefault="00437156" w:rsidP="00437156">
            <w:pPr>
              <w:rPr>
                <w:rFonts w:ascii="Calibri" w:eastAsia="Times New Roman" w:hAnsi="Calibri" w:cs="Calibri"/>
                <w:b w:val="0"/>
                <w:color w:val="000000"/>
                <w:lang w:eastAsia="en-GB"/>
              </w:rPr>
            </w:pPr>
            <w:r w:rsidRPr="00B850F5">
              <w:rPr>
                <w:rFonts w:ascii="Calibri" w:eastAsia="Times New Roman" w:hAnsi="Calibri" w:cs="Calibri"/>
                <w:b w:val="0"/>
                <w:color w:val="000000"/>
                <w:lang w:eastAsia="en-GB"/>
              </w:rPr>
              <w:t>Accommodation and food services</w:t>
            </w:r>
          </w:p>
        </w:tc>
        <w:tc>
          <w:tcPr>
            <w:tcW w:w="1701" w:type="dxa"/>
            <w:noWrap/>
            <w:vAlign w:val="bottom"/>
            <w:hideMark/>
          </w:tcPr>
          <w:p w:rsidR="00437156" w:rsidRDefault="00437156" w:rsidP="0043715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405</w:t>
            </w:r>
          </w:p>
        </w:tc>
        <w:tc>
          <w:tcPr>
            <w:tcW w:w="1255" w:type="dxa"/>
            <w:noWrap/>
            <w:vAlign w:val="center"/>
            <w:hideMark/>
          </w:tcPr>
          <w:p w:rsidR="00437156" w:rsidRDefault="00437156" w:rsidP="0043715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4.3%</w:t>
            </w:r>
          </w:p>
        </w:tc>
        <w:tc>
          <w:tcPr>
            <w:tcW w:w="1580" w:type="dxa"/>
            <w:noWrap/>
            <w:vAlign w:val="bottom"/>
            <w:hideMark/>
          </w:tcPr>
          <w:p w:rsidR="00437156" w:rsidRDefault="00437156" w:rsidP="0043715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4,465</w:t>
            </w:r>
          </w:p>
        </w:tc>
        <w:tc>
          <w:tcPr>
            <w:tcW w:w="1376" w:type="dxa"/>
            <w:noWrap/>
            <w:vAlign w:val="center"/>
            <w:hideMark/>
          </w:tcPr>
          <w:p w:rsidR="00437156" w:rsidRDefault="00437156" w:rsidP="0043715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5.6%</w:t>
            </w:r>
          </w:p>
        </w:tc>
      </w:tr>
      <w:tr w:rsidR="00437156" w:rsidRPr="00B850F5" w:rsidTr="00EE3731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48" w:type="dxa"/>
            <w:hideMark/>
          </w:tcPr>
          <w:p w:rsidR="00437156" w:rsidRPr="00B850F5" w:rsidRDefault="00437156" w:rsidP="00437156">
            <w:pPr>
              <w:rPr>
                <w:rFonts w:ascii="Calibri" w:eastAsia="Times New Roman" w:hAnsi="Calibri" w:cs="Calibri"/>
                <w:b w:val="0"/>
                <w:color w:val="000000"/>
                <w:lang w:eastAsia="en-GB"/>
              </w:rPr>
            </w:pPr>
            <w:r w:rsidRPr="00B850F5">
              <w:rPr>
                <w:rFonts w:ascii="Calibri" w:eastAsia="Times New Roman" w:hAnsi="Calibri" w:cs="Calibri"/>
                <w:b w:val="0"/>
                <w:color w:val="000000"/>
                <w:lang w:eastAsia="en-GB"/>
              </w:rPr>
              <w:t>Information and communication</w:t>
            </w:r>
          </w:p>
        </w:tc>
        <w:tc>
          <w:tcPr>
            <w:tcW w:w="1701" w:type="dxa"/>
            <w:noWrap/>
            <w:vAlign w:val="bottom"/>
            <w:hideMark/>
          </w:tcPr>
          <w:p w:rsidR="00437156" w:rsidRDefault="00437156" w:rsidP="0043715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150</w:t>
            </w:r>
          </w:p>
        </w:tc>
        <w:tc>
          <w:tcPr>
            <w:tcW w:w="1255" w:type="dxa"/>
            <w:noWrap/>
            <w:vAlign w:val="center"/>
            <w:hideMark/>
          </w:tcPr>
          <w:p w:rsidR="00437156" w:rsidRDefault="00437156" w:rsidP="0043715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1.6%</w:t>
            </w:r>
          </w:p>
        </w:tc>
        <w:tc>
          <w:tcPr>
            <w:tcW w:w="1580" w:type="dxa"/>
            <w:noWrap/>
            <w:vAlign w:val="bottom"/>
            <w:hideMark/>
          </w:tcPr>
          <w:p w:rsidR="00437156" w:rsidRDefault="00437156" w:rsidP="0043715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2,170</w:t>
            </w:r>
          </w:p>
        </w:tc>
        <w:tc>
          <w:tcPr>
            <w:tcW w:w="1376" w:type="dxa"/>
            <w:noWrap/>
            <w:vAlign w:val="center"/>
            <w:hideMark/>
          </w:tcPr>
          <w:p w:rsidR="00437156" w:rsidRDefault="00437156" w:rsidP="0043715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2.7%</w:t>
            </w:r>
          </w:p>
        </w:tc>
      </w:tr>
      <w:tr w:rsidR="00437156" w:rsidRPr="00B850F5" w:rsidTr="00EE3731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48" w:type="dxa"/>
            <w:hideMark/>
          </w:tcPr>
          <w:p w:rsidR="00437156" w:rsidRPr="00B850F5" w:rsidRDefault="00437156" w:rsidP="00437156">
            <w:pPr>
              <w:rPr>
                <w:rFonts w:ascii="Calibri" w:eastAsia="Times New Roman" w:hAnsi="Calibri" w:cs="Calibri"/>
                <w:b w:val="0"/>
                <w:color w:val="000000"/>
                <w:lang w:eastAsia="en-GB"/>
              </w:rPr>
            </w:pPr>
            <w:r w:rsidRPr="00B850F5">
              <w:rPr>
                <w:rFonts w:ascii="Calibri" w:eastAsia="Times New Roman" w:hAnsi="Calibri" w:cs="Calibri"/>
                <w:b w:val="0"/>
                <w:color w:val="000000"/>
                <w:lang w:eastAsia="en-GB"/>
              </w:rPr>
              <w:t>Finance and insurance</w:t>
            </w:r>
          </w:p>
        </w:tc>
        <w:tc>
          <w:tcPr>
            <w:tcW w:w="1701" w:type="dxa"/>
            <w:noWrap/>
            <w:vAlign w:val="bottom"/>
            <w:hideMark/>
          </w:tcPr>
          <w:p w:rsidR="00437156" w:rsidRDefault="00437156" w:rsidP="0043715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115</w:t>
            </w:r>
          </w:p>
        </w:tc>
        <w:tc>
          <w:tcPr>
            <w:tcW w:w="1255" w:type="dxa"/>
            <w:noWrap/>
            <w:vAlign w:val="center"/>
            <w:hideMark/>
          </w:tcPr>
          <w:p w:rsidR="00437156" w:rsidRDefault="00437156" w:rsidP="0043715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1.2%</w:t>
            </w:r>
          </w:p>
        </w:tc>
        <w:tc>
          <w:tcPr>
            <w:tcW w:w="1580" w:type="dxa"/>
            <w:noWrap/>
            <w:vAlign w:val="bottom"/>
            <w:hideMark/>
          </w:tcPr>
          <w:p w:rsidR="00437156" w:rsidRDefault="00437156" w:rsidP="0043715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1,255</w:t>
            </w:r>
          </w:p>
        </w:tc>
        <w:tc>
          <w:tcPr>
            <w:tcW w:w="1376" w:type="dxa"/>
            <w:noWrap/>
            <w:vAlign w:val="center"/>
            <w:hideMark/>
          </w:tcPr>
          <w:p w:rsidR="00437156" w:rsidRDefault="00437156" w:rsidP="0043715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1.6%</w:t>
            </w:r>
          </w:p>
        </w:tc>
      </w:tr>
      <w:tr w:rsidR="00437156" w:rsidRPr="00B850F5" w:rsidTr="00EE3731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48" w:type="dxa"/>
            <w:hideMark/>
          </w:tcPr>
          <w:p w:rsidR="00437156" w:rsidRPr="00B850F5" w:rsidRDefault="00437156" w:rsidP="00437156">
            <w:pPr>
              <w:rPr>
                <w:rFonts w:ascii="Calibri" w:eastAsia="Times New Roman" w:hAnsi="Calibri" w:cs="Calibri"/>
                <w:b w:val="0"/>
                <w:color w:val="000000"/>
                <w:lang w:eastAsia="en-GB"/>
              </w:rPr>
            </w:pPr>
            <w:r w:rsidRPr="00B850F5">
              <w:rPr>
                <w:rFonts w:ascii="Calibri" w:eastAsia="Times New Roman" w:hAnsi="Calibri" w:cs="Calibri"/>
                <w:b w:val="0"/>
                <w:color w:val="000000"/>
                <w:lang w:eastAsia="en-GB"/>
              </w:rPr>
              <w:t>Property</w:t>
            </w:r>
          </w:p>
        </w:tc>
        <w:tc>
          <w:tcPr>
            <w:tcW w:w="1701" w:type="dxa"/>
            <w:noWrap/>
            <w:vAlign w:val="bottom"/>
            <w:hideMark/>
          </w:tcPr>
          <w:p w:rsidR="00437156" w:rsidRDefault="00437156" w:rsidP="0043715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260</w:t>
            </w:r>
          </w:p>
        </w:tc>
        <w:tc>
          <w:tcPr>
            <w:tcW w:w="1255" w:type="dxa"/>
            <w:noWrap/>
            <w:vAlign w:val="center"/>
            <w:hideMark/>
          </w:tcPr>
          <w:p w:rsidR="00437156" w:rsidRDefault="00437156" w:rsidP="0043715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2.8%</w:t>
            </w:r>
          </w:p>
        </w:tc>
        <w:tc>
          <w:tcPr>
            <w:tcW w:w="1580" w:type="dxa"/>
            <w:noWrap/>
            <w:vAlign w:val="bottom"/>
            <w:hideMark/>
          </w:tcPr>
          <w:p w:rsidR="00437156" w:rsidRDefault="00437156" w:rsidP="0043715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2,440</w:t>
            </w:r>
          </w:p>
        </w:tc>
        <w:tc>
          <w:tcPr>
            <w:tcW w:w="1376" w:type="dxa"/>
            <w:noWrap/>
            <w:vAlign w:val="center"/>
            <w:hideMark/>
          </w:tcPr>
          <w:p w:rsidR="00437156" w:rsidRDefault="00437156" w:rsidP="0043715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3.1%</w:t>
            </w:r>
          </w:p>
        </w:tc>
      </w:tr>
      <w:tr w:rsidR="00437156" w:rsidRPr="00B850F5" w:rsidTr="00EE3731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48" w:type="dxa"/>
            <w:hideMark/>
          </w:tcPr>
          <w:p w:rsidR="00437156" w:rsidRPr="00B850F5" w:rsidRDefault="00437156" w:rsidP="00437156">
            <w:pPr>
              <w:rPr>
                <w:rFonts w:ascii="Calibri" w:eastAsia="Times New Roman" w:hAnsi="Calibri" w:cs="Calibri"/>
                <w:b w:val="0"/>
                <w:color w:val="000000"/>
                <w:lang w:eastAsia="en-GB"/>
              </w:rPr>
            </w:pPr>
            <w:r w:rsidRPr="00B850F5">
              <w:rPr>
                <w:rFonts w:ascii="Calibri" w:eastAsia="Times New Roman" w:hAnsi="Calibri" w:cs="Calibri"/>
                <w:b w:val="0"/>
                <w:color w:val="000000"/>
                <w:lang w:eastAsia="en-GB"/>
              </w:rPr>
              <w:t>Professional, scientific and technical</w:t>
            </w:r>
          </w:p>
        </w:tc>
        <w:tc>
          <w:tcPr>
            <w:tcW w:w="1701" w:type="dxa"/>
            <w:noWrap/>
            <w:vAlign w:val="bottom"/>
            <w:hideMark/>
          </w:tcPr>
          <w:p w:rsidR="00437156" w:rsidRDefault="00437156" w:rsidP="0043715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585</w:t>
            </w:r>
          </w:p>
        </w:tc>
        <w:tc>
          <w:tcPr>
            <w:tcW w:w="1255" w:type="dxa"/>
            <w:noWrap/>
            <w:vAlign w:val="center"/>
            <w:hideMark/>
          </w:tcPr>
          <w:p w:rsidR="00437156" w:rsidRDefault="00437156" w:rsidP="0043715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6.2%</w:t>
            </w:r>
          </w:p>
        </w:tc>
        <w:tc>
          <w:tcPr>
            <w:tcW w:w="1580" w:type="dxa"/>
            <w:noWrap/>
            <w:vAlign w:val="bottom"/>
            <w:hideMark/>
          </w:tcPr>
          <w:p w:rsidR="00437156" w:rsidRDefault="00437156" w:rsidP="0043715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6,405</w:t>
            </w:r>
          </w:p>
        </w:tc>
        <w:tc>
          <w:tcPr>
            <w:tcW w:w="1376" w:type="dxa"/>
            <w:noWrap/>
            <w:vAlign w:val="center"/>
            <w:hideMark/>
          </w:tcPr>
          <w:p w:rsidR="00437156" w:rsidRDefault="00437156" w:rsidP="0043715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8.1%</w:t>
            </w:r>
          </w:p>
        </w:tc>
      </w:tr>
      <w:tr w:rsidR="00437156" w:rsidRPr="00B850F5" w:rsidTr="00EE3731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48" w:type="dxa"/>
            <w:hideMark/>
          </w:tcPr>
          <w:p w:rsidR="00437156" w:rsidRPr="00B850F5" w:rsidRDefault="00437156" w:rsidP="00437156">
            <w:pPr>
              <w:rPr>
                <w:rFonts w:ascii="Calibri" w:eastAsia="Times New Roman" w:hAnsi="Calibri" w:cs="Calibri"/>
                <w:b w:val="0"/>
                <w:color w:val="000000"/>
                <w:lang w:eastAsia="en-GB"/>
              </w:rPr>
            </w:pPr>
            <w:r w:rsidRPr="00B850F5">
              <w:rPr>
                <w:rFonts w:ascii="Calibri" w:eastAsia="Times New Roman" w:hAnsi="Calibri" w:cs="Calibri"/>
                <w:b w:val="0"/>
                <w:color w:val="000000"/>
                <w:lang w:eastAsia="en-GB"/>
              </w:rPr>
              <w:t>Business administration and support services</w:t>
            </w:r>
          </w:p>
        </w:tc>
        <w:tc>
          <w:tcPr>
            <w:tcW w:w="1701" w:type="dxa"/>
            <w:noWrap/>
            <w:vAlign w:val="bottom"/>
            <w:hideMark/>
          </w:tcPr>
          <w:p w:rsidR="00437156" w:rsidRDefault="00437156" w:rsidP="0043715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400</w:t>
            </w:r>
          </w:p>
        </w:tc>
        <w:tc>
          <w:tcPr>
            <w:tcW w:w="1255" w:type="dxa"/>
            <w:noWrap/>
            <w:vAlign w:val="center"/>
            <w:hideMark/>
          </w:tcPr>
          <w:p w:rsidR="00437156" w:rsidRDefault="00437156" w:rsidP="0043715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4.3%</w:t>
            </w:r>
          </w:p>
        </w:tc>
        <w:tc>
          <w:tcPr>
            <w:tcW w:w="1580" w:type="dxa"/>
            <w:noWrap/>
            <w:vAlign w:val="bottom"/>
            <w:hideMark/>
          </w:tcPr>
          <w:p w:rsidR="00437156" w:rsidRDefault="00437156" w:rsidP="0043715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3,250</w:t>
            </w:r>
          </w:p>
        </w:tc>
        <w:tc>
          <w:tcPr>
            <w:tcW w:w="1376" w:type="dxa"/>
            <w:noWrap/>
            <w:vAlign w:val="center"/>
            <w:hideMark/>
          </w:tcPr>
          <w:p w:rsidR="00437156" w:rsidRDefault="00437156" w:rsidP="0043715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4.1%</w:t>
            </w:r>
          </w:p>
        </w:tc>
      </w:tr>
      <w:tr w:rsidR="00437156" w:rsidRPr="00B850F5" w:rsidTr="00EE3731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48" w:type="dxa"/>
            <w:hideMark/>
          </w:tcPr>
          <w:p w:rsidR="00437156" w:rsidRPr="00B850F5" w:rsidRDefault="00437156" w:rsidP="00437156">
            <w:pPr>
              <w:rPr>
                <w:rFonts w:ascii="Calibri" w:eastAsia="Times New Roman" w:hAnsi="Calibri" w:cs="Calibri"/>
                <w:b w:val="0"/>
                <w:color w:val="000000"/>
                <w:lang w:eastAsia="en-GB"/>
              </w:rPr>
            </w:pPr>
            <w:r w:rsidRPr="00B850F5">
              <w:rPr>
                <w:rFonts w:ascii="Calibri" w:eastAsia="Times New Roman" w:hAnsi="Calibri" w:cs="Calibri"/>
                <w:b w:val="0"/>
                <w:color w:val="000000"/>
                <w:lang w:eastAsia="en-GB"/>
              </w:rPr>
              <w:t>Public administration and defence</w:t>
            </w:r>
          </w:p>
        </w:tc>
        <w:tc>
          <w:tcPr>
            <w:tcW w:w="1701" w:type="dxa"/>
            <w:noWrap/>
            <w:vAlign w:val="bottom"/>
            <w:hideMark/>
          </w:tcPr>
          <w:p w:rsidR="00437156" w:rsidRDefault="00437156" w:rsidP="0043715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1255" w:type="dxa"/>
            <w:noWrap/>
            <w:vAlign w:val="center"/>
            <w:hideMark/>
          </w:tcPr>
          <w:p w:rsidR="00437156" w:rsidRDefault="00437156" w:rsidP="0043715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0.0%</w:t>
            </w:r>
          </w:p>
        </w:tc>
        <w:tc>
          <w:tcPr>
            <w:tcW w:w="1580" w:type="dxa"/>
            <w:noWrap/>
            <w:vAlign w:val="bottom"/>
            <w:hideMark/>
          </w:tcPr>
          <w:p w:rsidR="00437156" w:rsidRDefault="00437156" w:rsidP="0043715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50</w:t>
            </w:r>
          </w:p>
        </w:tc>
        <w:tc>
          <w:tcPr>
            <w:tcW w:w="1376" w:type="dxa"/>
            <w:noWrap/>
            <w:vAlign w:val="center"/>
            <w:hideMark/>
          </w:tcPr>
          <w:p w:rsidR="00437156" w:rsidRDefault="00437156" w:rsidP="0043715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0.1%</w:t>
            </w:r>
          </w:p>
        </w:tc>
      </w:tr>
      <w:tr w:rsidR="00437156" w:rsidRPr="00B850F5" w:rsidTr="00EE3731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48" w:type="dxa"/>
            <w:hideMark/>
          </w:tcPr>
          <w:p w:rsidR="00437156" w:rsidRPr="00B850F5" w:rsidRDefault="00437156" w:rsidP="00437156">
            <w:pPr>
              <w:rPr>
                <w:rFonts w:ascii="Calibri" w:eastAsia="Times New Roman" w:hAnsi="Calibri" w:cs="Calibri"/>
                <w:b w:val="0"/>
                <w:color w:val="000000"/>
                <w:lang w:eastAsia="en-GB"/>
              </w:rPr>
            </w:pPr>
            <w:r w:rsidRPr="00B850F5">
              <w:rPr>
                <w:rFonts w:ascii="Calibri" w:eastAsia="Times New Roman" w:hAnsi="Calibri" w:cs="Calibri"/>
                <w:b w:val="0"/>
                <w:color w:val="000000"/>
                <w:lang w:eastAsia="en-GB"/>
              </w:rPr>
              <w:t>Education</w:t>
            </w:r>
          </w:p>
        </w:tc>
        <w:tc>
          <w:tcPr>
            <w:tcW w:w="1701" w:type="dxa"/>
            <w:noWrap/>
            <w:vAlign w:val="bottom"/>
            <w:hideMark/>
          </w:tcPr>
          <w:p w:rsidR="00437156" w:rsidRDefault="00437156" w:rsidP="0043715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70</w:t>
            </w:r>
          </w:p>
        </w:tc>
        <w:tc>
          <w:tcPr>
            <w:tcW w:w="1255" w:type="dxa"/>
            <w:noWrap/>
            <w:vAlign w:val="center"/>
            <w:hideMark/>
          </w:tcPr>
          <w:p w:rsidR="00437156" w:rsidRDefault="00437156" w:rsidP="0043715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0.7%</w:t>
            </w:r>
          </w:p>
        </w:tc>
        <w:tc>
          <w:tcPr>
            <w:tcW w:w="1580" w:type="dxa"/>
            <w:noWrap/>
            <w:vAlign w:val="bottom"/>
            <w:hideMark/>
          </w:tcPr>
          <w:p w:rsidR="00437156" w:rsidRDefault="00437156" w:rsidP="0043715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735</w:t>
            </w:r>
          </w:p>
        </w:tc>
        <w:tc>
          <w:tcPr>
            <w:tcW w:w="1376" w:type="dxa"/>
            <w:noWrap/>
            <w:vAlign w:val="center"/>
            <w:hideMark/>
          </w:tcPr>
          <w:p w:rsidR="00437156" w:rsidRDefault="00437156" w:rsidP="0043715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0.9%</w:t>
            </w:r>
          </w:p>
        </w:tc>
      </w:tr>
      <w:tr w:rsidR="00437156" w:rsidRPr="00B850F5" w:rsidTr="00EE3731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48" w:type="dxa"/>
            <w:hideMark/>
          </w:tcPr>
          <w:p w:rsidR="00437156" w:rsidRPr="00B850F5" w:rsidRDefault="00437156" w:rsidP="00437156">
            <w:pPr>
              <w:rPr>
                <w:rFonts w:ascii="Calibri" w:eastAsia="Times New Roman" w:hAnsi="Calibri" w:cs="Calibri"/>
                <w:b w:val="0"/>
                <w:color w:val="000000"/>
                <w:lang w:eastAsia="en-GB"/>
              </w:rPr>
            </w:pPr>
            <w:r w:rsidRPr="00B850F5">
              <w:rPr>
                <w:rFonts w:ascii="Calibri" w:eastAsia="Times New Roman" w:hAnsi="Calibri" w:cs="Calibri"/>
                <w:b w:val="0"/>
                <w:color w:val="000000"/>
                <w:lang w:eastAsia="en-GB"/>
              </w:rPr>
              <w:t>Health</w:t>
            </w:r>
          </w:p>
        </w:tc>
        <w:tc>
          <w:tcPr>
            <w:tcW w:w="1701" w:type="dxa"/>
            <w:noWrap/>
            <w:vAlign w:val="bottom"/>
            <w:hideMark/>
          </w:tcPr>
          <w:p w:rsidR="00437156" w:rsidRDefault="00437156" w:rsidP="0043715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245</w:t>
            </w:r>
          </w:p>
        </w:tc>
        <w:tc>
          <w:tcPr>
            <w:tcW w:w="1255" w:type="dxa"/>
            <w:noWrap/>
            <w:vAlign w:val="center"/>
            <w:hideMark/>
          </w:tcPr>
          <w:p w:rsidR="00437156" w:rsidRDefault="00437156" w:rsidP="0043715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2.6%</w:t>
            </w:r>
          </w:p>
        </w:tc>
        <w:tc>
          <w:tcPr>
            <w:tcW w:w="1580" w:type="dxa"/>
            <w:noWrap/>
            <w:vAlign w:val="bottom"/>
            <w:hideMark/>
          </w:tcPr>
          <w:p w:rsidR="00437156" w:rsidRDefault="00437156" w:rsidP="0043715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2,885</w:t>
            </w:r>
          </w:p>
        </w:tc>
        <w:tc>
          <w:tcPr>
            <w:tcW w:w="1376" w:type="dxa"/>
            <w:noWrap/>
            <w:vAlign w:val="center"/>
            <w:hideMark/>
          </w:tcPr>
          <w:p w:rsidR="00437156" w:rsidRDefault="00437156" w:rsidP="0043715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3.6%</w:t>
            </w:r>
          </w:p>
        </w:tc>
      </w:tr>
      <w:tr w:rsidR="00437156" w:rsidRPr="00B850F5" w:rsidTr="00EE3731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48" w:type="dxa"/>
            <w:hideMark/>
          </w:tcPr>
          <w:p w:rsidR="00437156" w:rsidRPr="00B850F5" w:rsidRDefault="00437156" w:rsidP="00437156">
            <w:pPr>
              <w:rPr>
                <w:rFonts w:ascii="Calibri" w:eastAsia="Times New Roman" w:hAnsi="Calibri" w:cs="Calibri"/>
                <w:b w:val="0"/>
                <w:color w:val="000000"/>
                <w:lang w:eastAsia="en-GB"/>
              </w:rPr>
            </w:pPr>
            <w:r w:rsidRPr="00B850F5">
              <w:rPr>
                <w:rFonts w:ascii="Calibri" w:eastAsia="Times New Roman" w:hAnsi="Calibri" w:cs="Calibri"/>
                <w:b w:val="0"/>
                <w:color w:val="000000"/>
                <w:lang w:eastAsia="en-GB"/>
              </w:rPr>
              <w:t xml:space="preserve">Arts, entertainment, recreation </w:t>
            </w:r>
            <w:r>
              <w:rPr>
                <w:rFonts w:ascii="Calibri" w:eastAsia="Times New Roman" w:hAnsi="Calibri" w:cs="Calibri"/>
                <w:b w:val="0"/>
                <w:color w:val="000000"/>
                <w:lang w:eastAsia="en-GB"/>
              </w:rPr>
              <w:t>&amp;</w:t>
            </w:r>
            <w:r w:rsidRPr="00B850F5">
              <w:rPr>
                <w:rFonts w:ascii="Calibri" w:eastAsia="Times New Roman" w:hAnsi="Calibri" w:cs="Calibri"/>
                <w:b w:val="0"/>
                <w:color w:val="000000"/>
                <w:lang w:eastAsia="en-GB"/>
              </w:rPr>
              <w:t xml:space="preserve"> other </w:t>
            </w:r>
            <w:proofErr w:type="spellStart"/>
            <w:r w:rsidRPr="00B850F5">
              <w:rPr>
                <w:rFonts w:ascii="Calibri" w:eastAsia="Times New Roman" w:hAnsi="Calibri" w:cs="Calibri"/>
                <w:b w:val="0"/>
                <w:color w:val="000000"/>
                <w:lang w:eastAsia="en-GB"/>
              </w:rPr>
              <w:t>s</w:t>
            </w:r>
            <w:r>
              <w:rPr>
                <w:rFonts w:ascii="Calibri" w:eastAsia="Times New Roman" w:hAnsi="Calibri" w:cs="Calibri"/>
                <w:b w:val="0"/>
                <w:color w:val="000000"/>
                <w:lang w:eastAsia="en-GB"/>
              </w:rPr>
              <w:t>vs</w:t>
            </w:r>
            <w:proofErr w:type="spellEnd"/>
          </w:p>
        </w:tc>
        <w:tc>
          <w:tcPr>
            <w:tcW w:w="1701" w:type="dxa"/>
            <w:noWrap/>
            <w:vAlign w:val="bottom"/>
            <w:hideMark/>
          </w:tcPr>
          <w:p w:rsidR="00437156" w:rsidRDefault="00437156" w:rsidP="0043715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495</w:t>
            </w:r>
          </w:p>
        </w:tc>
        <w:tc>
          <w:tcPr>
            <w:tcW w:w="1255" w:type="dxa"/>
            <w:noWrap/>
            <w:vAlign w:val="center"/>
            <w:hideMark/>
          </w:tcPr>
          <w:p w:rsidR="00437156" w:rsidRDefault="00437156" w:rsidP="0043715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5.3%</w:t>
            </w:r>
          </w:p>
        </w:tc>
        <w:tc>
          <w:tcPr>
            <w:tcW w:w="1580" w:type="dxa"/>
            <w:noWrap/>
            <w:vAlign w:val="bottom"/>
            <w:hideMark/>
          </w:tcPr>
          <w:p w:rsidR="00437156" w:rsidRDefault="00437156" w:rsidP="0043715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4,810</w:t>
            </w:r>
          </w:p>
        </w:tc>
        <w:tc>
          <w:tcPr>
            <w:tcW w:w="1376" w:type="dxa"/>
            <w:noWrap/>
            <w:vAlign w:val="center"/>
            <w:hideMark/>
          </w:tcPr>
          <w:p w:rsidR="00437156" w:rsidRDefault="00437156" w:rsidP="0043715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6.1%</w:t>
            </w:r>
          </w:p>
        </w:tc>
      </w:tr>
      <w:tr w:rsidR="00437156" w:rsidRPr="00B850F5" w:rsidTr="00EE3731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48" w:type="dxa"/>
            <w:hideMark/>
          </w:tcPr>
          <w:p w:rsidR="00437156" w:rsidRPr="00B850F5" w:rsidRDefault="00437156" w:rsidP="00437156">
            <w:pPr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B850F5">
              <w:rPr>
                <w:rFonts w:ascii="Calibri" w:eastAsia="Times New Roman" w:hAnsi="Calibri" w:cs="Calibri"/>
                <w:color w:val="000000"/>
                <w:lang w:eastAsia="en-GB"/>
              </w:rPr>
              <w:t>Total</w:t>
            </w:r>
          </w:p>
        </w:tc>
        <w:tc>
          <w:tcPr>
            <w:tcW w:w="1701" w:type="dxa"/>
            <w:noWrap/>
            <w:vAlign w:val="bottom"/>
            <w:hideMark/>
          </w:tcPr>
          <w:p w:rsidR="00437156" w:rsidRDefault="00437156" w:rsidP="0043715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9,390</w:t>
            </w:r>
          </w:p>
        </w:tc>
        <w:tc>
          <w:tcPr>
            <w:tcW w:w="1255" w:type="dxa"/>
            <w:noWrap/>
            <w:vAlign w:val="center"/>
            <w:hideMark/>
          </w:tcPr>
          <w:p w:rsidR="00437156" w:rsidRDefault="00437156" w:rsidP="0043715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100.0%</w:t>
            </w:r>
          </w:p>
        </w:tc>
        <w:tc>
          <w:tcPr>
            <w:tcW w:w="1580" w:type="dxa"/>
            <w:noWrap/>
            <w:vAlign w:val="bottom"/>
            <w:hideMark/>
          </w:tcPr>
          <w:p w:rsidR="00437156" w:rsidRDefault="00437156" w:rsidP="0043715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79,235</w:t>
            </w:r>
          </w:p>
        </w:tc>
        <w:tc>
          <w:tcPr>
            <w:tcW w:w="1376" w:type="dxa"/>
            <w:noWrap/>
            <w:vAlign w:val="center"/>
            <w:hideMark/>
          </w:tcPr>
          <w:p w:rsidR="00437156" w:rsidRDefault="00437156" w:rsidP="0043715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100.0%</w:t>
            </w:r>
          </w:p>
        </w:tc>
      </w:tr>
    </w:tbl>
    <w:p w:rsidR="00B850F5" w:rsidRDefault="0020269F" w:rsidP="004D048D">
      <w:pPr>
        <w:rPr>
          <w:i/>
          <w:sz w:val="20"/>
          <w:szCs w:val="20"/>
        </w:rPr>
      </w:pPr>
      <w:r>
        <w:rPr>
          <w:i/>
          <w:sz w:val="20"/>
          <w:szCs w:val="20"/>
        </w:rPr>
        <w:t>Table 3: Broad</w:t>
      </w:r>
      <w:r w:rsidR="004D048D">
        <w:rPr>
          <w:i/>
          <w:sz w:val="20"/>
          <w:szCs w:val="20"/>
        </w:rPr>
        <w:t xml:space="preserve"> </w:t>
      </w:r>
      <w:r>
        <w:rPr>
          <w:i/>
          <w:sz w:val="20"/>
          <w:szCs w:val="20"/>
        </w:rPr>
        <w:t>i</w:t>
      </w:r>
      <w:r w:rsidR="004D048D">
        <w:rPr>
          <w:i/>
          <w:sz w:val="20"/>
          <w:szCs w:val="20"/>
        </w:rPr>
        <w:t>ndustry group of VAT and/or PAYE registered businesses operating in Armagh City, Banbridge and Craigavon Boro</w:t>
      </w:r>
      <w:r w:rsidR="00963197">
        <w:rPr>
          <w:i/>
          <w:sz w:val="20"/>
          <w:szCs w:val="20"/>
        </w:rPr>
        <w:t>ugh and Northern Ireland in 202</w:t>
      </w:r>
      <w:r w:rsidR="00437156">
        <w:rPr>
          <w:i/>
          <w:sz w:val="20"/>
          <w:szCs w:val="20"/>
        </w:rPr>
        <w:t>3</w:t>
      </w:r>
      <w:r w:rsidR="004D048D" w:rsidRPr="002A2185">
        <w:rPr>
          <w:i/>
          <w:sz w:val="20"/>
          <w:szCs w:val="20"/>
        </w:rPr>
        <w:t>. Source:</w:t>
      </w:r>
      <w:r w:rsidR="004D048D">
        <w:rPr>
          <w:i/>
          <w:sz w:val="20"/>
          <w:szCs w:val="20"/>
        </w:rPr>
        <w:t xml:space="preserve"> Inter-Departmental Business Register, NISRA</w:t>
      </w:r>
      <w:r w:rsidR="004D048D" w:rsidRPr="002A2185">
        <w:rPr>
          <w:i/>
          <w:sz w:val="20"/>
          <w:szCs w:val="20"/>
        </w:rPr>
        <w:t>.</w:t>
      </w:r>
      <w:r w:rsidR="004D048D">
        <w:rPr>
          <w:i/>
          <w:sz w:val="20"/>
          <w:szCs w:val="20"/>
        </w:rPr>
        <w:t xml:space="preserve"> Please note figures have been rounded to the nearest five and therefore may not sum to totals.</w:t>
      </w:r>
    </w:p>
    <w:p w:rsidR="00F26CF1" w:rsidRDefault="00437156" w:rsidP="008F46C0">
      <w:pPr>
        <w:rPr>
          <w:i/>
          <w:sz w:val="20"/>
          <w:szCs w:val="20"/>
        </w:rPr>
      </w:pPr>
      <w:r>
        <w:rPr>
          <w:noProof/>
          <w:lang w:eastAsia="en-GB"/>
        </w:rPr>
        <w:drawing>
          <wp:inline distT="0" distB="0" distL="0" distR="0" wp14:anchorId="5362C99C" wp14:editId="408DF4D9">
            <wp:extent cx="5731510" cy="3771900"/>
            <wp:effectExtent l="0" t="0" r="2540" b="0"/>
            <wp:docPr id="10" name="Chart 1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  <w:r w:rsidR="00F26CF1">
        <w:rPr>
          <w:i/>
          <w:sz w:val="20"/>
          <w:szCs w:val="20"/>
        </w:rPr>
        <w:t>Figure 3: Broad industry group of VAT and/or PAYE registered businesses operating in Armagh City, Banbridge and Craigavon Borough in 202</w:t>
      </w:r>
      <w:r>
        <w:rPr>
          <w:i/>
          <w:sz w:val="20"/>
          <w:szCs w:val="20"/>
        </w:rPr>
        <w:t>3</w:t>
      </w:r>
      <w:r w:rsidR="00F26CF1" w:rsidRPr="002A2185">
        <w:rPr>
          <w:i/>
          <w:sz w:val="20"/>
          <w:szCs w:val="20"/>
        </w:rPr>
        <w:t>. Source:</w:t>
      </w:r>
      <w:r w:rsidR="00F26CF1">
        <w:rPr>
          <w:i/>
          <w:sz w:val="20"/>
          <w:szCs w:val="20"/>
        </w:rPr>
        <w:t xml:space="preserve"> Inter-Departmental Business Register, NISRA</w:t>
      </w:r>
      <w:r w:rsidR="00F26CF1" w:rsidRPr="002A2185">
        <w:rPr>
          <w:i/>
          <w:sz w:val="20"/>
          <w:szCs w:val="20"/>
        </w:rPr>
        <w:t>.</w:t>
      </w:r>
    </w:p>
    <w:p w:rsidR="00DE1CD9" w:rsidRDefault="007F5C9C" w:rsidP="008F46C0">
      <w:r>
        <w:lastRenderedPageBreak/>
        <w:t xml:space="preserve">The majority of </w:t>
      </w:r>
      <w:r w:rsidR="00172682">
        <w:t>VAT and/or PAYE registered businesses operating in the borough</w:t>
      </w:r>
      <w:r w:rsidR="009135F4">
        <w:t xml:space="preserve"> in 202</w:t>
      </w:r>
      <w:r w:rsidR="003600DF">
        <w:t>2</w:t>
      </w:r>
      <w:r w:rsidR="00172682">
        <w:t xml:space="preserve"> e</w:t>
      </w:r>
      <w:r w:rsidR="009135F4">
        <w:t>mploy fewer than 50 people, 98</w:t>
      </w:r>
      <w:r w:rsidR="00B713F0">
        <w:t>.4</w:t>
      </w:r>
      <w:r w:rsidR="00172682">
        <w:t>% of such businesses</w:t>
      </w:r>
      <w:r w:rsidR="008F46C0">
        <w:t>.</w:t>
      </w:r>
      <w:r w:rsidR="00172682">
        <w:t xml:space="preserve"> This is similar to the Northern Ireland business profile of which </w:t>
      </w:r>
      <w:r w:rsidR="00B713F0">
        <w:t>98</w:t>
      </w:r>
      <w:r w:rsidR="00172682">
        <w:t>% are businesses with less than 50 people employed.</w:t>
      </w:r>
      <w:r w:rsidR="009452C1">
        <w:t xml:space="preserve"> Only 1% of businesses in Northern Ireland and 0.9% in the borough </w:t>
      </w:r>
      <w:r w:rsidR="002250A5">
        <w:t>have 100 or more employees</w:t>
      </w:r>
      <w:r w:rsidR="009452C1">
        <w:t xml:space="preserve">.  </w:t>
      </w:r>
    </w:p>
    <w:tbl>
      <w:tblPr>
        <w:tblW w:w="8319" w:type="dxa"/>
        <w:tblLayout w:type="fixed"/>
        <w:tblLook w:val="04A0" w:firstRow="1" w:lastRow="0" w:firstColumn="1" w:lastColumn="0" w:noHBand="0" w:noVBand="1"/>
      </w:tblPr>
      <w:tblGrid>
        <w:gridCol w:w="2263"/>
        <w:gridCol w:w="1701"/>
        <w:gridCol w:w="1327"/>
        <w:gridCol w:w="1514"/>
        <w:gridCol w:w="1514"/>
      </w:tblGrid>
      <w:tr w:rsidR="003600DF" w:rsidRPr="003600DF" w:rsidTr="003600DF">
        <w:trPr>
          <w:trHeight w:val="900"/>
        </w:trPr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600DF" w:rsidRPr="003600DF" w:rsidRDefault="003600DF" w:rsidP="003600D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3600DF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Employee Size Band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00DF" w:rsidRPr="003600DF" w:rsidRDefault="003600DF" w:rsidP="003600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3600DF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Armagh City, Banbridge and Craigavon</w:t>
            </w:r>
          </w:p>
        </w:tc>
        <w:tc>
          <w:tcPr>
            <w:tcW w:w="13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0DF" w:rsidRPr="003600DF" w:rsidRDefault="003600DF" w:rsidP="003600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3600DF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 xml:space="preserve">% </w:t>
            </w:r>
          </w:p>
        </w:tc>
        <w:tc>
          <w:tcPr>
            <w:tcW w:w="15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00DF" w:rsidRPr="003600DF" w:rsidRDefault="003600DF" w:rsidP="003600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3600DF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Northern Ireland</w:t>
            </w:r>
          </w:p>
        </w:tc>
        <w:tc>
          <w:tcPr>
            <w:tcW w:w="15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00DF" w:rsidRPr="003600DF" w:rsidRDefault="003600DF" w:rsidP="003600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3600DF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%</w:t>
            </w:r>
          </w:p>
        </w:tc>
      </w:tr>
      <w:tr w:rsidR="00ED0162" w:rsidRPr="003600DF" w:rsidTr="003600DF">
        <w:trPr>
          <w:trHeight w:val="324"/>
        </w:trPr>
        <w:tc>
          <w:tcPr>
            <w:tcW w:w="2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0162" w:rsidRPr="003600DF" w:rsidRDefault="00ED0162" w:rsidP="00ED016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3600DF">
              <w:rPr>
                <w:rFonts w:ascii="Calibri" w:eastAsia="Times New Roman" w:hAnsi="Calibri" w:cs="Calibri"/>
                <w:b/>
                <w:bCs/>
                <w:lang w:eastAsia="en-GB"/>
              </w:rPr>
              <w:t>0</w:t>
            </w:r>
            <w:r w:rsidRPr="003600DF">
              <w:rPr>
                <w:rFonts w:ascii="Calibri" w:eastAsia="Times New Roman" w:hAnsi="Calibri" w:cs="Calibri"/>
                <w:b/>
                <w:bCs/>
                <w:vertAlign w:val="superscript"/>
                <w:lang w:eastAsia="en-GB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0162" w:rsidRDefault="00ED0162" w:rsidP="002152A1">
            <w:pPr>
              <w:pStyle w:val="NoSpacing"/>
              <w:jc w:val="center"/>
            </w:pPr>
            <w:r>
              <w:t>2,870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162" w:rsidRDefault="00ED0162" w:rsidP="002152A1">
            <w:pPr>
              <w:pStyle w:val="NoSpacing"/>
              <w:jc w:val="center"/>
            </w:pPr>
            <w:r>
              <w:t>30.6%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0162" w:rsidRPr="002152A1" w:rsidRDefault="00ED0162" w:rsidP="002152A1">
            <w:pPr>
              <w:pStyle w:val="NoSpacing"/>
              <w:jc w:val="center"/>
              <w:rPr>
                <w:bCs/>
              </w:rPr>
            </w:pPr>
            <w:r w:rsidRPr="002152A1">
              <w:rPr>
                <w:bCs/>
              </w:rPr>
              <w:t>22,485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162" w:rsidRDefault="00ED0162" w:rsidP="002152A1">
            <w:pPr>
              <w:pStyle w:val="NoSpacing"/>
              <w:jc w:val="center"/>
            </w:pPr>
            <w:r>
              <w:t>28.4%</w:t>
            </w:r>
          </w:p>
        </w:tc>
      </w:tr>
      <w:tr w:rsidR="00ED0162" w:rsidRPr="003600DF" w:rsidTr="003600DF">
        <w:trPr>
          <w:trHeight w:val="288"/>
        </w:trPr>
        <w:tc>
          <w:tcPr>
            <w:tcW w:w="2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0162" w:rsidRPr="003600DF" w:rsidRDefault="00ED0162" w:rsidP="00ED016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3600DF">
              <w:rPr>
                <w:rFonts w:ascii="Calibri" w:eastAsia="Times New Roman" w:hAnsi="Calibri" w:cs="Calibri"/>
                <w:b/>
                <w:bCs/>
                <w:lang w:eastAsia="en-GB"/>
              </w:rPr>
              <w:t>1-9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0162" w:rsidRDefault="00ED0162" w:rsidP="002152A1">
            <w:pPr>
              <w:pStyle w:val="NoSpacing"/>
              <w:jc w:val="center"/>
            </w:pPr>
            <w:r>
              <w:t>5,650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162" w:rsidRDefault="00ED0162" w:rsidP="002152A1">
            <w:pPr>
              <w:pStyle w:val="NoSpacing"/>
              <w:jc w:val="center"/>
            </w:pPr>
            <w:r>
              <w:t>60.2%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0162" w:rsidRPr="002152A1" w:rsidRDefault="00ED0162" w:rsidP="002152A1">
            <w:pPr>
              <w:pStyle w:val="NoSpacing"/>
              <w:jc w:val="center"/>
              <w:rPr>
                <w:bCs/>
              </w:rPr>
            </w:pPr>
            <w:r w:rsidRPr="002152A1">
              <w:rPr>
                <w:bCs/>
              </w:rPr>
              <w:t>48,310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162" w:rsidRDefault="00ED0162" w:rsidP="002152A1">
            <w:pPr>
              <w:pStyle w:val="NoSpacing"/>
              <w:jc w:val="center"/>
            </w:pPr>
            <w:r>
              <w:t>61.0%</w:t>
            </w:r>
          </w:p>
        </w:tc>
      </w:tr>
      <w:tr w:rsidR="00ED0162" w:rsidRPr="003600DF" w:rsidTr="003600DF">
        <w:trPr>
          <w:trHeight w:val="288"/>
        </w:trPr>
        <w:tc>
          <w:tcPr>
            <w:tcW w:w="2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0162" w:rsidRPr="003600DF" w:rsidRDefault="00ED0162" w:rsidP="00ED016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3600DF">
              <w:rPr>
                <w:rFonts w:ascii="Calibri" w:eastAsia="Times New Roman" w:hAnsi="Calibri" w:cs="Calibri"/>
                <w:b/>
                <w:bCs/>
                <w:lang w:eastAsia="en-GB"/>
              </w:rPr>
              <w:t>10-19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0162" w:rsidRDefault="00ED0162" w:rsidP="002152A1">
            <w:pPr>
              <w:pStyle w:val="NoSpacing"/>
              <w:jc w:val="center"/>
            </w:pPr>
            <w:r>
              <w:t>430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162" w:rsidRDefault="00ED0162" w:rsidP="002152A1">
            <w:pPr>
              <w:pStyle w:val="NoSpacing"/>
              <w:jc w:val="center"/>
            </w:pPr>
            <w:r>
              <w:t>4.6%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0162" w:rsidRPr="002152A1" w:rsidRDefault="00ED0162" w:rsidP="002152A1">
            <w:pPr>
              <w:pStyle w:val="NoSpacing"/>
              <w:jc w:val="center"/>
              <w:rPr>
                <w:bCs/>
              </w:rPr>
            </w:pPr>
            <w:r w:rsidRPr="002152A1">
              <w:rPr>
                <w:bCs/>
              </w:rPr>
              <w:t>4,185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162" w:rsidRDefault="00ED0162" w:rsidP="002152A1">
            <w:pPr>
              <w:pStyle w:val="NoSpacing"/>
              <w:jc w:val="center"/>
            </w:pPr>
            <w:r>
              <w:t>5.3%</w:t>
            </w:r>
          </w:p>
        </w:tc>
      </w:tr>
      <w:tr w:rsidR="00ED0162" w:rsidRPr="003600DF" w:rsidTr="003600DF">
        <w:trPr>
          <w:trHeight w:val="288"/>
        </w:trPr>
        <w:tc>
          <w:tcPr>
            <w:tcW w:w="2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0162" w:rsidRPr="003600DF" w:rsidRDefault="00ED0162" w:rsidP="00ED016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3600DF">
              <w:rPr>
                <w:rFonts w:ascii="Calibri" w:eastAsia="Times New Roman" w:hAnsi="Calibri" w:cs="Calibri"/>
                <w:b/>
                <w:bCs/>
                <w:lang w:eastAsia="en-GB"/>
              </w:rPr>
              <w:t>20-49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0162" w:rsidRDefault="00ED0162" w:rsidP="002152A1">
            <w:pPr>
              <w:pStyle w:val="NoSpacing"/>
              <w:jc w:val="center"/>
            </w:pPr>
            <w:r>
              <w:t>280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162" w:rsidRDefault="00ED0162" w:rsidP="002152A1">
            <w:pPr>
              <w:pStyle w:val="NoSpacing"/>
              <w:jc w:val="center"/>
            </w:pPr>
            <w:r>
              <w:t>3.0%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0162" w:rsidRPr="002152A1" w:rsidRDefault="00ED0162" w:rsidP="002152A1">
            <w:pPr>
              <w:pStyle w:val="NoSpacing"/>
              <w:jc w:val="center"/>
              <w:rPr>
                <w:bCs/>
              </w:rPr>
            </w:pPr>
            <w:r w:rsidRPr="002152A1">
              <w:rPr>
                <w:bCs/>
              </w:rPr>
              <w:t>2,600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162" w:rsidRDefault="00ED0162" w:rsidP="002152A1">
            <w:pPr>
              <w:pStyle w:val="NoSpacing"/>
              <w:jc w:val="center"/>
            </w:pPr>
            <w:r>
              <w:t>3.3%</w:t>
            </w:r>
          </w:p>
        </w:tc>
      </w:tr>
      <w:tr w:rsidR="00ED0162" w:rsidRPr="003600DF" w:rsidTr="003600DF">
        <w:trPr>
          <w:trHeight w:val="288"/>
        </w:trPr>
        <w:tc>
          <w:tcPr>
            <w:tcW w:w="2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0162" w:rsidRPr="003600DF" w:rsidRDefault="00ED0162" w:rsidP="00ED016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3600DF">
              <w:rPr>
                <w:rFonts w:ascii="Calibri" w:eastAsia="Times New Roman" w:hAnsi="Calibri" w:cs="Calibri"/>
                <w:b/>
                <w:bCs/>
                <w:lang w:eastAsia="en-GB"/>
              </w:rPr>
              <w:t>50-99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0162" w:rsidRDefault="00ED0162" w:rsidP="002152A1">
            <w:pPr>
              <w:pStyle w:val="NoSpacing"/>
              <w:jc w:val="center"/>
            </w:pPr>
            <w:r>
              <w:t>80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162" w:rsidRDefault="00ED0162" w:rsidP="002152A1">
            <w:pPr>
              <w:pStyle w:val="NoSpacing"/>
              <w:jc w:val="center"/>
            </w:pPr>
            <w:r>
              <w:t>0.9%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0162" w:rsidRPr="002152A1" w:rsidRDefault="00ED0162" w:rsidP="002152A1">
            <w:pPr>
              <w:pStyle w:val="NoSpacing"/>
              <w:jc w:val="center"/>
              <w:rPr>
                <w:bCs/>
              </w:rPr>
            </w:pPr>
            <w:r w:rsidRPr="002152A1">
              <w:rPr>
                <w:bCs/>
              </w:rPr>
              <w:t>825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162" w:rsidRDefault="00ED0162" w:rsidP="002152A1">
            <w:pPr>
              <w:pStyle w:val="NoSpacing"/>
              <w:jc w:val="center"/>
            </w:pPr>
            <w:r>
              <w:t>1.0%</w:t>
            </w:r>
          </w:p>
        </w:tc>
      </w:tr>
      <w:tr w:rsidR="00ED0162" w:rsidRPr="003600DF" w:rsidTr="003600DF">
        <w:trPr>
          <w:trHeight w:val="288"/>
        </w:trPr>
        <w:tc>
          <w:tcPr>
            <w:tcW w:w="2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0162" w:rsidRPr="003600DF" w:rsidRDefault="00ED0162" w:rsidP="00ED016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3600DF">
              <w:rPr>
                <w:rFonts w:ascii="Calibri" w:eastAsia="Times New Roman" w:hAnsi="Calibri" w:cs="Calibri"/>
                <w:b/>
                <w:bCs/>
                <w:lang w:eastAsia="en-GB"/>
              </w:rPr>
              <w:t>100-199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0162" w:rsidRDefault="00ED0162" w:rsidP="002152A1">
            <w:pPr>
              <w:pStyle w:val="NoSpacing"/>
              <w:jc w:val="center"/>
            </w:pPr>
            <w:r>
              <w:t>45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162" w:rsidRDefault="00ED0162" w:rsidP="002152A1">
            <w:pPr>
              <w:pStyle w:val="NoSpacing"/>
              <w:jc w:val="center"/>
            </w:pPr>
            <w:r>
              <w:t>0.5%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0162" w:rsidRPr="002152A1" w:rsidRDefault="00ED0162" w:rsidP="002152A1">
            <w:pPr>
              <w:pStyle w:val="NoSpacing"/>
              <w:jc w:val="center"/>
              <w:rPr>
                <w:bCs/>
              </w:rPr>
            </w:pPr>
            <w:r w:rsidRPr="002152A1">
              <w:rPr>
                <w:bCs/>
              </w:rPr>
              <w:t>415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162" w:rsidRDefault="00ED0162" w:rsidP="002152A1">
            <w:pPr>
              <w:pStyle w:val="NoSpacing"/>
              <w:jc w:val="center"/>
            </w:pPr>
            <w:r>
              <w:t>0.5%</w:t>
            </w:r>
          </w:p>
        </w:tc>
      </w:tr>
      <w:tr w:rsidR="00ED0162" w:rsidRPr="003600DF" w:rsidTr="003600DF">
        <w:trPr>
          <w:trHeight w:val="288"/>
        </w:trPr>
        <w:tc>
          <w:tcPr>
            <w:tcW w:w="2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0162" w:rsidRPr="003600DF" w:rsidRDefault="00ED0162" w:rsidP="00ED016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3600DF">
              <w:rPr>
                <w:rFonts w:ascii="Calibri" w:eastAsia="Times New Roman" w:hAnsi="Calibri" w:cs="Calibri"/>
                <w:b/>
                <w:bCs/>
                <w:lang w:eastAsia="en-GB"/>
              </w:rPr>
              <w:t>200-249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0162" w:rsidRDefault="00ED0162" w:rsidP="002152A1">
            <w:pPr>
              <w:pStyle w:val="NoSpacing"/>
              <w:jc w:val="center"/>
            </w:pPr>
            <w:r>
              <w:t>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162" w:rsidRDefault="00ED0162" w:rsidP="002152A1">
            <w:pPr>
              <w:pStyle w:val="NoSpacing"/>
              <w:jc w:val="center"/>
            </w:pPr>
            <w:r>
              <w:t>0.1%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0162" w:rsidRPr="002152A1" w:rsidRDefault="00ED0162" w:rsidP="002152A1">
            <w:pPr>
              <w:pStyle w:val="NoSpacing"/>
              <w:jc w:val="center"/>
              <w:rPr>
                <w:bCs/>
              </w:rPr>
            </w:pPr>
            <w:r w:rsidRPr="002152A1">
              <w:rPr>
                <w:bCs/>
              </w:rPr>
              <w:t>80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162" w:rsidRDefault="00ED0162" w:rsidP="002152A1">
            <w:pPr>
              <w:pStyle w:val="NoSpacing"/>
              <w:jc w:val="center"/>
            </w:pPr>
            <w:r>
              <w:t>0.1%</w:t>
            </w:r>
          </w:p>
        </w:tc>
      </w:tr>
      <w:tr w:rsidR="00ED0162" w:rsidRPr="003600DF" w:rsidTr="003600DF">
        <w:trPr>
          <w:trHeight w:val="288"/>
        </w:trPr>
        <w:tc>
          <w:tcPr>
            <w:tcW w:w="2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0162" w:rsidRPr="003600DF" w:rsidRDefault="00ED0162" w:rsidP="00ED016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3600DF">
              <w:rPr>
                <w:rFonts w:ascii="Calibri" w:eastAsia="Times New Roman" w:hAnsi="Calibri" w:cs="Calibri"/>
                <w:b/>
                <w:bCs/>
                <w:lang w:eastAsia="en-GB"/>
              </w:rPr>
              <w:t>250+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0162" w:rsidRDefault="00ED0162" w:rsidP="002152A1">
            <w:pPr>
              <w:pStyle w:val="NoSpacing"/>
              <w:jc w:val="center"/>
            </w:pPr>
            <w:r>
              <w:t>30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162" w:rsidRDefault="00ED0162" w:rsidP="002152A1">
            <w:pPr>
              <w:pStyle w:val="NoSpacing"/>
              <w:jc w:val="center"/>
            </w:pPr>
            <w:r>
              <w:t>0.3%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0162" w:rsidRPr="002152A1" w:rsidRDefault="00ED0162" w:rsidP="002152A1">
            <w:pPr>
              <w:pStyle w:val="NoSpacing"/>
              <w:jc w:val="center"/>
              <w:rPr>
                <w:bCs/>
              </w:rPr>
            </w:pPr>
            <w:r w:rsidRPr="002152A1">
              <w:rPr>
                <w:bCs/>
              </w:rPr>
              <w:t>335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162" w:rsidRDefault="00ED0162" w:rsidP="002152A1">
            <w:pPr>
              <w:pStyle w:val="NoSpacing"/>
              <w:jc w:val="center"/>
            </w:pPr>
            <w:r>
              <w:t>0.4%</w:t>
            </w:r>
          </w:p>
        </w:tc>
      </w:tr>
      <w:tr w:rsidR="00ED0162" w:rsidRPr="003600DF" w:rsidTr="003600DF">
        <w:trPr>
          <w:trHeight w:val="288"/>
        </w:trPr>
        <w:tc>
          <w:tcPr>
            <w:tcW w:w="2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0162" w:rsidRPr="003600DF" w:rsidRDefault="00ED0162" w:rsidP="00ED016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3600DF">
              <w:rPr>
                <w:rFonts w:ascii="Calibri" w:eastAsia="Times New Roman" w:hAnsi="Calibri" w:cs="Calibri"/>
                <w:b/>
                <w:bCs/>
                <w:lang w:eastAsia="en-GB"/>
              </w:rPr>
              <w:t>Total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0162" w:rsidRDefault="00ED0162" w:rsidP="002152A1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9,390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162" w:rsidRDefault="00ED0162" w:rsidP="002152A1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100.0%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0162" w:rsidRDefault="00ED0162" w:rsidP="002152A1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79,235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162" w:rsidRDefault="00ED0162" w:rsidP="002152A1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100.0%</w:t>
            </w:r>
          </w:p>
        </w:tc>
      </w:tr>
    </w:tbl>
    <w:p w:rsidR="001D0E0B" w:rsidRDefault="0020269F" w:rsidP="008F46C0">
      <w:pPr>
        <w:rPr>
          <w:i/>
          <w:sz w:val="20"/>
          <w:szCs w:val="20"/>
        </w:rPr>
      </w:pPr>
      <w:r>
        <w:rPr>
          <w:i/>
          <w:sz w:val="20"/>
          <w:szCs w:val="20"/>
        </w:rPr>
        <w:t>Table 4:</w:t>
      </w:r>
      <w:r w:rsidR="00172682">
        <w:rPr>
          <w:i/>
          <w:sz w:val="20"/>
          <w:szCs w:val="20"/>
        </w:rPr>
        <w:t xml:space="preserve"> Employee size band of VAT and/or PAYE registered businesses operating in Armagh City, Banbridge and Craigavon Boro</w:t>
      </w:r>
      <w:r w:rsidR="004532C6">
        <w:rPr>
          <w:i/>
          <w:sz w:val="20"/>
          <w:szCs w:val="20"/>
        </w:rPr>
        <w:t xml:space="preserve">ugh and Northern Ireland in </w:t>
      </w:r>
      <w:r w:rsidR="002152A1">
        <w:rPr>
          <w:i/>
          <w:sz w:val="20"/>
          <w:szCs w:val="20"/>
        </w:rPr>
        <w:t>2023.</w:t>
      </w:r>
      <w:r w:rsidR="00172682" w:rsidRPr="002A2185">
        <w:rPr>
          <w:i/>
          <w:sz w:val="20"/>
          <w:szCs w:val="20"/>
        </w:rPr>
        <w:t xml:space="preserve"> Source:</w:t>
      </w:r>
      <w:r w:rsidR="00172682">
        <w:rPr>
          <w:i/>
          <w:sz w:val="20"/>
          <w:szCs w:val="20"/>
        </w:rPr>
        <w:t xml:space="preserve"> Inter-Departmental Business Register, NISRA</w:t>
      </w:r>
      <w:r w:rsidR="00172682" w:rsidRPr="002A2185">
        <w:rPr>
          <w:i/>
          <w:sz w:val="20"/>
          <w:szCs w:val="20"/>
        </w:rPr>
        <w:t>.</w:t>
      </w:r>
      <w:r w:rsidR="00172682">
        <w:rPr>
          <w:i/>
          <w:sz w:val="20"/>
          <w:szCs w:val="20"/>
        </w:rPr>
        <w:t xml:space="preserve"> Please note figures have been rounded to the nearest five and therefore may not sum to totals.                      </w:t>
      </w:r>
      <w:r w:rsidR="00172682" w:rsidRPr="00172682">
        <w:rPr>
          <w:i/>
          <w:sz w:val="20"/>
          <w:szCs w:val="20"/>
          <w:vertAlign w:val="superscript"/>
        </w:rPr>
        <w:t>1</w:t>
      </w:r>
      <w:r w:rsidR="00172682">
        <w:rPr>
          <w:i/>
          <w:sz w:val="20"/>
          <w:szCs w:val="20"/>
        </w:rPr>
        <w:t xml:space="preserve">This </w:t>
      </w:r>
      <w:proofErr w:type="spellStart"/>
      <w:r w:rsidR="00172682">
        <w:rPr>
          <w:i/>
          <w:sz w:val="20"/>
          <w:szCs w:val="20"/>
        </w:rPr>
        <w:t>sizeband</w:t>
      </w:r>
      <w:proofErr w:type="spellEnd"/>
      <w:r w:rsidR="00172682">
        <w:rPr>
          <w:i/>
          <w:sz w:val="20"/>
          <w:szCs w:val="20"/>
        </w:rPr>
        <w:t xml:space="preserve"> includes holding companies and those companies that are not yet trading, for example, if a factory is under construction.</w:t>
      </w:r>
      <w:bookmarkStart w:id="0" w:name="_GoBack"/>
      <w:bookmarkEnd w:id="0"/>
    </w:p>
    <w:p w:rsidR="00D166B9" w:rsidRPr="007D5431" w:rsidRDefault="002152A1" w:rsidP="00172682">
      <w:pPr>
        <w:rPr>
          <w:i/>
          <w:sz w:val="20"/>
          <w:szCs w:val="20"/>
        </w:rPr>
      </w:pPr>
      <w:r>
        <w:rPr>
          <w:noProof/>
          <w:lang w:eastAsia="en-GB"/>
        </w:rPr>
        <w:drawing>
          <wp:inline distT="0" distB="0" distL="0" distR="0" wp14:anchorId="347C7B1D" wp14:editId="709998AA">
            <wp:extent cx="5731510" cy="2588895"/>
            <wp:effectExtent l="0" t="0" r="2540" b="1905"/>
            <wp:docPr id="11" name="Chart 1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  <w:r w:rsidR="0020269F">
        <w:rPr>
          <w:i/>
          <w:sz w:val="20"/>
          <w:szCs w:val="20"/>
        </w:rPr>
        <w:t xml:space="preserve">Figure 4: </w:t>
      </w:r>
      <w:r w:rsidR="00172682">
        <w:rPr>
          <w:i/>
          <w:sz w:val="20"/>
          <w:szCs w:val="20"/>
        </w:rPr>
        <w:t>Employee size band of VAT and/or PAYE registered businesses operating in Armagh City, Banbridge and Craigavon Borough and</w:t>
      </w:r>
      <w:r w:rsidR="00E36C92">
        <w:rPr>
          <w:i/>
          <w:sz w:val="20"/>
          <w:szCs w:val="20"/>
        </w:rPr>
        <w:t xml:space="preserve"> Northern Ireland in 202</w:t>
      </w:r>
      <w:r>
        <w:rPr>
          <w:i/>
          <w:sz w:val="20"/>
          <w:szCs w:val="20"/>
        </w:rPr>
        <w:t>3</w:t>
      </w:r>
      <w:r w:rsidR="00172682" w:rsidRPr="002A2185">
        <w:rPr>
          <w:i/>
          <w:sz w:val="20"/>
          <w:szCs w:val="20"/>
        </w:rPr>
        <w:t>. Source:</w:t>
      </w:r>
      <w:r w:rsidR="00172682">
        <w:rPr>
          <w:i/>
          <w:sz w:val="20"/>
          <w:szCs w:val="20"/>
        </w:rPr>
        <w:t xml:space="preserve"> Inter-Departmental Business Register, NISRA</w:t>
      </w:r>
      <w:r w:rsidR="00172682" w:rsidRPr="002A2185">
        <w:rPr>
          <w:i/>
          <w:sz w:val="20"/>
          <w:szCs w:val="20"/>
        </w:rPr>
        <w:t>.</w:t>
      </w:r>
      <w:r w:rsidR="00172682">
        <w:rPr>
          <w:i/>
          <w:sz w:val="20"/>
          <w:szCs w:val="20"/>
        </w:rPr>
        <w:t xml:space="preserve"> Please note the zero </w:t>
      </w:r>
      <w:proofErr w:type="spellStart"/>
      <w:r w:rsidR="00172682">
        <w:rPr>
          <w:i/>
          <w:sz w:val="20"/>
          <w:szCs w:val="20"/>
        </w:rPr>
        <w:t>sizeband</w:t>
      </w:r>
      <w:proofErr w:type="spellEnd"/>
      <w:r w:rsidR="00172682">
        <w:rPr>
          <w:i/>
          <w:sz w:val="20"/>
          <w:szCs w:val="20"/>
        </w:rPr>
        <w:t xml:space="preserve"> includes holding companies and those companies that are not yet trading, for example, if a factory is under construction.</w:t>
      </w:r>
    </w:p>
    <w:p w:rsidR="007D5431" w:rsidRDefault="007D5431" w:rsidP="00172682"/>
    <w:p w:rsidR="00633890" w:rsidRDefault="00633890" w:rsidP="00172682"/>
    <w:p w:rsidR="00633890" w:rsidRDefault="00633890" w:rsidP="00172682"/>
    <w:p w:rsidR="00633890" w:rsidRDefault="00633890" w:rsidP="00172682"/>
    <w:p w:rsidR="00D166B9" w:rsidRPr="0003388E" w:rsidRDefault="0020269F" w:rsidP="00172682">
      <w:r w:rsidRPr="0003388E">
        <w:lastRenderedPageBreak/>
        <w:t>The turnover profile</w:t>
      </w:r>
      <w:r w:rsidR="0000373E" w:rsidRPr="0003388E">
        <w:t xml:space="preserve"> for </w:t>
      </w:r>
      <w:r w:rsidRPr="0003388E">
        <w:t xml:space="preserve">VAT and/or PAYE registered businesses in </w:t>
      </w:r>
      <w:r w:rsidR="0000373E" w:rsidRPr="0003388E">
        <w:t xml:space="preserve">Armagh City, Banbridge and Craigavon </w:t>
      </w:r>
      <w:r w:rsidR="00E36C92" w:rsidRPr="0003388E">
        <w:t>Borough in 202</w:t>
      </w:r>
      <w:r w:rsidR="005A44F6">
        <w:t>3</w:t>
      </w:r>
      <w:r w:rsidRPr="0003388E">
        <w:t xml:space="preserve"> is</w:t>
      </w:r>
      <w:r w:rsidR="0000373E" w:rsidRPr="0003388E">
        <w:t xml:space="preserve"> also broadly similar</w:t>
      </w:r>
      <w:r w:rsidR="000050A3" w:rsidRPr="0003388E">
        <w:t xml:space="preserve"> to that of Northern Ireland</w:t>
      </w:r>
      <w:r w:rsidR="00E36C92" w:rsidRPr="0003388E">
        <w:t xml:space="preserve">. </w:t>
      </w:r>
      <w:r w:rsidR="005A44F6">
        <w:t>80.7</w:t>
      </w:r>
      <w:r w:rsidR="0000373E" w:rsidRPr="0003388E">
        <w:t xml:space="preserve">% of VAT and/or PAYE registered businesses in the borough have a turnover of less than </w:t>
      </w:r>
      <w:r w:rsidR="000050A3" w:rsidRPr="0003388E">
        <w:t>£500,000 compar</w:t>
      </w:r>
      <w:r w:rsidR="0003388E" w:rsidRPr="0003388E">
        <w:t xml:space="preserve">ed to </w:t>
      </w:r>
      <w:r w:rsidR="005A44F6">
        <w:t>80</w:t>
      </w:r>
      <w:r w:rsidR="000050A3" w:rsidRPr="0003388E">
        <w:t>% for Northern Ireland overall.</w:t>
      </w:r>
      <w:r w:rsidR="005A44F6">
        <w:t xml:space="preserve"> More than</w:t>
      </w:r>
      <w:r w:rsidR="00565199" w:rsidRPr="0003388E">
        <w:t xml:space="preserve"> one in ten </w:t>
      </w:r>
      <w:r w:rsidR="005A44F6">
        <w:t xml:space="preserve">(11.2%) </w:t>
      </w:r>
      <w:r w:rsidR="00565199" w:rsidRPr="0003388E">
        <w:t xml:space="preserve">businesses in </w:t>
      </w:r>
      <w:r w:rsidR="000050A3" w:rsidRPr="0003388E">
        <w:t>the borough have a turnover of £1,000,000 or more.</w:t>
      </w:r>
      <w:r w:rsidR="00BB7709" w:rsidRPr="0003388E">
        <w:t xml:space="preserve"> </w:t>
      </w:r>
      <w:r w:rsidR="00565199" w:rsidRPr="0003388E">
        <w:t>The percentage is just slightly higher for</w:t>
      </w:r>
      <w:r w:rsidR="00BB7709" w:rsidRPr="0003388E">
        <w:t xml:space="preserve"> Northern Ireland</w:t>
      </w:r>
      <w:r w:rsidR="00565199" w:rsidRPr="0003388E">
        <w:t xml:space="preserve"> at </w:t>
      </w:r>
      <w:r w:rsidR="005A44F6">
        <w:t>11.8</w:t>
      </w:r>
      <w:r w:rsidR="00565199" w:rsidRPr="0003388E">
        <w:t xml:space="preserve">%. </w:t>
      </w:r>
    </w:p>
    <w:tbl>
      <w:tblPr>
        <w:tblStyle w:val="GridTable1Light"/>
        <w:tblW w:w="9351" w:type="dxa"/>
        <w:tblLayout w:type="fixed"/>
        <w:tblLook w:val="04A0" w:firstRow="1" w:lastRow="0" w:firstColumn="1" w:lastColumn="0" w:noHBand="0" w:noVBand="1"/>
        <w:tblCaption w:val="Turnover size band of VAT and/or PAYE registered businesses operating in Armagh City, Banbridge and Craigavon Borough and Northern Ireland in 2022."/>
      </w:tblPr>
      <w:tblGrid>
        <w:gridCol w:w="2091"/>
        <w:gridCol w:w="2440"/>
        <w:gridCol w:w="1190"/>
        <w:gridCol w:w="2354"/>
        <w:gridCol w:w="1276"/>
      </w:tblGrid>
      <w:tr w:rsidR="0003388E" w:rsidRPr="0003388E" w:rsidTr="0003388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82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1" w:type="dxa"/>
            <w:hideMark/>
          </w:tcPr>
          <w:p w:rsidR="0003388E" w:rsidRPr="0003388E" w:rsidRDefault="0003388E" w:rsidP="0003388E">
            <w:pPr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03388E">
              <w:rPr>
                <w:rFonts w:ascii="Calibri" w:eastAsia="Times New Roman" w:hAnsi="Calibri" w:cs="Calibri"/>
                <w:color w:val="000000"/>
                <w:lang w:eastAsia="en-GB"/>
              </w:rPr>
              <w:t>Turnover Size Band  (£ thousand)</w:t>
            </w:r>
          </w:p>
        </w:tc>
        <w:tc>
          <w:tcPr>
            <w:tcW w:w="2440" w:type="dxa"/>
            <w:hideMark/>
          </w:tcPr>
          <w:p w:rsidR="0003388E" w:rsidRPr="0003388E" w:rsidRDefault="0003388E" w:rsidP="0003388E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03388E">
              <w:rPr>
                <w:rFonts w:ascii="Calibri" w:eastAsia="Times New Roman" w:hAnsi="Calibri" w:cs="Calibri"/>
                <w:color w:val="000000"/>
                <w:lang w:eastAsia="en-GB"/>
              </w:rPr>
              <w:t>Armagh City, Banbridge and Craigavon</w:t>
            </w:r>
          </w:p>
        </w:tc>
        <w:tc>
          <w:tcPr>
            <w:tcW w:w="1190" w:type="dxa"/>
            <w:noWrap/>
            <w:hideMark/>
          </w:tcPr>
          <w:p w:rsidR="0003388E" w:rsidRPr="0003388E" w:rsidRDefault="0003388E" w:rsidP="0003388E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03388E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% </w:t>
            </w:r>
          </w:p>
        </w:tc>
        <w:tc>
          <w:tcPr>
            <w:tcW w:w="2354" w:type="dxa"/>
            <w:hideMark/>
          </w:tcPr>
          <w:p w:rsidR="0003388E" w:rsidRPr="0003388E" w:rsidRDefault="0003388E" w:rsidP="0003388E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03388E">
              <w:rPr>
                <w:rFonts w:ascii="Calibri" w:eastAsia="Times New Roman" w:hAnsi="Calibri" w:cs="Calibri"/>
                <w:color w:val="000000"/>
                <w:lang w:eastAsia="en-GB"/>
              </w:rPr>
              <w:t>Northern Ireland</w:t>
            </w:r>
          </w:p>
        </w:tc>
        <w:tc>
          <w:tcPr>
            <w:tcW w:w="1276" w:type="dxa"/>
            <w:hideMark/>
          </w:tcPr>
          <w:p w:rsidR="0003388E" w:rsidRPr="0003388E" w:rsidRDefault="0003388E" w:rsidP="0003388E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03388E">
              <w:rPr>
                <w:rFonts w:ascii="Calibri" w:eastAsia="Times New Roman" w:hAnsi="Calibri" w:cs="Calibri"/>
                <w:color w:val="000000"/>
                <w:lang w:eastAsia="en-GB"/>
              </w:rPr>
              <w:t>%</w:t>
            </w:r>
          </w:p>
        </w:tc>
      </w:tr>
      <w:tr w:rsidR="005A44F6" w:rsidRPr="0003388E" w:rsidTr="001058CB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1" w:type="dxa"/>
            <w:hideMark/>
          </w:tcPr>
          <w:p w:rsidR="005A44F6" w:rsidRPr="0003388E" w:rsidRDefault="005A44F6" w:rsidP="005A44F6">
            <w:pPr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n-GB"/>
              </w:rPr>
            </w:pPr>
            <w:r w:rsidRPr="0003388E">
              <w:rPr>
                <w:rFonts w:ascii="Arial" w:eastAsia="Times New Roman" w:hAnsi="Arial" w:cs="Arial"/>
                <w:color w:val="000000"/>
                <w:sz w:val="18"/>
                <w:szCs w:val="18"/>
                <w:lang w:eastAsia="en-GB"/>
              </w:rPr>
              <w:t>0-49</w:t>
            </w:r>
          </w:p>
        </w:tc>
        <w:tc>
          <w:tcPr>
            <w:tcW w:w="2440" w:type="dxa"/>
            <w:noWrap/>
            <w:vAlign w:val="bottom"/>
            <w:hideMark/>
          </w:tcPr>
          <w:p w:rsidR="005A44F6" w:rsidRDefault="005A44F6" w:rsidP="005A44F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2,375</w:t>
            </w:r>
          </w:p>
        </w:tc>
        <w:tc>
          <w:tcPr>
            <w:tcW w:w="1190" w:type="dxa"/>
            <w:noWrap/>
            <w:vAlign w:val="center"/>
            <w:hideMark/>
          </w:tcPr>
          <w:p w:rsidR="005A44F6" w:rsidRDefault="005A44F6" w:rsidP="005A44F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25.3%</w:t>
            </w:r>
          </w:p>
        </w:tc>
        <w:tc>
          <w:tcPr>
            <w:tcW w:w="2354" w:type="dxa"/>
            <w:noWrap/>
            <w:vAlign w:val="bottom"/>
            <w:hideMark/>
          </w:tcPr>
          <w:p w:rsidR="005A44F6" w:rsidRDefault="005A44F6" w:rsidP="005A44F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19,955</w:t>
            </w:r>
          </w:p>
        </w:tc>
        <w:tc>
          <w:tcPr>
            <w:tcW w:w="1276" w:type="dxa"/>
            <w:noWrap/>
            <w:vAlign w:val="center"/>
            <w:hideMark/>
          </w:tcPr>
          <w:p w:rsidR="005A44F6" w:rsidRDefault="005A44F6" w:rsidP="005A44F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25.2%</w:t>
            </w:r>
          </w:p>
        </w:tc>
      </w:tr>
      <w:tr w:rsidR="005A44F6" w:rsidRPr="0003388E" w:rsidTr="001058CB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1" w:type="dxa"/>
            <w:hideMark/>
          </w:tcPr>
          <w:p w:rsidR="005A44F6" w:rsidRPr="0003388E" w:rsidRDefault="005A44F6" w:rsidP="005A44F6">
            <w:pPr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n-GB"/>
              </w:rPr>
            </w:pPr>
            <w:r w:rsidRPr="0003388E">
              <w:rPr>
                <w:rFonts w:ascii="Arial" w:eastAsia="Times New Roman" w:hAnsi="Arial" w:cs="Arial"/>
                <w:color w:val="000000"/>
                <w:sz w:val="18"/>
                <w:szCs w:val="18"/>
                <w:lang w:eastAsia="en-GB"/>
              </w:rPr>
              <w:t>50-99</w:t>
            </w:r>
          </w:p>
        </w:tc>
        <w:tc>
          <w:tcPr>
            <w:tcW w:w="2440" w:type="dxa"/>
            <w:noWrap/>
            <w:vAlign w:val="bottom"/>
            <w:hideMark/>
          </w:tcPr>
          <w:p w:rsidR="005A44F6" w:rsidRDefault="005A44F6" w:rsidP="005A44F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1,695</w:t>
            </w:r>
          </w:p>
        </w:tc>
        <w:tc>
          <w:tcPr>
            <w:tcW w:w="1190" w:type="dxa"/>
            <w:noWrap/>
            <w:vAlign w:val="center"/>
            <w:hideMark/>
          </w:tcPr>
          <w:p w:rsidR="005A44F6" w:rsidRDefault="005A44F6" w:rsidP="005A44F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18.1%</w:t>
            </w:r>
          </w:p>
        </w:tc>
        <w:tc>
          <w:tcPr>
            <w:tcW w:w="2354" w:type="dxa"/>
            <w:noWrap/>
            <w:vAlign w:val="bottom"/>
            <w:hideMark/>
          </w:tcPr>
          <w:p w:rsidR="005A44F6" w:rsidRDefault="005A44F6" w:rsidP="005A44F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13,690</w:t>
            </w:r>
          </w:p>
        </w:tc>
        <w:tc>
          <w:tcPr>
            <w:tcW w:w="1276" w:type="dxa"/>
            <w:noWrap/>
            <w:vAlign w:val="center"/>
            <w:hideMark/>
          </w:tcPr>
          <w:p w:rsidR="005A44F6" w:rsidRDefault="005A44F6" w:rsidP="005A44F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17.3%</w:t>
            </w:r>
          </w:p>
        </w:tc>
      </w:tr>
      <w:tr w:rsidR="005A44F6" w:rsidRPr="0003388E" w:rsidTr="001058CB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1" w:type="dxa"/>
            <w:hideMark/>
          </w:tcPr>
          <w:p w:rsidR="005A44F6" w:rsidRPr="0003388E" w:rsidRDefault="005A44F6" w:rsidP="005A44F6">
            <w:pPr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n-GB"/>
              </w:rPr>
            </w:pPr>
            <w:r w:rsidRPr="0003388E">
              <w:rPr>
                <w:rFonts w:ascii="Arial" w:eastAsia="Times New Roman" w:hAnsi="Arial" w:cs="Arial"/>
                <w:color w:val="000000"/>
                <w:sz w:val="18"/>
                <w:szCs w:val="18"/>
                <w:lang w:eastAsia="en-GB"/>
              </w:rPr>
              <w:t>100-249</w:t>
            </w:r>
          </w:p>
        </w:tc>
        <w:tc>
          <w:tcPr>
            <w:tcW w:w="2440" w:type="dxa"/>
            <w:noWrap/>
            <w:vAlign w:val="bottom"/>
            <w:hideMark/>
          </w:tcPr>
          <w:p w:rsidR="005A44F6" w:rsidRDefault="005A44F6" w:rsidP="005A44F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2,295</w:t>
            </w:r>
          </w:p>
        </w:tc>
        <w:tc>
          <w:tcPr>
            <w:tcW w:w="1190" w:type="dxa"/>
            <w:noWrap/>
            <w:vAlign w:val="center"/>
            <w:hideMark/>
          </w:tcPr>
          <w:p w:rsidR="005A44F6" w:rsidRDefault="005A44F6" w:rsidP="005A44F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24.4%</w:t>
            </w:r>
          </w:p>
        </w:tc>
        <w:tc>
          <w:tcPr>
            <w:tcW w:w="2354" w:type="dxa"/>
            <w:noWrap/>
            <w:vAlign w:val="bottom"/>
            <w:hideMark/>
          </w:tcPr>
          <w:p w:rsidR="005A44F6" w:rsidRDefault="005A44F6" w:rsidP="005A44F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19,905</w:t>
            </w:r>
          </w:p>
        </w:tc>
        <w:tc>
          <w:tcPr>
            <w:tcW w:w="1276" w:type="dxa"/>
            <w:noWrap/>
            <w:vAlign w:val="center"/>
            <w:hideMark/>
          </w:tcPr>
          <w:p w:rsidR="005A44F6" w:rsidRDefault="005A44F6" w:rsidP="005A44F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25.1%</w:t>
            </w:r>
          </w:p>
        </w:tc>
      </w:tr>
      <w:tr w:rsidR="005A44F6" w:rsidRPr="0003388E" w:rsidTr="001058CB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1" w:type="dxa"/>
            <w:hideMark/>
          </w:tcPr>
          <w:p w:rsidR="005A44F6" w:rsidRPr="0003388E" w:rsidRDefault="005A44F6" w:rsidP="005A44F6">
            <w:pPr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n-GB"/>
              </w:rPr>
            </w:pPr>
            <w:r w:rsidRPr="0003388E">
              <w:rPr>
                <w:rFonts w:ascii="Arial" w:eastAsia="Times New Roman" w:hAnsi="Arial" w:cs="Arial"/>
                <w:color w:val="000000"/>
                <w:sz w:val="18"/>
                <w:szCs w:val="18"/>
                <w:lang w:eastAsia="en-GB"/>
              </w:rPr>
              <w:t>250-499</w:t>
            </w:r>
          </w:p>
        </w:tc>
        <w:tc>
          <w:tcPr>
            <w:tcW w:w="2440" w:type="dxa"/>
            <w:noWrap/>
            <w:vAlign w:val="bottom"/>
            <w:hideMark/>
          </w:tcPr>
          <w:p w:rsidR="005A44F6" w:rsidRDefault="005A44F6" w:rsidP="005A44F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1,210</w:t>
            </w:r>
          </w:p>
        </w:tc>
        <w:tc>
          <w:tcPr>
            <w:tcW w:w="1190" w:type="dxa"/>
            <w:noWrap/>
            <w:vAlign w:val="center"/>
            <w:hideMark/>
          </w:tcPr>
          <w:p w:rsidR="005A44F6" w:rsidRDefault="005A44F6" w:rsidP="005A44F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12.9%</w:t>
            </w:r>
          </w:p>
        </w:tc>
        <w:tc>
          <w:tcPr>
            <w:tcW w:w="2354" w:type="dxa"/>
            <w:noWrap/>
            <w:vAlign w:val="bottom"/>
            <w:hideMark/>
          </w:tcPr>
          <w:p w:rsidR="005A44F6" w:rsidRDefault="005A44F6" w:rsidP="005A44F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9,855</w:t>
            </w:r>
          </w:p>
        </w:tc>
        <w:tc>
          <w:tcPr>
            <w:tcW w:w="1276" w:type="dxa"/>
            <w:noWrap/>
            <w:vAlign w:val="center"/>
            <w:hideMark/>
          </w:tcPr>
          <w:p w:rsidR="005A44F6" w:rsidRDefault="005A44F6" w:rsidP="005A44F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12.4%</w:t>
            </w:r>
          </w:p>
        </w:tc>
      </w:tr>
      <w:tr w:rsidR="005A44F6" w:rsidRPr="0003388E" w:rsidTr="001058CB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1" w:type="dxa"/>
            <w:hideMark/>
          </w:tcPr>
          <w:p w:rsidR="005A44F6" w:rsidRPr="0003388E" w:rsidRDefault="005A44F6" w:rsidP="005A44F6">
            <w:pPr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n-GB"/>
              </w:rPr>
            </w:pPr>
            <w:r w:rsidRPr="0003388E">
              <w:rPr>
                <w:rFonts w:ascii="Arial" w:eastAsia="Times New Roman" w:hAnsi="Arial" w:cs="Arial"/>
                <w:color w:val="000000"/>
                <w:sz w:val="18"/>
                <w:szCs w:val="18"/>
                <w:lang w:eastAsia="en-GB"/>
              </w:rPr>
              <w:t>500-999</w:t>
            </w:r>
          </w:p>
        </w:tc>
        <w:tc>
          <w:tcPr>
            <w:tcW w:w="2440" w:type="dxa"/>
            <w:noWrap/>
            <w:vAlign w:val="bottom"/>
            <w:hideMark/>
          </w:tcPr>
          <w:p w:rsidR="005A44F6" w:rsidRDefault="005A44F6" w:rsidP="005A44F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770</w:t>
            </w:r>
          </w:p>
        </w:tc>
        <w:tc>
          <w:tcPr>
            <w:tcW w:w="1190" w:type="dxa"/>
            <w:noWrap/>
            <w:vAlign w:val="center"/>
            <w:hideMark/>
          </w:tcPr>
          <w:p w:rsidR="005A44F6" w:rsidRDefault="005A44F6" w:rsidP="005A44F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8.2%</w:t>
            </w:r>
          </w:p>
        </w:tc>
        <w:tc>
          <w:tcPr>
            <w:tcW w:w="2354" w:type="dxa"/>
            <w:noWrap/>
            <w:vAlign w:val="bottom"/>
            <w:hideMark/>
          </w:tcPr>
          <w:p w:rsidR="005A44F6" w:rsidRDefault="005A44F6" w:rsidP="005A44F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6,515</w:t>
            </w:r>
          </w:p>
        </w:tc>
        <w:tc>
          <w:tcPr>
            <w:tcW w:w="1276" w:type="dxa"/>
            <w:noWrap/>
            <w:vAlign w:val="center"/>
            <w:hideMark/>
          </w:tcPr>
          <w:p w:rsidR="005A44F6" w:rsidRDefault="005A44F6" w:rsidP="005A44F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8.2%</w:t>
            </w:r>
          </w:p>
        </w:tc>
      </w:tr>
      <w:tr w:rsidR="005A44F6" w:rsidRPr="0003388E" w:rsidTr="001058CB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1" w:type="dxa"/>
            <w:hideMark/>
          </w:tcPr>
          <w:p w:rsidR="005A44F6" w:rsidRPr="0003388E" w:rsidRDefault="005A44F6" w:rsidP="005A44F6">
            <w:pPr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n-GB"/>
              </w:rPr>
            </w:pPr>
            <w:r w:rsidRPr="0003388E">
              <w:rPr>
                <w:rFonts w:ascii="Arial" w:eastAsia="Times New Roman" w:hAnsi="Arial" w:cs="Arial"/>
                <w:color w:val="000000"/>
                <w:sz w:val="18"/>
                <w:szCs w:val="18"/>
                <w:lang w:eastAsia="en-GB"/>
              </w:rPr>
              <w:t>1,000-4,999</w:t>
            </w:r>
          </w:p>
        </w:tc>
        <w:tc>
          <w:tcPr>
            <w:tcW w:w="2440" w:type="dxa"/>
            <w:noWrap/>
            <w:vAlign w:val="bottom"/>
            <w:hideMark/>
          </w:tcPr>
          <w:p w:rsidR="005A44F6" w:rsidRDefault="005A44F6" w:rsidP="005A44F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790</w:t>
            </w:r>
          </w:p>
        </w:tc>
        <w:tc>
          <w:tcPr>
            <w:tcW w:w="1190" w:type="dxa"/>
            <w:noWrap/>
            <w:vAlign w:val="center"/>
            <w:hideMark/>
          </w:tcPr>
          <w:p w:rsidR="005A44F6" w:rsidRDefault="005A44F6" w:rsidP="005A44F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8.4%</w:t>
            </w:r>
          </w:p>
        </w:tc>
        <w:tc>
          <w:tcPr>
            <w:tcW w:w="2354" w:type="dxa"/>
            <w:noWrap/>
            <w:vAlign w:val="bottom"/>
            <w:hideMark/>
          </w:tcPr>
          <w:p w:rsidR="005A44F6" w:rsidRDefault="005A44F6" w:rsidP="005A44F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6,960</w:t>
            </w:r>
          </w:p>
        </w:tc>
        <w:tc>
          <w:tcPr>
            <w:tcW w:w="1276" w:type="dxa"/>
            <w:noWrap/>
            <w:vAlign w:val="center"/>
            <w:hideMark/>
          </w:tcPr>
          <w:p w:rsidR="005A44F6" w:rsidRDefault="005A44F6" w:rsidP="005A44F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8.8%</w:t>
            </w:r>
          </w:p>
        </w:tc>
      </w:tr>
      <w:tr w:rsidR="005A44F6" w:rsidRPr="0003388E" w:rsidTr="001058CB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1" w:type="dxa"/>
            <w:hideMark/>
          </w:tcPr>
          <w:p w:rsidR="005A44F6" w:rsidRPr="0003388E" w:rsidRDefault="005A44F6" w:rsidP="005A44F6">
            <w:pPr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n-GB"/>
              </w:rPr>
            </w:pPr>
            <w:r w:rsidRPr="0003388E">
              <w:rPr>
                <w:rFonts w:ascii="Arial" w:eastAsia="Times New Roman" w:hAnsi="Arial" w:cs="Arial"/>
                <w:color w:val="000000"/>
                <w:sz w:val="18"/>
                <w:szCs w:val="18"/>
                <w:lang w:eastAsia="en-GB"/>
              </w:rPr>
              <w:t>5,000+</w:t>
            </w:r>
          </w:p>
        </w:tc>
        <w:tc>
          <w:tcPr>
            <w:tcW w:w="2440" w:type="dxa"/>
            <w:noWrap/>
            <w:vAlign w:val="bottom"/>
            <w:hideMark/>
          </w:tcPr>
          <w:p w:rsidR="005A44F6" w:rsidRDefault="005A44F6" w:rsidP="005A44F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260</w:t>
            </w:r>
          </w:p>
        </w:tc>
        <w:tc>
          <w:tcPr>
            <w:tcW w:w="1190" w:type="dxa"/>
            <w:noWrap/>
            <w:vAlign w:val="center"/>
            <w:hideMark/>
          </w:tcPr>
          <w:p w:rsidR="005A44F6" w:rsidRDefault="005A44F6" w:rsidP="005A44F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2.8%</w:t>
            </w:r>
          </w:p>
        </w:tc>
        <w:tc>
          <w:tcPr>
            <w:tcW w:w="2354" w:type="dxa"/>
            <w:noWrap/>
            <w:vAlign w:val="bottom"/>
            <w:hideMark/>
          </w:tcPr>
          <w:p w:rsidR="005A44F6" w:rsidRDefault="005A44F6" w:rsidP="005A44F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2,355</w:t>
            </w:r>
          </w:p>
        </w:tc>
        <w:tc>
          <w:tcPr>
            <w:tcW w:w="1276" w:type="dxa"/>
            <w:noWrap/>
            <w:vAlign w:val="center"/>
            <w:hideMark/>
          </w:tcPr>
          <w:p w:rsidR="005A44F6" w:rsidRDefault="005A44F6" w:rsidP="005A44F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3.0%</w:t>
            </w:r>
          </w:p>
        </w:tc>
      </w:tr>
      <w:tr w:rsidR="005A44F6" w:rsidRPr="0003388E" w:rsidTr="001058CB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1" w:type="dxa"/>
            <w:hideMark/>
          </w:tcPr>
          <w:p w:rsidR="005A44F6" w:rsidRPr="0003388E" w:rsidRDefault="005A44F6" w:rsidP="005A44F6">
            <w:pPr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n-GB"/>
              </w:rPr>
            </w:pPr>
            <w:r w:rsidRPr="0003388E">
              <w:rPr>
                <w:rFonts w:ascii="Arial" w:eastAsia="Times New Roman" w:hAnsi="Arial" w:cs="Arial"/>
                <w:color w:val="000000"/>
                <w:sz w:val="18"/>
                <w:szCs w:val="18"/>
                <w:lang w:eastAsia="en-GB"/>
              </w:rPr>
              <w:t>Total</w:t>
            </w:r>
          </w:p>
        </w:tc>
        <w:tc>
          <w:tcPr>
            <w:tcW w:w="2440" w:type="dxa"/>
            <w:noWrap/>
            <w:vAlign w:val="bottom"/>
            <w:hideMark/>
          </w:tcPr>
          <w:p w:rsidR="005A44F6" w:rsidRDefault="005A44F6" w:rsidP="005A44F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9,390</w:t>
            </w:r>
          </w:p>
        </w:tc>
        <w:tc>
          <w:tcPr>
            <w:tcW w:w="1190" w:type="dxa"/>
            <w:noWrap/>
            <w:vAlign w:val="center"/>
            <w:hideMark/>
          </w:tcPr>
          <w:p w:rsidR="005A44F6" w:rsidRDefault="005A44F6" w:rsidP="005A44F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100.0%</w:t>
            </w:r>
          </w:p>
        </w:tc>
        <w:tc>
          <w:tcPr>
            <w:tcW w:w="2354" w:type="dxa"/>
            <w:noWrap/>
            <w:vAlign w:val="bottom"/>
            <w:hideMark/>
          </w:tcPr>
          <w:p w:rsidR="005A44F6" w:rsidRPr="005A44F6" w:rsidRDefault="005A44F6" w:rsidP="005A44F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color w:val="000000"/>
              </w:rPr>
            </w:pPr>
            <w:r w:rsidRPr="005A44F6">
              <w:rPr>
                <w:rFonts w:ascii="Calibri" w:hAnsi="Calibri" w:cs="Calibri"/>
                <w:b/>
                <w:color w:val="000000"/>
              </w:rPr>
              <w:t>79,235</w:t>
            </w:r>
          </w:p>
        </w:tc>
        <w:tc>
          <w:tcPr>
            <w:tcW w:w="1276" w:type="dxa"/>
            <w:noWrap/>
            <w:vAlign w:val="center"/>
            <w:hideMark/>
          </w:tcPr>
          <w:p w:rsidR="005A44F6" w:rsidRDefault="005A44F6" w:rsidP="005A44F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100.0%</w:t>
            </w:r>
          </w:p>
        </w:tc>
      </w:tr>
    </w:tbl>
    <w:p w:rsidR="00565199" w:rsidRDefault="00BB7709" w:rsidP="00BB7709">
      <w:pPr>
        <w:rPr>
          <w:i/>
          <w:sz w:val="20"/>
          <w:szCs w:val="20"/>
        </w:rPr>
      </w:pPr>
      <w:r>
        <w:rPr>
          <w:i/>
          <w:sz w:val="20"/>
          <w:szCs w:val="20"/>
        </w:rPr>
        <w:t>Table 5: Turnover size band of VAT and/or PAYE registered businesses operating in Armagh City, Banbridge and Craigavon Boro</w:t>
      </w:r>
      <w:r w:rsidR="0003388E">
        <w:rPr>
          <w:i/>
          <w:sz w:val="20"/>
          <w:szCs w:val="20"/>
        </w:rPr>
        <w:t xml:space="preserve">ugh and Northern </w:t>
      </w:r>
      <w:r w:rsidR="005A44F6">
        <w:rPr>
          <w:i/>
          <w:sz w:val="20"/>
          <w:szCs w:val="20"/>
        </w:rPr>
        <w:t>Ireland in 2023</w:t>
      </w:r>
      <w:r w:rsidRPr="002A2185">
        <w:rPr>
          <w:i/>
          <w:sz w:val="20"/>
          <w:szCs w:val="20"/>
        </w:rPr>
        <w:t>. Source:</w:t>
      </w:r>
      <w:r>
        <w:rPr>
          <w:i/>
          <w:sz w:val="20"/>
          <w:szCs w:val="20"/>
        </w:rPr>
        <w:t xml:space="preserve"> Inter-Departmental Business Register, NISRA</w:t>
      </w:r>
      <w:r w:rsidRPr="002A2185">
        <w:rPr>
          <w:i/>
          <w:sz w:val="20"/>
          <w:szCs w:val="20"/>
        </w:rPr>
        <w:t>.</w:t>
      </w:r>
      <w:r>
        <w:rPr>
          <w:i/>
          <w:sz w:val="20"/>
          <w:szCs w:val="20"/>
        </w:rPr>
        <w:t xml:space="preserve"> Please note figures have been rounded to the nearest five and therefore may not sum to totals.     </w:t>
      </w:r>
    </w:p>
    <w:p w:rsidR="00D166B9" w:rsidRPr="00FF1EBE" w:rsidRDefault="00BB7709" w:rsidP="009F4B15">
      <w:pPr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        </w:t>
      </w:r>
      <w:r w:rsidR="005A44F6">
        <w:rPr>
          <w:noProof/>
          <w:lang w:eastAsia="en-GB"/>
        </w:rPr>
        <w:drawing>
          <wp:inline distT="0" distB="0" distL="0" distR="0" wp14:anchorId="51EF9E55" wp14:editId="1C96B05C">
            <wp:extent cx="5867400" cy="2703195"/>
            <wp:effectExtent l="0" t="0" r="0" b="1905"/>
            <wp:docPr id="1" name="Chart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  <w:r>
        <w:rPr>
          <w:i/>
          <w:sz w:val="20"/>
          <w:szCs w:val="20"/>
        </w:rPr>
        <w:t xml:space="preserve">    </w:t>
      </w:r>
      <w:r w:rsidR="0020269F">
        <w:rPr>
          <w:i/>
          <w:sz w:val="20"/>
          <w:szCs w:val="20"/>
        </w:rPr>
        <w:t xml:space="preserve">Figure 5: </w:t>
      </w:r>
      <w:r w:rsidR="009F4B15">
        <w:rPr>
          <w:i/>
          <w:sz w:val="20"/>
          <w:szCs w:val="20"/>
        </w:rPr>
        <w:t>Turnover size band of VAT and/or PAYE registered businesses operating in Armagh City, Banbridge and Craigavon Boro</w:t>
      </w:r>
      <w:r w:rsidR="00E36C92">
        <w:rPr>
          <w:i/>
          <w:sz w:val="20"/>
          <w:szCs w:val="20"/>
        </w:rPr>
        <w:t>ugh and Northern Ireland in 202</w:t>
      </w:r>
      <w:r w:rsidR="005A44F6">
        <w:rPr>
          <w:i/>
          <w:sz w:val="20"/>
          <w:szCs w:val="20"/>
        </w:rPr>
        <w:t>3</w:t>
      </w:r>
      <w:r w:rsidR="009F4B15" w:rsidRPr="002A2185">
        <w:rPr>
          <w:i/>
          <w:sz w:val="20"/>
          <w:szCs w:val="20"/>
        </w:rPr>
        <w:t>. Source:</w:t>
      </w:r>
      <w:r w:rsidR="009F4B15">
        <w:rPr>
          <w:i/>
          <w:sz w:val="20"/>
          <w:szCs w:val="20"/>
        </w:rPr>
        <w:t xml:space="preserve"> Inter-Departmental Business Register, NISRA</w:t>
      </w:r>
      <w:r w:rsidR="009F4B15" w:rsidRPr="002A2185">
        <w:rPr>
          <w:i/>
          <w:sz w:val="20"/>
          <w:szCs w:val="20"/>
        </w:rPr>
        <w:t>.</w:t>
      </w:r>
    </w:p>
    <w:p w:rsidR="005A44F6" w:rsidRDefault="005A44F6" w:rsidP="004224A6"/>
    <w:p w:rsidR="00024131" w:rsidRPr="0019640F" w:rsidRDefault="00024131" w:rsidP="004224A6">
      <w:pPr>
        <w:rPr>
          <w:rFonts w:cstheme="minorHAnsi"/>
        </w:rPr>
      </w:pPr>
      <w:r w:rsidRPr="0019640F">
        <w:rPr>
          <w:rFonts w:cstheme="minorHAnsi"/>
        </w:rPr>
        <w:t>The Business Demography, Northern Ireland Report (2021) provides an analysis of business registrations (births), de-registrations (deaths) and survivals of active businesses registered in Northern Ireland</w:t>
      </w:r>
      <w:r w:rsidRPr="0019640F">
        <w:rPr>
          <w:rStyle w:val="FootnoteReference"/>
          <w:rFonts w:cstheme="minorHAnsi"/>
        </w:rPr>
        <w:footnoteReference w:id="1"/>
      </w:r>
      <w:r w:rsidRPr="0019640F">
        <w:rPr>
          <w:rFonts w:cstheme="minorHAnsi"/>
        </w:rPr>
        <w:t xml:space="preserve">.  </w:t>
      </w:r>
      <w:r w:rsidR="00D23B86" w:rsidRPr="0019640F">
        <w:rPr>
          <w:rFonts w:cstheme="minorHAnsi"/>
        </w:rPr>
        <w:t>In 2021, t</w:t>
      </w:r>
      <w:r w:rsidR="00EA54AE" w:rsidRPr="0019640F">
        <w:rPr>
          <w:rFonts w:cstheme="minorHAnsi"/>
        </w:rPr>
        <w:t xml:space="preserve">he number of business births </w:t>
      </w:r>
      <w:r w:rsidR="000B21EB" w:rsidRPr="0019640F">
        <w:rPr>
          <w:rFonts w:cstheme="minorHAnsi"/>
        </w:rPr>
        <w:t>was greater than the number of deaths for all district council</w:t>
      </w:r>
      <w:r w:rsidR="00542956" w:rsidRPr="0019640F">
        <w:rPr>
          <w:rFonts w:cstheme="minorHAnsi"/>
        </w:rPr>
        <w:t xml:space="preserve"> areas</w:t>
      </w:r>
      <w:r w:rsidR="000B21EB" w:rsidRPr="0019640F">
        <w:rPr>
          <w:rFonts w:cstheme="minorHAnsi"/>
        </w:rPr>
        <w:t xml:space="preserve"> across Northern Ireland</w:t>
      </w:r>
      <w:r w:rsidR="000B21EB" w:rsidRPr="0019640F">
        <w:rPr>
          <w:rFonts w:cstheme="minorHAnsi"/>
          <w:shd w:val="clear" w:color="auto" w:fill="FFFFFF"/>
        </w:rPr>
        <w:t xml:space="preserve">, except for Antrim and Newtownabbey. </w:t>
      </w:r>
      <w:r w:rsidR="00D23B86" w:rsidRPr="0019640F">
        <w:rPr>
          <w:rFonts w:cstheme="minorHAnsi"/>
          <w:shd w:val="clear" w:color="auto" w:fill="FFFFFF"/>
        </w:rPr>
        <w:t xml:space="preserve">In Armagh City, Banbridge and Craigavon there were 790 business births compared to 490 business </w:t>
      </w:r>
      <w:r w:rsidR="00D23B86" w:rsidRPr="0019640F">
        <w:rPr>
          <w:rFonts w:cstheme="minorHAnsi"/>
          <w:shd w:val="clear" w:color="auto" w:fill="FFFFFF"/>
        </w:rPr>
        <w:lastRenderedPageBreak/>
        <w:t xml:space="preserve">deaths.  The business death rate </w:t>
      </w:r>
      <w:r w:rsidR="00542956" w:rsidRPr="0019640F">
        <w:rPr>
          <w:rFonts w:cstheme="minorHAnsi"/>
          <w:shd w:val="clear" w:color="auto" w:fill="FFFFFF"/>
        </w:rPr>
        <w:t xml:space="preserve">increased in all district council areas between 2020 and 2021 although </w:t>
      </w:r>
      <w:r w:rsidR="00637B99" w:rsidRPr="0019640F">
        <w:rPr>
          <w:rFonts w:cstheme="minorHAnsi"/>
          <w:shd w:val="clear" w:color="auto" w:fill="FFFFFF"/>
        </w:rPr>
        <w:t>this is</w:t>
      </w:r>
      <w:r w:rsidR="00542956" w:rsidRPr="0019640F">
        <w:rPr>
          <w:rFonts w:cstheme="minorHAnsi"/>
          <w:shd w:val="clear" w:color="auto" w:fill="FFFFFF"/>
        </w:rPr>
        <w:t xml:space="preserve"> likely </w:t>
      </w:r>
      <w:r w:rsidR="00637B99" w:rsidRPr="0019640F">
        <w:rPr>
          <w:rFonts w:cstheme="minorHAnsi"/>
          <w:shd w:val="clear" w:color="auto" w:fill="FFFFFF"/>
        </w:rPr>
        <w:t xml:space="preserve">due to the effects of the Covid-19 pandemic. </w:t>
      </w:r>
    </w:p>
    <w:p w:rsidR="00024131" w:rsidRDefault="00A07360" w:rsidP="004224A6">
      <w:pPr>
        <w:rPr>
          <w:i/>
          <w:sz w:val="20"/>
          <w:szCs w:val="20"/>
        </w:rPr>
      </w:pPr>
      <w:r>
        <w:rPr>
          <w:noProof/>
          <w:lang w:eastAsia="en-GB"/>
        </w:rPr>
        <w:drawing>
          <wp:inline distT="0" distB="0" distL="0" distR="0" wp14:anchorId="2E772537" wp14:editId="4303AC7D">
            <wp:extent cx="5715000" cy="2952750"/>
            <wp:effectExtent l="0" t="0" r="0" b="0"/>
            <wp:docPr id="3" name="Chart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  <w:r w:rsidR="00D23B86" w:rsidRPr="00D23B86">
        <w:rPr>
          <w:rFonts w:cstheme="minorHAnsi"/>
          <w:i/>
          <w:sz w:val="20"/>
          <w:szCs w:val="20"/>
        </w:rPr>
        <w:t>Figure 6: The number of business births and deaths for all district council areas across Northern Ireland in 2021.</w:t>
      </w:r>
      <w:r w:rsidR="00D23B86">
        <w:rPr>
          <w:rFonts w:cstheme="minorHAnsi"/>
        </w:rPr>
        <w:t xml:space="preserve">  </w:t>
      </w:r>
      <w:r w:rsidR="00D23B86" w:rsidRPr="002A2185">
        <w:rPr>
          <w:i/>
          <w:sz w:val="20"/>
          <w:szCs w:val="20"/>
        </w:rPr>
        <w:t>Source:</w:t>
      </w:r>
      <w:r w:rsidR="00D23B86">
        <w:rPr>
          <w:i/>
          <w:sz w:val="20"/>
          <w:szCs w:val="20"/>
        </w:rPr>
        <w:t xml:space="preserve"> Inter-Departmental Business Register, NISRA</w:t>
      </w:r>
      <w:r w:rsidR="00D23B86" w:rsidRPr="002A2185">
        <w:rPr>
          <w:i/>
          <w:sz w:val="20"/>
          <w:szCs w:val="20"/>
        </w:rPr>
        <w:t>.</w:t>
      </w:r>
    </w:p>
    <w:p w:rsidR="0019640F" w:rsidRPr="0019640F" w:rsidRDefault="0019640F" w:rsidP="004224A6">
      <w:r>
        <w:t xml:space="preserve">For businesses </w:t>
      </w:r>
      <w:r w:rsidR="004834E0">
        <w:t>registered</w:t>
      </w:r>
      <w:r>
        <w:t xml:space="preserve"> in </w:t>
      </w:r>
      <w:r w:rsidR="004834E0">
        <w:t xml:space="preserve">2016, Fermanagh and </w:t>
      </w:r>
      <w:proofErr w:type="spellStart"/>
      <w:r w:rsidR="004834E0">
        <w:t>Omagh</w:t>
      </w:r>
      <w:proofErr w:type="spellEnd"/>
      <w:r w:rsidR="004834E0">
        <w:t xml:space="preserve"> had the highest survival rate at 51.1%, closely followed by Mid Ulster (51%) and Armagh City, Banbridge and Craigavon (50.4%).  </w:t>
      </w:r>
    </w:p>
    <w:p w:rsidR="0019640F" w:rsidRPr="0019640F" w:rsidRDefault="0019640F" w:rsidP="004224A6">
      <w:pPr>
        <w:rPr>
          <w:i/>
          <w:sz w:val="20"/>
          <w:szCs w:val="20"/>
        </w:rPr>
      </w:pPr>
      <w:r>
        <w:rPr>
          <w:noProof/>
          <w:lang w:eastAsia="en-GB"/>
        </w:rPr>
        <w:drawing>
          <wp:inline distT="0" distB="0" distL="0" distR="0" wp14:anchorId="5DF07D80" wp14:editId="5856F040">
            <wp:extent cx="5743575" cy="3009900"/>
            <wp:effectExtent l="0" t="0" r="9525" b="0"/>
            <wp:docPr id="7" name="Chart 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  <w:r>
        <w:rPr>
          <w:i/>
          <w:sz w:val="20"/>
          <w:szCs w:val="20"/>
        </w:rPr>
        <w:t>Figure 7: Five year survival rate of businesses born in 2016 by local government district.  Source: Inter-Departmental Business Register, NISRA.</w:t>
      </w:r>
    </w:p>
    <w:p w:rsidR="004224A6" w:rsidRDefault="00E00A04" w:rsidP="004224A6">
      <w:r>
        <w:t>Further information on businesses can be found via the following link:</w:t>
      </w:r>
    </w:p>
    <w:p w:rsidR="004224A6" w:rsidRDefault="00B713F0" w:rsidP="004224A6">
      <w:hyperlink r:id="rId14" w:history="1">
        <w:r w:rsidR="00E00A04">
          <w:rPr>
            <w:rStyle w:val="Hyperlink"/>
          </w:rPr>
          <w:t>https://www.nisra.gov.uk/statistics/business-statistics/inter-departmental-business-register</w:t>
        </w:r>
      </w:hyperlink>
    </w:p>
    <w:p w:rsidR="0037112D" w:rsidRDefault="0037112D" w:rsidP="004224A6"/>
    <w:sectPr w:rsidR="0037112D">
      <w:footerReference w:type="default" r:id="rId15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0269F" w:rsidRDefault="0020269F" w:rsidP="0020269F">
      <w:pPr>
        <w:spacing w:after="0" w:line="240" w:lineRule="auto"/>
      </w:pPr>
      <w:r>
        <w:separator/>
      </w:r>
    </w:p>
  </w:endnote>
  <w:endnote w:type="continuationSeparator" w:id="0">
    <w:p w:rsidR="0020269F" w:rsidRDefault="0020269F" w:rsidP="002026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816692712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20269F" w:rsidRDefault="0020269F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713F0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:rsidR="0020269F" w:rsidRDefault="0020269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0269F" w:rsidRDefault="0020269F" w:rsidP="0020269F">
      <w:pPr>
        <w:spacing w:after="0" w:line="240" w:lineRule="auto"/>
      </w:pPr>
      <w:r>
        <w:separator/>
      </w:r>
    </w:p>
  </w:footnote>
  <w:footnote w:type="continuationSeparator" w:id="0">
    <w:p w:rsidR="0020269F" w:rsidRDefault="0020269F" w:rsidP="0020269F">
      <w:pPr>
        <w:spacing w:after="0" w:line="240" w:lineRule="auto"/>
      </w:pPr>
      <w:r>
        <w:continuationSeparator/>
      </w:r>
    </w:p>
  </w:footnote>
  <w:footnote w:id="1">
    <w:p w:rsidR="00024131" w:rsidRDefault="00024131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hyperlink r:id="rId1" w:history="1">
        <w:r>
          <w:rPr>
            <w:rStyle w:val="Hyperlink"/>
          </w:rPr>
          <w:t>Business Demography, Northern Ireland 2021</w:t>
        </w:r>
      </w:hyperlink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4F53"/>
    <w:rsid w:val="0000373E"/>
    <w:rsid w:val="000050A3"/>
    <w:rsid w:val="00024131"/>
    <w:rsid w:val="0003388E"/>
    <w:rsid w:val="00050D07"/>
    <w:rsid w:val="000B21EB"/>
    <w:rsid w:val="000F24E1"/>
    <w:rsid w:val="001700C8"/>
    <w:rsid w:val="00172682"/>
    <w:rsid w:val="0019640F"/>
    <w:rsid w:val="001D0E0B"/>
    <w:rsid w:val="0020269F"/>
    <w:rsid w:val="002152A1"/>
    <w:rsid w:val="002250A5"/>
    <w:rsid w:val="0022570B"/>
    <w:rsid w:val="002671C7"/>
    <w:rsid w:val="002A7421"/>
    <w:rsid w:val="002C25C5"/>
    <w:rsid w:val="00337A4C"/>
    <w:rsid w:val="003600DF"/>
    <w:rsid w:val="0037112D"/>
    <w:rsid w:val="003A551A"/>
    <w:rsid w:val="004224A6"/>
    <w:rsid w:val="00437156"/>
    <w:rsid w:val="004532C6"/>
    <w:rsid w:val="00461EC4"/>
    <w:rsid w:val="004834E0"/>
    <w:rsid w:val="00495AD8"/>
    <w:rsid w:val="004B5C32"/>
    <w:rsid w:val="004D048D"/>
    <w:rsid w:val="004D3B6E"/>
    <w:rsid w:val="004F707A"/>
    <w:rsid w:val="00542956"/>
    <w:rsid w:val="00565199"/>
    <w:rsid w:val="00586FA8"/>
    <w:rsid w:val="00594F53"/>
    <w:rsid w:val="005A44F6"/>
    <w:rsid w:val="00621EA4"/>
    <w:rsid w:val="00633890"/>
    <w:rsid w:val="00637655"/>
    <w:rsid w:val="00637B99"/>
    <w:rsid w:val="00647FC1"/>
    <w:rsid w:val="00651E24"/>
    <w:rsid w:val="00657BFC"/>
    <w:rsid w:val="00716C49"/>
    <w:rsid w:val="00780BD6"/>
    <w:rsid w:val="0079480D"/>
    <w:rsid w:val="007A2C03"/>
    <w:rsid w:val="007D5431"/>
    <w:rsid w:val="007F5C9C"/>
    <w:rsid w:val="008F46C0"/>
    <w:rsid w:val="009135F4"/>
    <w:rsid w:val="009452C1"/>
    <w:rsid w:val="00952BF9"/>
    <w:rsid w:val="00963197"/>
    <w:rsid w:val="00975C6F"/>
    <w:rsid w:val="00992A61"/>
    <w:rsid w:val="009E05B9"/>
    <w:rsid w:val="009E08ED"/>
    <w:rsid w:val="009F46C2"/>
    <w:rsid w:val="009F4B15"/>
    <w:rsid w:val="00A07360"/>
    <w:rsid w:val="00A24805"/>
    <w:rsid w:val="00A54576"/>
    <w:rsid w:val="00A6332E"/>
    <w:rsid w:val="00AA40FB"/>
    <w:rsid w:val="00AA46F7"/>
    <w:rsid w:val="00B40E75"/>
    <w:rsid w:val="00B713F0"/>
    <w:rsid w:val="00B75C2F"/>
    <w:rsid w:val="00B7658C"/>
    <w:rsid w:val="00B80B3F"/>
    <w:rsid w:val="00B850F5"/>
    <w:rsid w:val="00BB7709"/>
    <w:rsid w:val="00BE112F"/>
    <w:rsid w:val="00BE4F52"/>
    <w:rsid w:val="00C46ABA"/>
    <w:rsid w:val="00C66006"/>
    <w:rsid w:val="00CF3787"/>
    <w:rsid w:val="00D166B9"/>
    <w:rsid w:val="00D23B86"/>
    <w:rsid w:val="00DE1CD9"/>
    <w:rsid w:val="00E00A04"/>
    <w:rsid w:val="00E20C69"/>
    <w:rsid w:val="00E34EE3"/>
    <w:rsid w:val="00E36C92"/>
    <w:rsid w:val="00E6149B"/>
    <w:rsid w:val="00E74665"/>
    <w:rsid w:val="00E87C00"/>
    <w:rsid w:val="00E93487"/>
    <w:rsid w:val="00E95D9E"/>
    <w:rsid w:val="00EA54AE"/>
    <w:rsid w:val="00ED0162"/>
    <w:rsid w:val="00EE0EBC"/>
    <w:rsid w:val="00F0534A"/>
    <w:rsid w:val="00F26CF1"/>
    <w:rsid w:val="00FB71F1"/>
    <w:rsid w:val="00FE1146"/>
    <w:rsid w:val="00FF0BC3"/>
    <w:rsid w:val="00FF1E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577C04"/>
  <w15:chartTrackingRefBased/>
  <w15:docId w15:val="{30501623-7158-4752-B230-EB09257D9E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94F5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E00A04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20269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0269F"/>
  </w:style>
  <w:style w:type="paragraph" w:styleId="Footer">
    <w:name w:val="footer"/>
    <w:basedOn w:val="Normal"/>
    <w:link w:val="FooterChar"/>
    <w:uiPriority w:val="99"/>
    <w:unhideWhenUsed/>
    <w:rsid w:val="0020269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0269F"/>
  </w:style>
  <w:style w:type="table" w:styleId="GridTable1Light">
    <w:name w:val="Grid Table 1 Light"/>
    <w:basedOn w:val="TableNormal"/>
    <w:uiPriority w:val="46"/>
    <w:rsid w:val="00A6332E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9452C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452C1"/>
    <w:rPr>
      <w:rFonts w:ascii="Segoe UI" w:hAnsi="Segoe UI" w:cs="Segoe UI"/>
      <w:sz w:val="18"/>
      <w:szCs w:val="18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024131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024131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024131"/>
    <w:rPr>
      <w:vertAlign w:val="superscript"/>
    </w:rPr>
  </w:style>
  <w:style w:type="paragraph" w:styleId="NoSpacing">
    <w:name w:val="No Spacing"/>
    <w:uiPriority w:val="1"/>
    <w:qFormat/>
    <w:rsid w:val="002152A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455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32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969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33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07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328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173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220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07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598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2.xml"/><Relationship Id="rId13" Type="http://schemas.openxmlformats.org/officeDocument/2006/relationships/chart" Target="charts/chart7.xml"/><Relationship Id="rId3" Type="http://schemas.openxmlformats.org/officeDocument/2006/relationships/settings" Target="settings.xml"/><Relationship Id="rId7" Type="http://schemas.openxmlformats.org/officeDocument/2006/relationships/chart" Target="charts/chart1.xml"/><Relationship Id="rId12" Type="http://schemas.openxmlformats.org/officeDocument/2006/relationships/chart" Target="charts/chart6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chart" Target="charts/chart5.xm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chart" Target="charts/chart4.xml"/><Relationship Id="rId4" Type="http://schemas.openxmlformats.org/officeDocument/2006/relationships/webSettings" Target="webSettings.xml"/><Relationship Id="rId9" Type="http://schemas.openxmlformats.org/officeDocument/2006/relationships/chart" Target="charts/chart3.xml"/><Relationship Id="rId14" Type="http://schemas.openxmlformats.org/officeDocument/2006/relationships/hyperlink" Target="https://www.nisra.gov.uk/statistics/business-statistics/inter-departmental-business-register" TargetMode="Externa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datavis.nisra.gov.uk/economy-and-labour-market/business-demography-2021.html" TargetMode="Externa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\\dcnsfilesvr2\groups$\community_planning\2.%20Community%20&amp;%20Strategic%20Planning%20JD\DATA%20ANALYST\2.%20Statistics%20for%20Website\Economy%20and%20Labour%20Market\2022%20Updates\Businesses%20Update%20July23.xls" TargetMode="External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file:///\\dcnsfilesvr2\groups$\community_planning\2.%20Community%20&amp;%20Strategic%20Planning%20JD\DATA%20ANALYST\2.%20Statistics%20for%20Website\Economy%20and%20Labour%20Market\2022%20Updates\Businesses%20Update%20July23.xls" TargetMode="External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oleObject" Target="file:///\\dcnsfilesvr2\groups$\community_planning\2.%20Community%20&amp;%20Strategic%20Planning%20JD\DATA%20ANALYST\2.%20Statistics%20for%20Website\Economy%20and%20Labour%20Market\2022%20Updates\Businesses%20Update%20July23.xls" TargetMode="External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oleObject" Target="file:///\\dcnsfilesvr2\groups$\community_planning\2.%20Community%20&amp;%20Strategic%20Planning%20JD\DATA%20ANALYST\2.%20Statistics%20for%20Website\Economy%20and%20Labour%20Market\2022%20Updates\Businesses%20Update%20July23.xls" TargetMode="External"/></Relationships>
</file>

<file path=word/charts/_rels/chart5.xml.rels><?xml version="1.0" encoding="UTF-8" standalone="yes"?>
<Relationships xmlns="http://schemas.openxmlformats.org/package/2006/relationships"><Relationship Id="rId1" Type="http://schemas.openxmlformats.org/officeDocument/2006/relationships/oleObject" Target="file:///\\dcnsfilesvr2\groups$\community_planning\2.%20Community%20&amp;%20Strategic%20Planning%20JD\DATA%20ANALYST\2.%20Statistics%20for%20Website\Economy%20and%20Labour%20Market\2022%20Updates\Businesses%20Update%20July23.xls" TargetMode="External"/></Relationships>
</file>

<file path=word/charts/_rels/chart6.xml.rels><?xml version="1.0" encoding="UTF-8" standalone="yes"?>
<Relationships xmlns="http://schemas.openxmlformats.org/package/2006/relationships"><Relationship Id="rId3" Type="http://schemas.openxmlformats.org/officeDocument/2006/relationships/oleObject" Target="file:///\\dcnsfilesvr2\groups$\community_planning\2.%20Community%20&amp;%20Strategic%20Planning%20JD\NISRA%20Statistician\Statistics%20for%20Website\Economy%20and%20Labour%20Market\2022%20Updates\Businesses%20Update%20Feb%2023.xls" TargetMode="External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7.xml.rels><?xml version="1.0" encoding="UTF-8" standalone="yes"?>
<Relationships xmlns="http://schemas.openxmlformats.org/package/2006/relationships"><Relationship Id="rId3" Type="http://schemas.openxmlformats.org/officeDocument/2006/relationships/oleObject" Target="file:///\\dcnsfilesvr2\groups$\community_planning\2.%20Community%20&amp;%20Strategic%20Planning%20JD\NISRA%20Statistician\Statistics%20for%20Website\Economy%20and%20Labour%20Market\2022%20Updates\Businesses%20Update%20Feb%2023.xls" TargetMode="External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'Table 3.1'!$B$43</c:f>
              <c:strCache>
                <c:ptCount val="1"/>
                <c:pt idx="0">
                  <c:v>% of NI</c:v>
                </c:pt>
              </c:strCache>
            </c:strRef>
          </c:tx>
          <c:spPr>
            <a:solidFill>
              <a:srgbClr val="5B9BD5"/>
            </a:solidFill>
            <a:ln w="25400">
              <a:noFill/>
            </a:ln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-5400000" vert="horz" wrap="square" lIns="38100" tIns="19050" rIns="38100" bIns="19050" anchor="ctr">
                <a:spAutoFit/>
              </a:bodyPr>
              <a:lstStyle/>
              <a:p>
                <a:pPr>
                  <a:defRPr b="1">
                    <a:solidFill>
                      <a:schemeClr val="bg1"/>
                    </a:solidFill>
                  </a:defRPr>
                </a:pPr>
                <a:endParaRPr lang="en-US"/>
              </a:p>
            </c:tx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1"/>
              </c:ext>
            </c:extLst>
          </c:dLbls>
          <c:cat>
            <c:strRef>
              <c:f>'Table 3.1'!$A$44:$A$55</c:f>
              <c:strCache>
                <c:ptCount val="11"/>
                <c:pt idx="0">
                  <c:v>Belfast</c:v>
                </c:pt>
                <c:pt idx="1">
                  <c:v>Mid Ulster</c:v>
                </c:pt>
                <c:pt idx="2">
                  <c:v>Armagh City, Banbridge and Craigavon</c:v>
                </c:pt>
                <c:pt idx="3">
                  <c:v>Newry, Mourne and Down</c:v>
                </c:pt>
                <c:pt idx="4">
                  <c:v>Fermanagh and Omagh</c:v>
                </c:pt>
                <c:pt idx="5">
                  <c:v>Causeway Coast and Glens</c:v>
                </c:pt>
                <c:pt idx="6">
                  <c:v>Derry City and Strabane</c:v>
                </c:pt>
                <c:pt idx="7">
                  <c:v>Lisburn and Castlereagh</c:v>
                </c:pt>
                <c:pt idx="8">
                  <c:v>Mid and East Antrim</c:v>
                </c:pt>
                <c:pt idx="9">
                  <c:v>Ards and North Down</c:v>
                </c:pt>
                <c:pt idx="10">
                  <c:v>Antrim and Newtonabbey</c:v>
                </c:pt>
              </c:strCache>
            </c:strRef>
          </c:cat>
          <c:val>
            <c:numRef>
              <c:f>'Table 3.1'!$B$44:$B$55</c:f>
              <c:numCache>
                <c:formatCode>0.0%</c:formatCode>
                <c:ptCount val="11"/>
                <c:pt idx="0">
                  <c:v>0.14261374392629519</c:v>
                </c:pt>
                <c:pt idx="1">
                  <c:v>0.12040133779264214</c:v>
                </c:pt>
                <c:pt idx="2">
                  <c:v>0.11850823499716034</c:v>
                </c:pt>
                <c:pt idx="3">
                  <c:v>0.11831892471761217</c:v>
                </c:pt>
                <c:pt idx="4">
                  <c:v>0.1082223764750426</c:v>
                </c:pt>
                <c:pt idx="5">
                  <c:v>7.7743421467785706E-2</c:v>
                </c:pt>
                <c:pt idx="6">
                  <c:v>7.0107906859342456E-2</c:v>
                </c:pt>
                <c:pt idx="7">
                  <c:v>6.6132390988830697E-2</c:v>
                </c:pt>
                <c:pt idx="8">
                  <c:v>6.3923771060768603E-2</c:v>
                </c:pt>
                <c:pt idx="9">
                  <c:v>6.0768599734965609E-2</c:v>
                </c:pt>
                <c:pt idx="10">
                  <c:v>5.3259291979554486E-2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4EDE-446B-A84F-0A200FE0A3B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overlap val="-27"/>
        <c:axId val="219644511"/>
        <c:axId val="1"/>
      </c:barChart>
      <c:catAx>
        <c:axId val="219644511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1"/>
        <c:crosses val="autoZero"/>
        <c:auto val="1"/>
        <c:lblAlgn val="ctr"/>
        <c:lblOffset val="100"/>
        <c:noMultiLvlLbl val="0"/>
      </c:catAx>
      <c:valAx>
        <c:axId val="1"/>
        <c:scaling>
          <c:orientation val="minMax"/>
        </c:scaling>
        <c:delete val="0"/>
        <c:axPos val="l"/>
        <c:numFmt formatCode="0%" sourceLinked="0"/>
        <c:majorTickMark val="none"/>
        <c:minorTickMark val="none"/>
        <c:tickLblPos val="nextTo"/>
        <c:spPr>
          <a:ln w="6350">
            <a:noFill/>
          </a:ln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219644511"/>
        <c:crosses val="autoZero"/>
        <c:crossBetween val="between"/>
      </c:valAx>
      <c:spPr>
        <a:noFill/>
        <a:ln w="25400">
          <a:noFill/>
        </a:ln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lineChart>
        <c:grouping val="standard"/>
        <c:varyColors val="0"/>
        <c:ser>
          <c:idx val="0"/>
          <c:order val="0"/>
          <c:tx>
            <c:strRef>
              <c:f>'Table 3.1'!$O$3</c:f>
              <c:strCache>
                <c:ptCount val="1"/>
                <c:pt idx="0">
                  <c:v>Number</c:v>
                </c:pt>
              </c:strCache>
            </c:strRef>
          </c:tx>
          <c:spPr>
            <a:ln w="28575" cap="rnd">
              <a:solidFill>
                <a:schemeClr val="accent1"/>
              </a:solidFill>
              <a:round/>
            </a:ln>
            <a:effectLst/>
          </c:spPr>
          <c:marker>
            <c:symbol val="none"/>
          </c:marker>
          <c:cat>
            <c:numRef>
              <c:f>'Table 3.1'!$N$4:$N$14</c:f>
              <c:numCache>
                <c:formatCode>General</c:formatCode>
                <c:ptCount val="11"/>
                <c:pt idx="0">
                  <c:v>2013</c:v>
                </c:pt>
                <c:pt idx="1">
                  <c:v>2014</c:v>
                </c:pt>
                <c:pt idx="2">
                  <c:v>2015</c:v>
                </c:pt>
                <c:pt idx="3">
                  <c:v>2016</c:v>
                </c:pt>
                <c:pt idx="4">
                  <c:v>2017</c:v>
                </c:pt>
                <c:pt idx="5">
                  <c:v>2018</c:v>
                </c:pt>
                <c:pt idx="6">
                  <c:v>2019</c:v>
                </c:pt>
                <c:pt idx="7">
                  <c:v>2020</c:v>
                </c:pt>
                <c:pt idx="8">
                  <c:v>2021</c:v>
                </c:pt>
                <c:pt idx="9">
                  <c:v>2022</c:v>
                </c:pt>
                <c:pt idx="10">
                  <c:v>2023</c:v>
                </c:pt>
              </c:numCache>
            </c:numRef>
          </c:cat>
          <c:val>
            <c:numRef>
              <c:f>'Table 3.1'!$O$4:$O$14</c:f>
              <c:numCache>
                <c:formatCode>#,##0</c:formatCode>
                <c:ptCount val="11"/>
                <c:pt idx="0">
                  <c:v>7870</c:v>
                </c:pt>
                <c:pt idx="1">
                  <c:v>7810</c:v>
                </c:pt>
                <c:pt idx="2">
                  <c:v>7865</c:v>
                </c:pt>
                <c:pt idx="3">
                  <c:v>8100</c:v>
                </c:pt>
                <c:pt idx="4">
                  <c:v>8275</c:v>
                </c:pt>
                <c:pt idx="5">
                  <c:v>8555</c:v>
                </c:pt>
                <c:pt idx="6">
                  <c:v>8715</c:v>
                </c:pt>
                <c:pt idx="7">
                  <c:v>8725</c:v>
                </c:pt>
                <c:pt idx="8">
                  <c:v>8930</c:v>
                </c:pt>
                <c:pt idx="9">
                  <c:v>9255</c:v>
                </c:pt>
                <c:pt idx="10">
                  <c:v>9390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0-539C-49D2-9AF1-829AC691F1AA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smooth val="0"/>
        <c:axId val="219642015"/>
        <c:axId val="1"/>
      </c:lineChart>
      <c:catAx>
        <c:axId val="219642015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1"/>
        <c:crosses val="autoZero"/>
        <c:auto val="1"/>
        <c:lblAlgn val="ctr"/>
        <c:lblOffset val="100"/>
        <c:noMultiLvlLbl val="0"/>
      </c:catAx>
      <c:valAx>
        <c:axId val="1"/>
        <c:scaling>
          <c:orientation val="minMax"/>
          <c:min val="6000"/>
        </c:scaling>
        <c:delete val="0"/>
        <c:axPos val="l"/>
        <c:numFmt formatCode="#,##0" sourceLinked="1"/>
        <c:majorTickMark val="none"/>
        <c:minorTickMark val="none"/>
        <c:tickLblPos val="nextTo"/>
        <c:spPr>
          <a:ln w="6350">
            <a:noFill/>
          </a:ln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219642015"/>
        <c:crosses val="autoZero"/>
        <c:crossBetween val="between"/>
      </c:valAx>
      <c:spPr>
        <a:noFill/>
        <a:ln w="25400">
          <a:noFill/>
        </a:ln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43791262014907567"/>
          <c:y val="4.2000763650248185E-2"/>
          <c:w val="0.52320786902993976"/>
          <c:h val="0.87477027799270757"/>
        </c:manualLayout>
      </c:layout>
      <c:barChart>
        <c:barDir val="bar"/>
        <c:grouping val="clustered"/>
        <c:varyColors val="0"/>
        <c:ser>
          <c:idx val="0"/>
          <c:order val="0"/>
          <c:tx>
            <c:strRef>
              <c:f>'Table 3.2'!$B$44</c:f>
              <c:strCache>
                <c:ptCount val="1"/>
                <c:pt idx="0">
                  <c:v>Armagh City, Banbridge and Craigavon</c:v>
                </c:pt>
              </c:strCache>
            </c:strRef>
          </c:tx>
          <c:spPr>
            <a:solidFill>
              <a:srgbClr val="5B9BD5"/>
            </a:solidFill>
            <a:ln w="25400">
              <a:noFill/>
            </a:ln>
          </c:spPr>
          <c:invertIfNegative val="0"/>
          <c:cat>
            <c:strRef>
              <c:f>'Table 3.2'!$A$45:$A$61</c:f>
              <c:strCache>
                <c:ptCount val="17"/>
                <c:pt idx="0">
                  <c:v>Agriculture, forestry and fishing</c:v>
                </c:pt>
                <c:pt idx="1">
                  <c:v>Construction</c:v>
                </c:pt>
                <c:pt idx="2">
                  <c:v>Retail</c:v>
                </c:pt>
                <c:pt idx="3">
                  <c:v>Production</c:v>
                </c:pt>
                <c:pt idx="4">
                  <c:v>Professional, scientific and technical</c:v>
                </c:pt>
                <c:pt idx="5">
                  <c:v>Transport and storage (inc. postal)</c:v>
                </c:pt>
                <c:pt idx="6">
                  <c:v>Arts, entertainment, recreation and other services</c:v>
                </c:pt>
                <c:pt idx="7">
                  <c:v>Wholesale</c:v>
                </c:pt>
                <c:pt idx="8">
                  <c:v>Accommodation and food services</c:v>
                </c:pt>
                <c:pt idx="9">
                  <c:v>Motor trades</c:v>
                </c:pt>
                <c:pt idx="10">
                  <c:v>Business administration and support services</c:v>
                </c:pt>
                <c:pt idx="11">
                  <c:v>Property</c:v>
                </c:pt>
                <c:pt idx="12">
                  <c:v>Health</c:v>
                </c:pt>
                <c:pt idx="13">
                  <c:v>Information and communication</c:v>
                </c:pt>
                <c:pt idx="14">
                  <c:v>Finance and insurance</c:v>
                </c:pt>
                <c:pt idx="15">
                  <c:v>Education</c:v>
                </c:pt>
                <c:pt idx="16">
                  <c:v>Public administration and defence</c:v>
                </c:pt>
              </c:strCache>
            </c:strRef>
          </c:cat>
          <c:val>
            <c:numRef>
              <c:f>'Table 3.2'!$B$45:$B$61</c:f>
              <c:numCache>
                <c:formatCode>0.0%</c:formatCode>
                <c:ptCount val="17"/>
                <c:pt idx="0">
                  <c:v>0.26411075612353568</c:v>
                </c:pt>
                <c:pt idx="1">
                  <c:v>0.14057507987220447</c:v>
                </c:pt>
                <c:pt idx="2">
                  <c:v>8.3599574014909472E-2</c:v>
                </c:pt>
                <c:pt idx="3">
                  <c:v>7.4014909478168259E-2</c:v>
                </c:pt>
                <c:pt idx="4">
                  <c:v>6.2300319488817889E-2</c:v>
                </c:pt>
                <c:pt idx="5">
                  <c:v>6.0170394036208733E-2</c:v>
                </c:pt>
                <c:pt idx="6">
                  <c:v>5.2715654952076675E-2</c:v>
                </c:pt>
                <c:pt idx="7">
                  <c:v>4.4195953141640043E-2</c:v>
                </c:pt>
                <c:pt idx="8">
                  <c:v>4.3130990415335461E-2</c:v>
                </c:pt>
                <c:pt idx="9">
                  <c:v>4.2066027689030887E-2</c:v>
                </c:pt>
                <c:pt idx="10">
                  <c:v>4.2598509052183174E-2</c:v>
                </c:pt>
                <c:pt idx="11">
                  <c:v>2.7689030883919063E-2</c:v>
                </c:pt>
                <c:pt idx="12">
                  <c:v>2.6091586794462194E-2</c:v>
                </c:pt>
                <c:pt idx="13">
                  <c:v>1.5974440894568689E-2</c:v>
                </c:pt>
                <c:pt idx="14">
                  <c:v>1.2247071352502662E-2</c:v>
                </c:pt>
                <c:pt idx="15">
                  <c:v>7.4547390841320556E-3</c:v>
                </c:pt>
                <c:pt idx="16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C908-4676-9FFB-1C1B781A46F4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50"/>
        <c:overlap val="10"/>
        <c:axId val="219638687"/>
        <c:axId val="1"/>
      </c:barChart>
      <c:catAx>
        <c:axId val="219638687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1"/>
        <c:crosses val="autoZero"/>
        <c:auto val="0"/>
        <c:lblAlgn val="ctr"/>
        <c:lblOffset val="100"/>
        <c:noMultiLvlLbl val="0"/>
      </c:catAx>
      <c:valAx>
        <c:axId val="1"/>
        <c:scaling>
          <c:orientation val="minMax"/>
        </c:scaling>
        <c:delete val="0"/>
        <c:axPos val="b"/>
        <c:numFmt formatCode="0%" sourceLinked="0"/>
        <c:majorTickMark val="none"/>
        <c:minorTickMark val="none"/>
        <c:tickLblPos val="nextTo"/>
        <c:spPr>
          <a:ln w="6350">
            <a:noFill/>
          </a:ln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219638687"/>
        <c:crosses val="autoZero"/>
        <c:crossBetween val="midCat"/>
      </c:valAx>
      <c:spPr>
        <a:noFill/>
        <a:ln w="25400">
          <a:noFill/>
        </a:ln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'Table 3.4'!$B$44</c:f>
              <c:strCache>
                <c:ptCount val="1"/>
                <c:pt idx="0">
                  <c:v>Armagh City, Banbridge and Craigavon</c:v>
                </c:pt>
              </c:strCache>
            </c:strRef>
          </c:tx>
          <c:spPr>
            <a:solidFill>
              <a:srgbClr val="5B9BD5"/>
            </a:solidFill>
            <a:ln w="25400">
              <a:noFill/>
            </a:ln>
          </c:spPr>
          <c:invertIfNegative val="0"/>
          <c:dLbls>
            <c:spPr>
              <a:noFill/>
              <a:ln w="25400">
                <a:noFill/>
              </a:ln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'Table 3.4'!$A$45:$A$48</c:f>
              <c:strCache>
                <c:ptCount val="4"/>
                <c:pt idx="0">
                  <c:v>Micro Business (0-9)</c:v>
                </c:pt>
                <c:pt idx="1">
                  <c:v>Small Business (10-49)</c:v>
                </c:pt>
                <c:pt idx="2">
                  <c:v>Medium Business (50-249)</c:v>
                </c:pt>
                <c:pt idx="3">
                  <c:v>Large Business (250+)</c:v>
                </c:pt>
              </c:strCache>
            </c:strRef>
          </c:cat>
          <c:val>
            <c:numRef>
              <c:f>'Table 3.4'!$B$45:$B$48</c:f>
              <c:numCache>
                <c:formatCode>0.0%</c:formatCode>
                <c:ptCount val="4"/>
                <c:pt idx="0">
                  <c:v>0.90734824281150162</c:v>
                </c:pt>
                <c:pt idx="1">
                  <c:v>7.5612353567625135E-2</c:v>
                </c:pt>
                <c:pt idx="2">
                  <c:v>1.3844515441959531E-2</c:v>
                </c:pt>
                <c:pt idx="3">
                  <c:v>3.1948881789137379E-3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55FB-44F0-8266-E444B482AB78}"/>
            </c:ext>
          </c:extLst>
        </c:ser>
        <c:ser>
          <c:idx val="1"/>
          <c:order val="1"/>
          <c:tx>
            <c:strRef>
              <c:f>'Table 3.4'!$C$44</c:f>
              <c:strCache>
                <c:ptCount val="1"/>
                <c:pt idx="0">
                  <c:v>Northern Ireland</c:v>
                </c:pt>
              </c:strCache>
            </c:strRef>
          </c:tx>
          <c:spPr>
            <a:solidFill>
              <a:srgbClr val="ED7D31"/>
            </a:solidFill>
            <a:ln w="25400">
              <a:noFill/>
            </a:ln>
          </c:spPr>
          <c:invertIfNegative val="0"/>
          <c:dLbls>
            <c:spPr>
              <a:noFill/>
              <a:ln w="25400">
                <a:noFill/>
              </a:ln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'Table 3.4'!$A$45:$A$48</c:f>
              <c:strCache>
                <c:ptCount val="4"/>
                <c:pt idx="0">
                  <c:v>Micro Business (0-9)</c:v>
                </c:pt>
                <c:pt idx="1">
                  <c:v>Small Business (10-49)</c:v>
                </c:pt>
                <c:pt idx="2">
                  <c:v>Medium Business (50-249)</c:v>
                </c:pt>
                <c:pt idx="3">
                  <c:v>Large Business (250+)</c:v>
                </c:pt>
              </c:strCache>
            </c:strRef>
          </c:cat>
          <c:val>
            <c:numRef>
              <c:f>'Table 3.4'!$C$45:$C$48</c:f>
              <c:numCache>
                <c:formatCode>0.0%</c:formatCode>
                <c:ptCount val="4"/>
                <c:pt idx="0">
                  <c:v>0.89348141604089104</c:v>
                </c:pt>
                <c:pt idx="1">
                  <c:v>8.5631349782293184E-2</c:v>
                </c:pt>
                <c:pt idx="2">
                  <c:v>1.6659304600239792E-2</c:v>
                </c:pt>
                <c:pt idx="3">
                  <c:v>4.2279295765760084E-3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55FB-44F0-8266-E444B482AB78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19641183"/>
        <c:axId val="1"/>
      </c:barChart>
      <c:catAx>
        <c:axId val="219641183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1"/>
        <c:crosses val="autoZero"/>
        <c:auto val="1"/>
        <c:lblAlgn val="ctr"/>
        <c:lblOffset val="100"/>
        <c:noMultiLvlLbl val="0"/>
      </c:catAx>
      <c:valAx>
        <c:axId val="1"/>
        <c:scaling>
          <c:orientation val="minMax"/>
        </c:scaling>
        <c:delete val="0"/>
        <c:axPos val="l"/>
        <c:numFmt formatCode="0%" sourceLinked="0"/>
        <c:majorTickMark val="none"/>
        <c:minorTickMark val="none"/>
        <c:tickLblPos val="nextTo"/>
        <c:spPr>
          <a:ln w="6350">
            <a:noFill/>
          </a:ln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219641183"/>
        <c:crosses val="autoZero"/>
        <c:crossBetween val="between"/>
      </c:valAx>
      <c:spPr>
        <a:noFill/>
        <a:ln w="25400">
          <a:noFill/>
        </a:ln>
      </c:spPr>
    </c:plotArea>
    <c:legend>
      <c:legendPos val="r"/>
      <c:layout>
        <c:manualLayout>
          <c:xMode val="edge"/>
          <c:yMode val="edge"/>
          <c:x val="0.65999621408987963"/>
          <c:y val="2.7778646315741316E-2"/>
          <c:w val="0.32623387008244997"/>
          <c:h val="0.28801090812875763"/>
        </c:manualLayout>
      </c:layout>
      <c:overlay val="1"/>
      <c:spPr>
        <a:noFill/>
        <a:ln w="25400">
          <a:noFill/>
        </a:ln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1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7.5220551976457495E-2"/>
          <c:y val="4.4444444444444446E-2"/>
          <c:w val="0.90149224528752092"/>
          <c:h val="0.74990248946154459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'Table 3.3'!$B$34</c:f>
              <c:strCache>
                <c:ptCount val="1"/>
                <c:pt idx="0">
                  <c:v>Armagh City, Banbridge and Craigavon</c:v>
                </c:pt>
              </c:strCache>
            </c:strRef>
          </c:tx>
          <c:spPr>
            <a:solidFill>
              <a:srgbClr val="5B9BD5"/>
            </a:solidFill>
            <a:ln w="25400">
              <a:noFill/>
            </a:ln>
          </c:spPr>
          <c:invertIfNegative val="0"/>
          <c:cat>
            <c:strRef>
              <c:f>'Table 3.3'!$A$35:$A$41</c:f>
              <c:strCache>
                <c:ptCount val="7"/>
                <c:pt idx="0">
                  <c:v>0-49</c:v>
                </c:pt>
                <c:pt idx="1">
                  <c:v>50-99</c:v>
                </c:pt>
                <c:pt idx="2">
                  <c:v>100-249</c:v>
                </c:pt>
                <c:pt idx="3">
                  <c:v>250-499</c:v>
                </c:pt>
                <c:pt idx="4">
                  <c:v>500-999</c:v>
                </c:pt>
                <c:pt idx="5">
                  <c:v>1,000-4,999</c:v>
                </c:pt>
                <c:pt idx="6">
                  <c:v>5,000+</c:v>
                </c:pt>
              </c:strCache>
            </c:strRef>
          </c:cat>
          <c:val>
            <c:numRef>
              <c:f>'Table 3.3'!$B$35:$B$41</c:f>
              <c:numCache>
                <c:formatCode>0.0%</c:formatCode>
                <c:ptCount val="7"/>
                <c:pt idx="0">
                  <c:v>0.25292864749733757</c:v>
                </c:pt>
                <c:pt idx="1">
                  <c:v>0.18051118210862621</c:v>
                </c:pt>
                <c:pt idx="2">
                  <c:v>0.24440894568690097</c:v>
                </c:pt>
                <c:pt idx="3">
                  <c:v>0.12886048988285409</c:v>
                </c:pt>
                <c:pt idx="4">
                  <c:v>8.200212992545261E-2</c:v>
                </c:pt>
                <c:pt idx="5">
                  <c:v>8.4132055378061774E-2</c:v>
                </c:pt>
                <c:pt idx="6">
                  <c:v>2.7689030883919063E-2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6611-4EF9-8409-59EF13E260D8}"/>
            </c:ext>
          </c:extLst>
        </c:ser>
        <c:ser>
          <c:idx val="1"/>
          <c:order val="1"/>
          <c:tx>
            <c:strRef>
              <c:f>'Table 3.3'!$C$34</c:f>
              <c:strCache>
                <c:ptCount val="1"/>
                <c:pt idx="0">
                  <c:v>Northern Ireland</c:v>
                </c:pt>
              </c:strCache>
            </c:strRef>
          </c:tx>
          <c:spPr>
            <a:solidFill>
              <a:srgbClr val="ED7D31"/>
            </a:solidFill>
            <a:ln w="25400">
              <a:noFill/>
            </a:ln>
          </c:spPr>
          <c:invertIfNegative val="0"/>
          <c:cat>
            <c:strRef>
              <c:f>'Table 3.3'!$A$35:$A$41</c:f>
              <c:strCache>
                <c:ptCount val="7"/>
                <c:pt idx="0">
                  <c:v>0-49</c:v>
                </c:pt>
                <c:pt idx="1">
                  <c:v>50-99</c:v>
                </c:pt>
                <c:pt idx="2">
                  <c:v>100-249</c:v>
                </c:pt>
                <c:pt idx="3">
                  <c:v>250-499</c:v>
                </c:pt>
                <c:pt idx="4">
                  <c:v>500-999</c:v>
                </c:pt>
                <c:pt idx="5">
                  <c:v>1,000-4,999</c:v>
                </c:pt>
                <c:pt idx="6">
                  <c:v>5,000+</c:v>
                </c:pt>
              </c:strCache>
            </c:strRef>
          </c:cat>
          <c:val>
            <c:numRef>
              <c:f>'Table 3.3'!$C$35:$C$41</c:f>
              <c:numCache>
                <c:formatCode>0.0%</c:formatCode>
                <c:ptCount val="7"/>
                <c:pt idx="0">
                  <c:v>0.25184577522559476</c:v>
                </c:pt>
                <c:pt idx="1">
                  <c:v>0.17277718180097179</c:v>
                </c:pt>
                <c:pt idx="2">
                  <c:v>0.25121474096043417</c:v>
                </c:pt>
                <c:pt idx="3">
                  <c:v>0.1243768536631539</c:v>
                </c:pt>
                <c:pt idx="4">
                  <c:v>8.2223764750425948E-2</c:v>
                </c:pt>
                <c:pt idx="5">
                  <c:v>8.7839969710355278E-2</c:v>
                </c:pt>
                <c:pt idx="6">
                  <c:v>2.9721713889064177E-2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6611-4EF9-8409-59EF13E260D8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axId val="219639519"/>
        <c:axId val="1"/>
      </c:barChart>
      <c:catAx>
        <c:axId val="219639519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1"/>
        <c:crosses val="autoZero"/>
        <c:auto val="1"/>
        <c:lblAlgn val="ctr"/>
        <c:lblOffset val="100"/>
        <c:noMultiLvlLbl val="0"/>
      </c:catAx>
      <c:valAx>
        <c:axId val="1"/>
        <c:scaling>
          <c:orientation val="minMax"/>
        </c:scaling>
        <c:delete val="0"/>
        <c:axPos val="l"/>
        <c:numFmt formatCode="0%" sourceLinked="0"/>
        <c:majorTickMark val="none"/>
        <c:minorTickMark val="none"/>
        <c:tickLblPos val="nextTo"/>
        <c:spPr>
          <a:ln w="6350">
            <a:noFill/>
          </a:ln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219639519"/>
        <c:crosses val="autoZero"/>
        <c:crossBetween val="between"/>
      </c:valAx>
      <c:spPr>
        <a:noFill/>
        <a:ln w="25400">
          <a:noFill/>
        </a:ln>
      </c:spPr>
    </c:plotArea>
    <c:legend>
      <c:legendPos val="r"/>
      <c:layout>
        <c:manualLayout>
          <c:xMode val="edge"/>
          <c:yMode val="edge"/>
          <c:x val="0.2352322246364853"/>
          <c:y val="0.90478958595175529"/>
          <c:w val="0.52365766589931151"/>
          <c:h val="7.0177585613986571E-2"/>
        </c:manualLayout>
      </c:layout>
      <c:overlay val="0"/>
      <c:spPr>
        <a:noFill/>
        <a:ln w="25400">
          <a:noFill/>
        </a:ln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1">
    <c:autoUpdate val="0"/>
  </c:externalData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39339598679197357"/>
          <c:y val="4.7311827956989246E-2"/>
          <c:w val="0.55285949787585853"/>
          <c:h val="0.85774887816442302"/>
        </c:manualLayout>
      </c:layout>
      <c:barChart>
        <c:barDir val="bar"/>
        <c:grouping val="clustered"/>
        <c:varyColors val="0"/>
        <c:ser>
          <c:idx val="0"/>
          <c:order val="0"/>
          <c:tx>
            <c:strRef>
              <c:f>'Table 1.2'!$S$7</c:f>
              <c:strCache>
                <c:ptCount val="1"/>
                <c:pt idx="0">
                  <c:v>Births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strRef>
              <c:f>'Table 1.2'!$R$8:$R$18</c:f>
              <c:strCache>
                <c:ptCount val="11"/>
                <c:pt idx="0">
                  <c:v>Antrim and Newtownabbey</c:v>
                </c:pt>
                <c:pt idx="1">
                  <c:v>Mid and East Antrim</c:v>
                </c:pt>
                <c:pt idx="2">
                  <c:v>Fermanagh and Omagh</c:v>
                </c:pt>
                <c:pt idx="3">
                  <c:v>Derry City and Strabane</c:v>
                </c:pt>
                <c:pt idx="4">
                  <c:v>Causeway Coast and Glens</c:v>
                </c:pt>
                <c:pt idx="5">
                  <c:v>Ards and North Down</c:v>
                </c:pt>
                <c:pt idx="6">
                  <c:v>Lisburn and Castlereagh</c:v>
                </c:pt>
                <c:pt idx="7">
                  <c:v>Mid Ulster</c:v>
                </c:pt>
                <c:pt idx="8">
                  <c:v>Newry, Mourne and Down</c:v>
                </c:pt>
                <c:pt idx="9">
                  <c:v>Armagh City, Banbridge and Craigavon</c:v>
                </c:pt>
                <c:pt idx="10">
                  <c:v>Belfast</c:v>
                </c:pt>
              </c:strCache>
            </c:strRef>
          </c:cat>
          <c:val>
            <c:numRef>
              <c:f>'Table 1.2'!$S$8:$S$18</c:f>
              <c:numCache>
                <c:formatCode>#,##0</c:formatCode>
                <c:ptCount val="11"/>
                <c:pt idx="0">
                  <c:v>385</c:v>
                </c:pt>
                <c:pt idx="1">
                  <c:v>385</c:v>
                </c:pt>
                <c:pt idx="2">
                  <c:v>445</c:v>
                </c:pt>
                <c:pt idx="3">
                  <c:v>455</c:v>
                </c:pt>
                <c:pt idx="4">
                  <c:v>470</c:v>
                </c:pt>
                <c:pt idx="5">
                  <c:v>485</c:v>
                </c:pt>
                <c:pt idx="6">
                  <c:v>490</c:v>
                </c:pt>
                <c:pt idx="7">
                  <c:v>585</c:v>
                </c:pt>
                <c:pt idx="8">
                  <c:v>730</c:v>
                </c:pt>
                <c:pt idx="9">
                  <c:v>790</c:v>
                </c:pt>
                <c:pt idx="10">
                  <c:v>1435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939E-42FC-BA98-51F5BE9E2662}"/>
            </c:ext>
          </c:extLst>
        </c:ser>
        <c:ser>
          <c:idx val="1"/>
          <c:order val="1"/>
          <c:tx>
            <c:strRef>
              <c:f>'Table 1.2'!$T$7</c:f>
              <c:strCache>
                <c:ptCount val="1"/>
                <c:pt idx="0">
                  <c:v>Deaths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strRef>
              <c:f>'Table 1.2'!$R$8:$R$18</c:f>
              <c:strCache>
                <c:ptCount val="11"/>
                <c:pt idx="0">
                  <c:v>Antrim and Newtownabbey</c:v>
                </c:pt>
                <c:pt idx="1">
                  <c:v>Mid and East Antrim</c:v>
                </c:pt>
                <c:pt idx="2">
                  <c:v>Fermanagh and Omagh</c:v>
                </c:pt>
                <c:pt idx="3">
                  <c:v>Derry City and Strabane</c:v>
                </c:pt>
                <c:pt idx="4">
                  <c:v>Causeway Coast and Glens</c:v>
                </c:pt>
                <c:pt idx="5">
                  <c:v>Ards and North Down</c:v>
                </c:pt>
                <c:pt idx="6">
                  <c:v>Lisburn and Castlereagh</c:v>
                </c:pt>
                <c:pt idx="7">
                  <c:v>Mid Ulster</c:v>
                </c:pt>
                <c:pt idx="8">
                  <c:v>Newry, Mourne and Down</c:v>
                </c:pt>
                <c:pt idx="9">
                  <c:v>Armagh City, Banbridge and Craigavon</c:v>
                </c:pt>
                <c:pt idx="10">
                  <c:v>Belfast</c:v>
                </c:pt>
              </c:strCache>
            </c:strRef>
          </c:cat>
          <c:val>
            <c:numRef>
              <c:f>'Table 1.2'!$T$8:$T$18</c:f>
              <c:numCache>
                <c:formatCode>#,##0</c:formatCode>
                <c:ptCount val="11"/>
                <c:pt idx="0">
                  <c:v>445</c:v>
                </c:pt>
                <c:pt idx="1">
                  <c:v>340</c:v>
                </c:pt>
                <c:pt idx="2">
                  <c:v>305</c:v>
                </c:pt>
                <c:pt idx="3">
                  <c:v>350</c:v>
                </c:pt>
                <c:pt idx="4">
                  <c:v>325</c:v>
                </c:pt>
                <c:pt idx="5">
                  <c:v>430</c:v>
                </c:pt>
                <c:pt idx="6">
                  <c:v>475</c:v>
                </c:pt>
                <c:pt idx="7">
                  <c:v>380</c:v>
                </c:pt>
                <c:pt idx="8">
                  <c:v>545</c:v>
                </c:pt>
                <c:pt idx="9">
                  <c:v>490</c:v>
                </c:pt>
                <c:pt idx="10">
                  <c:v>1115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939E-42FC-BA98-51F5BE9E2662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82"/>
        <c:axId val="766611104"/>
        <c:axId val="766613184"/>
      </c:barChart>
      <c:catAx>
        <c:axId val="766611104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766613184"/>
        <c:crosses val="autoZero"/>
        <c:auto val="1"/>
        <c:lblAlgn val="ctr"/>
        <c:lblOffset val="100"/>
        <c:noMultiLvlLbl val="0"/>
      </c:catAx>
      <c:valAx>
        <c:axId val="766613184"/>
        <c:scaling>
          <c:orientation val="minMax"/>
          <c:max val="1500"/>
        </c:scaling>
        <c:delete val="0"/>
        <c:axPos val="b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prstDash val="lgDashDotDot"/>
              <a:round/>
            </a:ln>
            <a:effectLst/>
          </c:spPr>
        </c:majorGridlines>
        <c:numFmt formatCode="#,##0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766611104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layout>
        <c:manualLayout>
          <c:xMode val="edge"/>
          <c:yMode val="edge"/>
          <c:x val="0.79339160403811004"/>
          <c:y val="0.63924680382694088"/>
          <c:w val="0.13933929985507029"/>
          <c:h val="0.15860265853865044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bar"/>
        <c:grouping val="clustered"/>
        <c:varyColors val="0"/>
        <c:ser>
          <c:idx val="0"/>
          <c:order val="0"/>
          <c:tx>
            <c:strRef>
              <c:f>Sheet1!$B$34</c:f>
              <c:strCache>
                <c:ptCount val="1"/>
                <c:pt idx="0">
                  <c:v>5 Year Survival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strRef>
              <c:f>Sheet1!$A$35:$A$46</c:f>
              <c:strCache>
                <c:ptCount val="12"/>
                <c:pt idx="0">
                  <c:v>Fermanagh and Omagh</c:v>
                </c:pt>
                <c:pt idx="1">
                  <c:v>Mid Ulster</c:v>
                </c:pt>
                <c:pt idx="2">
                  <c:v>Armagh City, Banbridge and Craigavon</c:v>
                </c:pt>
                <c:pt idx="3">
                  <c:v>Newry, Mourne and Down</c:v>
                </c:pt>
                <c:pt idx="4">
                  <c:v>Causeway Coast and Glens</c:v>
                </c:pt>
                <c:pt idx="5">
                  <c:v>Ards and North Down</c:v>
                </c:pt>
                <c:pt idx="6">
                  <c:v>Northern Ireland</c:v>
                </c:pt>
                <c:pt idx="7">
                  <c:v>Derry City and Strabane</c:v>
                </c:pt>
                <c:pt idx="8">
                  <c:v>Lisburn and Castlereagh</c:v>
                </c:pt>
                <c:pt idx="9">
                  <c:v>Belfast</c:v>
                </c:pt>
                <c:pt idx="10">
                  <c:v>Mid and East Antrim</c:v>
                </c:pt>
                <c:pt idx="11">
                  <c:v>Antrim and Newtownabbey</c:v>
                </c:pt>
              </c:strCache>
            </c:strRef>
          </c:cat>
          <c:val>
            <c:numRef>
              <c:f>Sheet1!$B$35:$B$46</c:f>
              <c:numCache>
                <c:formatCode>0.0%</c:formatCode>
                <c:ptCount val="12"/>
                <c:pt idx="0">
                  <c:v>0.51100000000000001</c:v>
                </c:pt>
                <c:pt idx="1">
                  <c:v>0.51</c:v>
                </c:pt>
                <c:pt idx="2">
                  <c:v>0.504</c:v>
                </c:pt>
                <c:pt idx="3">
                  <c:v>0.5</c:v>
                </c:pt>
                <c:pt idx="4">
                  <c:v>0.49299999999999999</c:v>
                </c:pt>
                <c:pt idx="5">
                  <c:v>0.48799999999999999</c:v>
                </c:pt>
                <c:pt idx="6">
                  <c:v>0.47299999999999998</c:v>
                </c:pt>
                <c:pt idx="7">
                  <c:v>0.45600000000000002</c:v>
                </c:pt>
                <c:pt idx="8">
                  <c:v>0.44900000000000001</c:v>
                </c:pt>
                <c:pt idx="9">
                  <c:v>0.44800000000000001</c:v>
                </c:pt>
                <c:pt idx="10">
                  <c:v>0.44400000000000001</c:v>
                </c:pt>
                <c:pt idx="11">
                  <c:v>0.38600000000000001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B1A3-4636-ADD5-A0B9663D20A5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82"/>
        <c:axId val="889972768"/>
        <c:axId val="889976096"/>
      </c:barChart>
      <c:catAx>
        <c:axId val="889972768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889976096"/>
        <c:crosses val="autoZero"/>
        <c:auto val="1"/>
        <c:lblAlgn val="ctr"/>
        <c:lblOffset val="100"/>
        <c:noMultiLvlLbl val="0"/>
      </c:catAx>
      <c:valAx>
        <c:axId val="889976096"/>
        <c:scaling>
          <c:orientation val="minMax"/>
        </c:scaling>
        <c:delete val="0"/>
        <c:axPos val="b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prstDash val="lgDashDotDot"/>
              <a:round/>
            </a:ln>
            <a:effectLst/>
          </c:spPr>
        </c:majorGridlines>
        <c:numFmt formatCode="0%" sourceLinked="0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889972768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16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16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E3D9C12-4C98-41E4-A36E-35C5F75C8D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6</Pages>
  <Words>1276</Words>
  <Characters>7276</Characters>
  <Application>Microsoft Office Word</Application>
  <DocSecurity>0</DocSecurity>
  <Lines>60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8535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Aileen Gordon</dc:creator>
  <cp:keywords/>
  <dc:description/>
  <cp:lastModifiedBy>Jessica Bennett</cp:lastModifiedBy>
  <cp:revision>8</cp:revision>
  <cp:lastPrinted>2022-06-22T08:06:00Z</cp:lastPrinted>
  <dcterms:created xsi:type="dcterms:W3CDTF">2023-06-30T14:06:00Z</dcterms:created>
  <dcterms:modified xsi:type="dcterms:W3CDTF">2023-06-30T15:15:00Z</dcterms:modified>
</cp:coreProperties>
</file>