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Default="007C1A18">
      <w:pPr>
        <w:rPr>
          <w:b/>
        </w:rPr>
      </w:pPr>
      <w:r>
        <w:rPr>
          <w:b/>
        </w:rPr>
        <w:t xml:space="preserve">Standardised </w:t>
      </w:r>
      <w:r w:rsidR="00FC1BA9">
        <w:rPr>
          <w:b/>
        </w:rPr>
        <w:t>Admission Rates</w:t>
      </w:r>
    </w:p>
    <w:p w:rsidR="003B5AC2" w:rsidRDefault="003B5AC2">
      <w:pPr>
        <w:rPr>
          <w:b/>
        </w:rPr>
      </w:pPr>
      <w:r>
        <w:rPr>
          <w:b/>
        </w:rPr>
        <w:t>All Admissions</w:t>
      </w:r>
    </w:p>
    <w:p w:rsidR="00544D7B" w:rsidRPr="00191636" w:rsidRDefault="00191636">
      <w:pPr>
        <w:rPr>
          <w:b/>
        </w:rPr>
      </w:pPr>
      <w:r>
        <w:t xml:space="preserve">The standardised </w:t>
      </w:r>
      <w:r w:rsidRPr="00191636">
        <w:t xml:space="preserve">admission rate – all admissions </w:t>
      </w:r>
      <w:proofErr w:type="gramStart"/>
      <w:r w:rsidR="00544D7B" w:rsidRPr="00191636">
        <w:t>Includes</w:t>
      </w:r>
      <w:proofErr w:type="gramEnd"/>
      <w:r w:rsidR="00544D7B" w:rsidRPr="00191636">
        <w:t xml:space="preserve"> </w:t>
      </w:r>
      <w:r w:rsidR="003B5AC2">
        <w:t>‘</w:t>
      </w:r>
      <w:r w:rsidR="00544D7B" w:rsidRPr="00191636">
        <w:t>a</w:t>
      </w:r>
      <w:r>
        <w:t xml:space="preserve">ll acute inpatient and day case </w:t>
      </w:r>
      <w:r w:rsidR="00544D7B" w:rsidRPr="00191636">
        <w:t>admissions (excluding regular day and night attenders, hospital transfers and other (maternity/delivery episodes))</w:t>
      </w:r>
      <w:r w:rsidR="003B5AC2">
        <w:t>’</w:t>
      </w:r>
      <w:r w:rsidR="003B5AC2">
        <w:rPr>
          <w:rStyle w:val="FootnoteReference"/>
        </w:rPr>
        <w:footnoteReference w:id="1"/>
      </w:r>
      <w:r w:rsidR="00544D7B" w:rsidRPr="00191636">
        <w:t xml:space="preserve">. </w:t>
      </w:r>
    </w:p>
    <w:p w:rsidR="0071579D" w:rsidRDefault="008C3787" w:rsidP="008C513E">
      <w:r w:rsidRPr="00191636">
        <w:t>The</w:t>
      </w:r>
      <w:r w:rsidR="003E3D2F" w:rsidRPr="00191636">
        <w:t xml:space="preserve"> standardised</w:t>
      </w:r>
      <w:r w:rsidRPr="00191636">
        <w:t xml:space="preserve"> number of </w:t>
      </w:r>
      <w:r w:rsidR="00D209DA" w:rsidRPr="00191636">
        <w:t>admis</w:t>
      </w:r>
      <w:r w:rsidR="00BF5D7B" w:rsidRPr="00191636">
        <w:t xml:space="preserve">sions per 100,000 people in </w:t>
      </w:r>
      <w:r w:rsidR="00303BA0" w:rsidRPr="00191636">
        <w:t>2021</w:t>
      </w:r>
      <w:r w:rsidR="00303BA0">
        <w:t>/22</w:t>
      </w:r>
      <w:r w:rsidR="00BF5D7B">
        <w:t xml:space="preserve"> was</w:t>
      </w:r>
      <w:r w:rsidR="00303BA0">
        <w:t xml:space="preserve"> 17,097</w:t>
      </w:r>
      <w:r w:rsidR="00BF5D7B">
        <w:t xml:space="preserve"> </w:t>
      </w:r>
      <w:r w:rsidR="00D209DA">
        <w:t>in Armagh City, Banbridge and Craigavon</w:t>
      </w:r>
      <w:r w:rsidR="00425F86">
        <w:t xml:space="preserve"> Borough</w:t>
      </w:r>
      <w:r w:rsidR="00BF5D7B">
        <w:t xml:space="preserve"> </w:t>
      </w:r>
      <w:r w:rsidR="00303BA0">
        <w:t>compared to</w:t>
      </w:r>
      <w:r w:rsidR="00BF5D7B">
        <w:t xml:space="preserve"> </w:t>
      </w:r>
      <w:r w:rsidR="00303BA0">
        <w:t xml:space="preserve">18,306 in </w:t>
      </w:r>
      <w:r w:rsidR="00BF5D7B">
        <w:t>Northern Ireland</w:t>
      </w:r>
      <w:r w:rsidR="00D209DA">
        <w:t xml:space="preserve">. </w:t>
      </w:r>
      <w:r w:rsidR="0071579D">
        <w:t xml:space="preserve"> </w:t>
      </w:r>
      <w:r w:rsidR="00F41D5D">
        <w:t xml:space="preserve">Admissions have been </w:t>
      </w:r>
      <w:r w:rsidR="00544D7B">
        <w:t>higher</w:t>
      </w:r>
      <w:r w:rsidR="00F41D5D">
        <w:t xml:space="preserve"> in the borough than in Northern Ireland for</w:t>
      </w:r>
      <w:r w:rsidR="00303BA0">
        <w:t xml:space="preserve"> just three</w:t>
      </w:r>
      <w:r w:rsidR="0039124E">
        <w:t xml:space="preserve"> of the </w:t>
      </w:r>
      <w:r w:rsidR="00303BA0">
        <w:t>nine</w:t>
      </w:r>
      <w:r w:rsidR="0039124E">
        <w:t xml:space="preserve"> years presented below.</w:t>
      </w:r>
      <w:r w:rsidR="00544D7B">
        <w:t xml:space="preserve">  In Northern Ireland overall, the number of admissions was in steady decline between 2013/14 and 2019/20 while in the borough in 2016/17 there was a sharp increase in the number of admissions after which they fell again.  The number of admissions fell sharply in 2020/21 </w:t>
      </w:r>
      <w:r w:rsidR="00191636">
        <w:t>in the borough and</w:t>
      </w:r>
      <w:r w:rsidR="0039124E">
        <w:t xml:space="preserve"> </w:t>
      </w:r>
      <w:r w:rsidR="00191636">
        <w:t>Northern Ireland which is likely an effect of restrictions placed on hospitals due to the COVID-19 pandemic.</w:t>
      </w:r>
      <w:r w:rsidR="0071579D">
        <w:t xml:space="preserve">  </w:t>
      </w:r>
    </w:p>
    <w:p w:rsidR="003B5AC2" w:rsidRDefault="003B5AC2" w:rsidP="008C513E"/>
    <w:tbl>
      <w:tblPr>
        <w:tblStyle w:val="GridTable1Light"/>
        <w:tblW w:w="5240" w:type="dxa"/>
        <w:tblLayout w:type="fixed"/>
        <w:tblLook w:val="0420" w:firstRow="1" w:lastRow="0" w:firstColumn="0" w:lastColumn="0" w:noHBand="0" w:noVBand="1"/>
        <w:tblCaption w:val="Standardised admission rate (all admissions) per 100,000 population in Armagh City, Banbridge and Craigavon Borough and Northern Ireland 2013/14 to 2019/20 "/>
      </w:tblPr>
      <w:tblGrid>
        <w:gridCol w:w="1980"/>
        <w:gridCol w:w="1630"/>
        <w:gridCol w:w="1630"/>
      </w:tblGrid>
      <w:tr w:rsidR="0071579D" w:rsidRPr="0071579D" w:rsidTr="0030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80" w:type="dxa"/>
            <w:hideMark/>
          </w:tcPr>
          <w:p w:rsid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All Admissions</w:t>
            </w:r>
            <w:r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 xml:space="preserve"> </w:t>
            </w:r>
          </w:p>
          <w:p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(per 100,000 population)</w:t>
            </w:r>
          </w:p>
        </w:tc>
        <w:tc>
          <w:tcPr>
            <w:tcW w:w="1630" w:type="dxa"/>
            <w:noWrap/>
            <w:hideMark/>
          </w:tcPr>
          <w:p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630" w:type="dxa"/>
          </w:tcPr>
          <w:p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Northern Ireland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23,700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25,372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2014/15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23,476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24,940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2015/16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24,474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24,794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2016/17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28,856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24,673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2017/18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23,889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23,981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2018/19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24,043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23,507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  <w:hideMark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2019/20</w:t>
            </w:r>
          </w:p>
        </w:tc>
        <w:tc>
          <w:tcPr>
            <w:tcW w:w="1630" w:type="dxa"/>
            <w:noWrap/>
            <w:hideMark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22,858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22,557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2020/21</w:t>
            </w:r>
          </w:p>
        </w:tc>
        <w:tc>
          <w:tcPr>
            <w:tcW w:w="1630" w:type="dxa"/>
            <w:noWrap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13,981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14,955</w:t>
            </w:r>
          </w:p>
        </w:tc>
      </w:tr>
      <w:tr w:rsidR="00303BA0" w:rsidRPr="0071579D" w:rsidTr="00303BA0">
        <w:trPr>
          <w:trHeight w:val="300"/>
        </w:trPr>
        <w:tc>
          <w:tcPr>
            <w:tcW w:w="1980" w:type="dxa"/>
          </w:tcPr>
          <w:p w:rsidR="00303BA0" w:rsidRDefault="00303BA0" w:rsidP="00303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2021/22</w:t>
            </w:r>
          </w:p>
        </w:tc>
        <w:tc>
          <w:tcPr>
            <w:tcW w:w="1630" w:type="dxa"/>
            <w:noWrap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17,097</w:t>
            </w:r>
          </w:p>
        </w:tc>
        <w:tc>
          <w:tcPr>
            <w:tcW w:w="1630" w:type="dxa"/>
          </w:tcPr>
          <w:p w:rsidR="00303BA0" w:rsidRPr="00303BA0" w:rsidRDefault="00303BA0" w:rsidP="00303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BA0">
              <w:rPr>
                <w:rFonts w:ascii="Calibri" w:hAnsi="Calibri" w:cs="Calibri"/>
                <w:color w:val="000000"/>
              </w:rPr>
              <w:t>18,306</w:t>
            </w:r>
          </w:p>
        </w:tc>
      </w:tr>
    </w:tbl>
    <w:p w:rsidR="00191636" w:rsidRDefault="00FC1BA9" w:rsidP="008C513E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1: </w:t>
      </w:r>
      <w:r w:rsidR="00AC255D">
        <w:rPr>
          <w:i/>
          <w:sz w:val="20"/>
          <w:szCs w:val="20"/>
        </w:rPr>
        <w:t>Standardised admission rate (all admissions) per 100,000 population in Armagh City, Banbridge and Craigavon Borough and Nort</w:t>
      </w:r>
      <w:r w:rsidR="00332B2D">
        <w:rPr>
          <w:i/>
          <w:sz w:val="20"/>
          <w:szCs w:val="20"/>
        </w:rPr>
        <w:t xml:space="preserve">hern Ireland 2013/14 to </w:t>
      </w:r>
      <w:r w:rsidR="00303BA0">
        <w:rPr>
          <w:i/>
          <w:sz w:val="20"/>
          <w:szCs w:val="20"/>
        </w:rPr>
        <w:t>2021/22</w:t>
      </w:r>
      <w:r w:rsidR="008E202B">
        <w:rPr>
          <w:i/>
          <w:sz w:val="20"/>
          <w:szCs w:val="20"/>
        </w:rPr>
        <w:t>. Source: Northern Ireland Health and Social</w:t>
      </w:r>
      <w:r w:rsidR="00D47985">
        <w:rPr>
          <w:i/>
          <w:sz w:val="20"/>
          <w:szCs w:val="20"/>
        </w:rPr>
        <w:t xml:space="preserve"> Care Inequalities Monitoring Sy</w:t>
      </w:r>
      <w:r w:rsidR="008E202B">
        <w:rPr>
          <w:i/>
          <w:sz w:val="20"/>
          <w:szCs w:val="20"/>
        </w:rPr>
        <w:t>stem, Department of Health.</w:t>
      </w:r>
    </w:p>
    <w:p w:rsidR="003B5AC2" w:rsidRDefault="003B5AC2" w:rsidP="008C513E">
      <w:pPr>
        <w:rPr>
          <w:i/>
          <w:sz w:val="20"/>
          <w:szCs w:val="20"/>
        </w:rPr>
      </w:pPr>
    </w:p>
    <w:p w:rsidR="00AC255D" w:rsidRDefault="00191636" w:rsidP="00AC255D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1F9037F3" wp14:editId="54BF7E30">
            <wp:extent cx="5753100" cy="27241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C255D">
        <w:rPr>
          <w:i/>
          <w:sz w:val="20"/>
          <w:szCs w:val="20"/>
        </w:rPr>
        <w:t>Figure</w:t>
      </w:r>
      <w:r w:rsidR="00AC255D" w:rsidRPr="008C1EDC">
        <w:rPr>
          <w:i/>
          <w:sz w:val="20"/>
          <w:szCs w:val="20"/>
        </w:rPr>
        <w:t xml:space="preserve"> 1: </w:t>
      </w:r>
      <w:r w:rsidR="00AC255D">
        <w:rPr>
          <w:i/>
          <w:sz w:val="20"/>
          <w:szCs w:val="20"/>
        </w:rPr>
        <w:t xml:space="preserve">Standardised admission rate (all admissions) per 100,000 population in Armagh City, Banbridge and Craigavon Borough and Northern Ireland 2013/14 to </w:t>
      </w:r>
      <w:r w:rsidR="00FB7230">
        <w:rPr>
          <w:i/>
          <w:sz w:val="20"/>
          <w:szCs w:val="20"/>
        </w:rPr>
        <w:t>20</w:t>
      </w:r>
      <w:r w:rsidR="006064AC">
        <w:rPr>
          <w:i/>
          <w:sz w:val="20"/>
          <w:szCs w:val="20"/>
        </w:rPr>
        <w:t>21</w:t>
      </w:r>
      <w:r w:rsidR="00FB7230">
        <w:rPr>
          <w:i/>
          <w:sz w:val="20"/>
          <w:szCs w:val="20"/>
        </w:rPr>
        <w:t>/2</w:t>
      </w:r>
      <w:r w:rsidR="006064AC">
        <w:rPr>
          <w:i/>
          <w:sz w:val="20"/>
          <w:szCs w:val="20"/>
        </w:rPr>
        <w:t>2</w:t>
      </w:r>
      <w:r w:rsidR="00AC255D"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3B5AC2" w:rsidRDefault="003B5AC2" w:rsidP="008C513E">
      <w:pPr>
        <w:rPr>
          <w:b/>
        </w:rPr>
      </w:pPr>
    </w:p>
    <w:p w:rsidR="003B5AC2" w:rsidRPr="003B5AC2" w:rsidRDefault="003B5AC2" w:rsidP="008C513E">
      <w:pPr>
        <w:rPr>
          <w:b/>
        </w:rPr>
      </w:pPr>
      <w:r w:rsidRPr="003B5AC2">
        <w:rPr>
          <w:b/>
        </w:rPr>
        <w:t>Emergency Admissions</w:t>
      </w:r>
    </w:p>
    <w:p w:rsidR="00AC255D" w:rsidRPr="00AC255D" w:rsidRDefault="003B5AC2" w:rsidP="008C513E">
      <w:pPr>
        <w:rPr>
          <w:sz w:val="20"/>
          <w:szCs w:val="20"/>
        </w:rPr>
      </w:pPr>
      <w:r>
        <w:t>An emergency admission is one where ‘a</w:t>
      </w:r>
      <w:r>
        <w:t xml:space="preserve"> patient for whom admission is unpredictable and at short notice because of clinical need. All non-elective acute admissions excluding maternity, other and not known</w:t>
      </w:r>
      <w:r>
        <w:t>’</w:t>
      </w:r>
      <w:r>
        <w:rPr>
          <w:rStyle w:val="FootnoteReference"/>
        </w:rPr>
        <w:footnoteReference w:id="2"/>
      </w:r>
      <w:r>
        <w:t>.</w:t>
      </w:r>
      <w:r>
        <w:t xml:space="preserve">  </w:t>
      </w:r>
      <w:r w:rsidR="00AC255D">
        <w:t xml:space="preserve">The </w:t>
      </w:r>
      <w:r w:rsidR="003E3D2F">
        <w:t>standardised rate</w:t>
      </w:r>
      <w:r w:rsidR="00AD3BA9">
        <w:t xml:space="preserve"> of emergency admissions per 100,000 population in Armagh City, Banbridge and Craigavon </w:t>
      </w:r>
      <w:r w:rsidR="005B7983">
        <w:t xml:space="preserve">Borough </w:t>
      </w:r>
      <w:r w:rsidR="00AD3BA9">
        <w:t>was higher than Northern Irelan</w:t>
      </w:r>
      <w:r w:rsidR="00BF5D7B">
        <w:t xml:space="preserve">d in </w:t>
      </w:r>
      <w:r w:rsidR="001D1427">
        <w:t>20</w:t>
      </w:r>
      <w:r w:rsidR="006B65AF">
        <w:t>21/22</w:t>
      </w:r>
      <w:r w:rsidR="00BF5D7B">
        <w:t xml:space="preserve"> with rates of </w:t>
      </w:r>
      <w:r w:rsidR="006B65AF">
        <w:t>8,24</w:t>
      </w:r>
      <w:r w:rsidR="001D1427">
        <w:t xml:space="preserve">3 and </w:t>
      </w:r>
      <w:r w:rsidR="006B65AF">
        <w:t>7,754</w:t>
      </w:r>
      <w:r w:rsidR="00BF5D7B">
        <w:t xml:space="preserve"> respectively. </w:t>
      </w:r>
      <w:r w:rsidR="006B65AF">
        <w:t>T</w:t>
      </w:r>
      <w:r w:rsidR="00AD3BA9">
        <w:t>he rate in the borough has exceeded that of Northern Ireland</w:t>
      </w:r>
      <w:r w:rsidR="006B65AF">
        <w:t xml:space="preserve"> in all but one year (2020/21) since 2017/18. </w:t>
      </w:r>
    </w:p>
    <w:tbl>
      <w:tblPr>
        <w:tblStyle w:val="GridTable1Light"/>
        <w:tblW w:w="5949" w:type="dxa"/>
        <w:tblLayout w:type="fixed"/>
        <w:tblLook w:val="04A0" w:firstRow="1" w:lastRow="0" w:firstColumn="1" w:lastColumn="0" w:noHBand="0" w:noVBand="1"/>
        <w:tblCaption w:val="Standardised admission rate for emergency admissions per 100,000 population in Armagh City, Banbridge and Craigavon Borough and Northern Ireland 2013/14 to 2019/20"/>
      </w:tblPr>
      <w:tblGrid>
        <w:gridCol w:w="1820"/>
        <w:gridCol w:w="2064"/>
        <w:gridCol w:w="2065"/>
      </w:tblGrid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hideMark/>
          </w:tcPr>
          <w:p w:rsid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Emergency Admissions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(per 100,000 population)</w:t>
            </w:r>
          </w:p>
        </w:tc>
        <w:tc>
          <w:tcPr>
            <w:tcW w:w="2064" w:type="dxa"/>
            <w:hideMark/>
          </w:tcPr>
          <w:p w:rsidR="001D1427" w:rsidRP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065" w:type="dxa"/>
            <w:hideMark/>
          </w:tcPr>
          <w:p w:rsid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D1427" w:rsidRP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2013/14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8,373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9,520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2014/15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8,696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9,394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2015/16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9,490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9,495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2016/17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9,017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9,285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2017/18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9,777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9,234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2018/19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9,547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8,917</w:t>
            </w:r>
          </w:p>
        </w:tc>
      </w:tr>
      <w:tr w:rsidR="001D1427" w:rsidRPr="001D142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2019/20</w:t>
            </w:r>
          </w:p>
        </w:tc>
        <w:tc>
          <w:tcPr>
            <w:tcW w:w="2064" w:type="dxa"/>
            <w:noWrap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9,463</w:t>
            </w:r>
          </w:p>
        </w:tc>
        <w:tc>
          <w:tcPr>
            <w:tcW w:w="2065" w:type="dxa"/>
            <w:hideMark/>
          </w:tcPr>
          <w:p w:rsidR="001D1427" w:rsidRPr="003B5AC2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8,785</w:t>
            </w:r>
          </w:p>
        </w:tc>
      </w:tr>
      <w:tr w:rsidR="003B5AC2" w:rsidRPr="001D1427" w:rsidTr="00FA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vAlign w:val="center"/>
          </w:tcPr>
          <w:p w:rsidR="003B5AC2" w:rsidRPr="003B5AC2" w:rsidRDefault="003B5AC2" w:rsidP="003B5AC2">
            <w:pPr>
              <w:jc w:val="center"/>
              <w:rPr>
                <w:rFonts w:ascii="Calibri" w:hAnsi="Calibri" w:cs="Calibri"/>
                <w:color w:val="000000"/>
              </w:rPr>
            </w:pPr>
            <w:r w:rsidRPr="003B5AC2">
              <w:rPr>
                <w:rFonts w:ascii="Calibri" w:hAnsi="Calibri" w:cs="Calibri"/>
                <w:bCs w:val="0"/>
                <w:color w:val="000000"/>
              </w:rPr>
              <w:t>2020/21</w:t>
            </w:r>
          </w:p>
        </w:tc>
        <w:tc>
          <w:tcPr>
            <w:tcW w:w="2064" w:type="dxa"/>
            <w:noWrap/>
            <w:vAlign w:val="center"/>
          </w:tcPr>
          <w:p w:rsidR="003B5AC2" w:rsidRPr="003B5AC2" w:rsidRDefault="003B5AC2" w:rsidP="003B5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3B5AC2">
              <w:rPr>
                <w:rFonts w:ascii="Calibri" w:hAnsi="Calibri" w:cs="Calibri"/>
                <w:b w:val="0"/>
                <w:color w:val="000000"/>
              </w:rPr>
              <w:t>6,818</w:t>
            </w:r>
          </w:p>
        </w:tc>
        <w:tc>
          <w:tcPr>
            <w:tcW w:w="2065" w:type="dxa"/>
            <w:vAlign w:val="center"/>
          </w:tcPr>
          <w:p w:rsidR="003B5AC2" w:rsidRPr="003B5AC2" w:rsidRDefault="003B5AC2" w:rsidP="003B5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3B5AC2">
              <w:rPr>
                <w:rFonts w:ascii="Calibri" w:hAnsi="Calibri" w:cs="Calibri"/>
                <w:b w:val="0"/>
                <w:color w:val="000000"/>
              </w:rPr>
              <w:t>6,926</w:t>
            </w:r>
          </w:p>
        </w:tc>
      </w:tr>
      <w:tr w:rsidR="003B5AC2" w:rsidRPr="001D1427" w:rsidTr="00FA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vAlign w:val="center"/>
          </w:tcPr>
          <w:p w:rsidR="003B5AC2" w:rsidRPr="003B5AC2" w:rsidRDefault="003B5AC2" w:rsidP="003B5AC2">
            <w:pPr>
              <w:jc w:val="center"/>
              <w:rPr>
                <w:rFonts w:ascii="Calibri" w:hAnsi="Calibri" w:cs="Calibri"/>
                <w:color w:val="000000"/>
              </w:rPr>
            </w:pPr>
            <w:r w:rsidRPr="003B5AC2">
              <w:rPr>
                <w:rFonts w:ascii="Calibri" w:hAnsi="Calibri" w:cs="Calibri"/>
                <w:bCs w:val="0"/>
                <w:color w:val="000000"/>
              </w:rPr>
              <w:t>2021/22</w:t>
            </w:r>
          </w:p>
        </w:tc>
        <w:tc>
          <w:tcPr>
            <w:tcW w:w="2064" w:type="dxa"/>
            <w:noWrap/>
            <w:vAlign w:val="center"/>
          </w:tcPr>
          <w:p w:rsidR="003B5AC2" w:rsidRPr="003B5AC2" w:rsidRDefault="003B5AC2" w:rsidP="003B5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3B5AC2">
              <w:rPr>
                <w:rFonts w:ascii="Calibri" w:hAnsi="Calibri" w:cs="Calibri"/>
                <w:b w:val="0"/>
                <w:color w:val="000000"/>
              </w:rPr>
              <w:t>8,243</w:t>
            </w:r>
          </w:p>
        </w:tc>
        <w:tc>
          <w:tcPr>
            <w:tcW w:w="2065" w:type="dxa"/>
            <w:vAlign w:val="center"/>
          </w:tcPr>
          <w:p w:rsidR="003B5AC2" w:rsidRPr="003B5AC2" w:rsidRDefault="003B5AC2" w:rsidP="003B5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3B5AC2">
              <w:rPr>
                <w:rFonts w:ascii="Calibri" w:hAnsi="Calibri" w:cs="Calibri"/>
                <w:b w:val="0"/>
                <w:color w:val="000000"/>
              </w:rPr>
              <w:t>7,754</w:t>
            </w:r>
          </w:p>
        </w:tc>
      </w:tr>
    </w:tbl>
    <w:p w:rsidR="00AC255D" w:rsidRDefault="00AC255D" w:rsidP="008C513E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2</w:t>
      </w:r>
      <w:r w:rsidRPr="008C1EDC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Standardised admission rate for emergency admissions per 100,000 population in Armagh City, Banbridge and Craigavon Borough and </w:t>
      </w:r>
      <w:r w:rsidR="009E3E0C">
        <w:rPr>
          <w:i/>
          <w:sz w:val="20"/>
          <w:szCs w:val="20"/>
        </w:rPr>
        <w:t xml:space="preserve">Northern Ireland 2013/14 to </w:t>
      </w:r>
      <w:r w:rsidR="006B65AF">
        <w:rPr>
          <w:i/>
          <w:sz w:val="20"/>
          <w:szCs w:val="20"/>
        </w:rPr>
        <w:t>2021/22</w:t>
      </w:r>
      <w:r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AC255D" w:rsidRPr="00D33DF6" w:rsidRDefault="00D33DF6" w:rsidP="00AC255D">
      <w:pPr>
        <w:rPr>
          <w:i/>
          <w:sz w:val="20"/>
          <w:szCs w:val="20"/>
        </w:rPr>
      </w:pPr>
      <w:r w:rsidRPr="00D33DF6">
        <w:rPr>
          <w:i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102870</wp:posOffset>
                </wp:positionV>
                <wp:extent cx="165735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DF6" w:rsidRPr="00D33DF6" w:rsidRDefault="00D33DF6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D33DF6">
                              <w:rPr>
                                <w:color w:val="767171" w:themeColor="background2" w:themeShade="80"/>
                              </w:rPr>
                              <w:t>Emergency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8.1pt;width:130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zTIQIAAB0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" stroked="f">
                <v:textbox>
                  <w:txbxContent>
                    <w:p w:rsidR="00D33DF6" w:rsidRPr="00D33DF6" w:rsidRDefault="00D33DF6">
                      <w:pPr>
                        <w:rPr>
                          <w:color w:val="767171" w:themeColor="background2" w:themeShade="80"/>
                        </w:rPr>
                      </w:pPr>
                      <w:r w:rsidRPr="00D33DF6">
                        <w:rPr>
                          <w:color w:val="767171" w:themeColor="background2" w:themeShade="80"/>
                        </w:rPr>
                        <w:t>Emergency Admissions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0B58017" wp14:editId="5E5411C4">
            <wp:extent cx="5715000" cy="30289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C255D">
        <w:rPr>
          <w:i/>
          <w:sz w:val="20"/>
          <w:szCs w:val="20"/>
        </w:rPr>
        <w:t>Figur</w:t>
      </w:r>
      <w:r w:rsidR="00AC255D" w:rsidRPr="008C1EDC">
        <w:rPr>
          <w:i/>
          <w:sz w:val="20"/>
          <w:szCs w:val="20"/>
        </w:rPr>
        <w:t xml:space="preserve">e </w:t>
      </w:r>
      <w:r w:rsidR="00AC255D">
        <w:rPr>
          <w:i/>
          <w:sz w:val="20"/>
          <w:szCs w:val="20"/>
        </w:rPr>
        <w:t>2</w:t>
      </w:r>
      <w:r w:rsidR="00AC255D" w:rsidRPr="008C1EDC">
        <w:rPr>
          <w:i/>
          <w:sz w:val="20"/>
          <w:szCs w:val="20"/>
        </w:rPr>
        <w:t xml:space="preserve">: </w:t>
      </w:r>
      <w:r w:rsidR="00AC255D">
        <w:rPr>
          <w:i/>
          <w:sz w:val="20"/>
          <w:szCs w:val="20"/>
        </w:rPr>
        <w:t xml:space="preserve">Standardised admission rate for emergency admissions per 100,000 population in Armagh City, Banbridge and Craigavon Borough and </w:t>
      </w:r>
      <w:r w:rsidR="009E3E0C">
        <w:rPr>
          <w:i/>
          <w:sz w:val="20"/>
          <w:szCs w:val="20"/>
        </w:rPr>
        <w:t xml:space="preserve">Northern Ireland 2013/14 to </w:t>
      </w:r>
      <w:r w:rsidR="001D1427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21</w:t>
      </w:r>
      <w:r w:rsidR="001D142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AC255D"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AD3BA9" w:rsidRDefault="00AD3BA9">
      <w:pPr>
        <w:rPr>
          <w:sz w:val="8"/>
          <w:szCs w:val="8"/>
        </w:rPr>
      </w:pPr>
    </w:p>
    <w:p w:rsidR="007C1A18" w:rsidRPr="007C1A18" w:rsidRDefault="007C1A18">
      <w:pPr>
        <w:rPr>
          <w:b/>
        </w:rPr>
      </w:pPr>
      <w:r w:rsidRPr="007C1A18">
        <w:rPr>
          <w:b/>
        </w:rPr>
        <w:t>Circulatory Admissions</w:t>
      </w:r>
    </w:p>
    <w:p w:rsidR="00AD3BA9" w:rsidRDefault="003E3D2F">
      <w:r w:rsidRPr="00C33E70">
        <w:t>Standardised c</w:t>
      </w:r>
      <w:r w:rsidR="00664E21" w:rsidRPr="00C33E70">
        <w:t>irculatory admission rates</w:t>
      </w:r>
      <w:r w:rsidR="00F5367C" w:rsidRPr="00C33E70">
        <w:t xml:space="preserve"> per 100,000 population have been broadly similar between Armagh City, Banbridge and Craigavon </w:t>
      </w:r>
      <w:r w:rsidR="005B7983" w:rsidRPr="00C33E70">
        <w:t xml:space="preserve">Borough </w:t>
      </w:r>
      <w:r w:rsidR="00F5367C" w:rsidRPr="00C33E70">
        <w:t>and Northern Ir</w:t>
      </w:r>
      <w:r w:rsidR="00BF5D7B" w:rsidRPr="00C33E70">
        <w:t>eland overall</w:t>
      </w:r>
      <w:r w:rsidR="000508B8">
        <w:t xml:space="preserve"> with the rate in the borough higher than Northern Ireland for six of the nine years presented below</w:t>
      </w:r>
      <w:r w:rsidR="00BF5D7B" w:rsidRPr="00C33E70">
        <w:t xml:space="preserve">. The rate for </w:t>
      </w:r>
      <w:r w:rsidR="000508B8">
        <w:t>2019/20</w:t>
      </w:r>
      <w:r w:rsidR="00F5367C" w:rsidRPr="00C33E70">
        <w:t xml:space="preserve"> - 20</w:t>
      </w:r>
      <w:r w:rsidR="000508B8">
        <w:t>21/22</w:t>
      </w:r>
      <w:r w:rsidR="00F5367C" w:rsidRPr="00C33E70">
        <w:t xml:space="preserve"> for circulatory adm</w:t>
      </w:r>
      <w:r w:rsidR="00C33E70" w:rsidRPr="00C33E70">
        <w:t xml:space="preserve">issions in the borough was </w:t>
      </w:r>
      <w:r w:rsidR="000508B8">
        <w:t>1,611</w:t>
      </w:r>
      <w:r w:rsidR="00F5367C" w:rsidRPr="00C33E70">
        <w:t xml:space="preserve"> while the</w:t>
      </w:r>
      <w:r w:rsidR="00BF5D7B" w:rsidRPr="00C33E70">
        <w:t xml:space="preserve"> rate for Northern Ireland was 1</w:t>
      </w:r>
      <w:r w:rsidR="00F5367C" w:rsidRPr="00C33E70">
        <w:t>,</w:t>
      </w:r>
      <w:r w:rsidR="000508B8">
        <w:t>576</w:t>
      </w:r>
      <w:r w:rsidR="00F5367C" w:rsidRPr="00C33E70">
        <w:t xml:space="preserve">. </w:t>
      </w:r>
      <w:r w:rsidR="00C33E70">
        <w:t xml:space="preserve"> </w:t>
      </w:r>
      <w:r w:rsidR="00F5367C" w:rsidRPr="00C33E70">
        <w:t xml:space="preserve">Circulatory admission rates per 100,000 population have been declining since 2011/12 – 2013/14 in both Armagh City, Banbridge and Craigavon </w:t>
      </w:r>
      <w:r w:rsidR="005B7983" w:rsidRPr="00C33E70">
        <w:t xml:space="preserve">Borough </w:t>
      </w:r>
      <w:r w:rsidR="00F5367C" w:rsidRPr="00C33E70">
        <w:t>and Northern Ireland overall.</w:t>
      </w:r>
    </w:p>
    <w:p w:rsidR="00C33E70" w:rsidRPr="00C33E70" w:rsidRDefault="00C33E70">
      <w:pPr>
        <w:rPr>
          <w:sz w:val="8"/>
          <w:szCs w:val="8"/>
        </w:rPr>
      </w:pPr>
    </w:p>
    <w:tbl>
      <w:tblPr>
        <w:tblStyle w:val="GridTable1Light"/>
        <w:tblW w:w="6374" w:type="dxa"/>
        <w:tblLayout w:type="fixed"/>
        <w:tblLook w:val="04A0" w:firstRow="1" w:lastRow="0" w:firstColumn="1" w:lastColumn="0" w:noHBand="0" w:noVBand="1"/>
        <w:tblCaption w:val="Standardised admission rate for circulatory admissions per 100,000 population in Armagh City, Banbridge and Craigavon Borough and Northern Ireland 2011/12 - 2013/14"/>
      </w:tblPr>
      <w:tblGrid>
        <w:gridCol w:w="2410"/>
        <w:gridCol w:w="1982"/>
        <w:gridCol w:w="1982"/>
      </w:tblGrid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Circulatory Admissions</w:t>
            </w:r>
            <w:r w:rsidR="00C33E7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C33E70" w:rsidRPr="003E2AB2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1982" w:type="dxa"/>
            <w:hideMark/>
          </w:tcPr>
          <w:p w:rsidR="003E2AB2" w:rsidRPr="003E2AB2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2" w:type="dxa"/>
            <w:noWrap/>
            <w:hideMark/>
          </w:tcPr>
          <w:p w:rsidR="00C33E70" w:rsidRDefault="00C33E70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3E2AB2" w:rsidRPr="003E2AB2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2,375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2,344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2,285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2,337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2,273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2,285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2,168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2,170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2,112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2,062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2,019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1,996</w:t>
            </w:r>
          </w:p>
        </w:tc>
      </w:tr>
      <w:tr w:rsidR="003E2AB2" w:rsidRPr="003E2AB2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3E2AB2" w:rsidRPr="003E2AB2" w:rsidRDefault="003E2AB2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1982" w:type="dxa"/>
            <w:noWrap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2,014</w:t>
            </w:r>
          </w:p>
        </w:tc>
        <w:tc>
          <w:tcPr>
            <w:tcW w:w="1982" w:type="dxa"/>
            <w:hideMark/>
          </w:tcPr>
          <w:p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1,953</w:t>
            </w:r>
          </w:p>
        </w:tc>
      </w:tr>
      <w:tr w:rsidR="000508B8" w:rsidRPr="003E2AB2" w:rsidTr="000A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:rsidR="000508B8" w:rsidRPr="000508B8" w:rsidRDefault="000508B8" w:rsidP="000508B8">
            <w:pPr>
              <w:jc w:val="center"/>
              <w:rPr>
                <w:rFonts w:ascii="Calibri" w:hAnsi="Calibri" w:cs="Calibri"/>
              </w:rPr>
            </w:pPr>
            <w:r w:rsidRPr="000508B8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1982" w:type="dxa"/>
            <w:noWrap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508B8">
              <w:rPr>
                <w:rFonts w:ascii="Calibri" w:hAnsi="Calibri" w:cs="Calibri"/>
                <w:b w:val="0"/>
              </w:rPr>
              <w:t>1,773</w:t>
            </w:r>
          </w:p>
        </w:tc>
        <w:tc>
          <w:tcPr>
            <w:tcW w:w="1982" w:type="dxa"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508B8">
              <w:rPr>
                <w:rFonts w:ascii="Calibri" w:hAnsi="Calibri" w:cs="Calibri"/>
                <w:b w:val="0"/>
              </w:rPr>
              <w:t>1,732</w:t>
            </w:r>
          </w:p>
        </w:tc>
      </w:tr>
      <w:tr w:rsidR="000508B8" w:rsidRPr="003E2AB2" w:rsidTr="000A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bottom"/>
          </w:tcPr>
          <w:p w:rsidR="000508B8" w:rsidRPr="000508B8" w:rsidRDefault="000508B8" w:rsidP="000508B8">
            <w:pPr>
              <w:rPr>
                <w:rFonts w:ascii="Calibri" w:hAnsi="Calibri" w:cs="Calibri"/>
                <w:color w:val="000000"/>
              </w:rPr>
            </w:pPr>
            <w:r w:rsidRPr="000508B8">
              <w:rPr>
                <w:rFonts w:ascii="Calibri" w:hAnsi="Calibri" w:cs="Calibri"/>
                <w:bCs w:val="0"/>
                <w:color w:val="000000"/>
              </w:rPr>
              <w:t xml:space="preserve">    </w:t>
            </w:r>
            <w:r>
              <w:rPr>
                <w:rFonts w:ascii="Calibri" w:hAnsi="Calibri" w:cs="Calibri"/>
                <w:bCs w:val="0"/>
                <w:color w:val="000000"/>
              </w:rPr>
              <w:t xml:space="preserve"> </w:t>
            </w:r>
            <w:r w:rsidRPr="000508B8">
              <w:rPr>
                <w:rFonts w:ascii="Calibri" w:hAnsi="Calibri" w:cs="Calibri"/>
                <w:bCs w:val="0"/>
                <w:color w:val="000000"/>
              </w:rPr>
              <w:t>2019/20 – 2021/22</w:t>
            </w:r>
          </w:p>
        </w:tc>
        <w:tc>
          <w:tcPr>
            <w:tcW w:w="1982" w:type="dxa"/>
            <w:noWrap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508B8">
              <w:rPr>
                <w:rFonts w:ascii="Calibri" w:hAnsi="Calibri" w:cs="Calibri"/>
                <w:b w:val="0"/>
              </w:rPr>
              <w:t>1,611</w:t>
            </w:r>
          </w:p>
        </w:tc>
        <w:tc>
          <w:tcPr>
            <w:tcW w:w="1982" w:type="dxa"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508B8">
              <w:rPr>
                <w:rFonts w:ascii="Calibri" w:hAnsi="Calibri" w:cs="Calibri"/>
                <w:b w:val="0"/>
              </w:rPr>
              <w:t>1,576</w:t>
            </w:r>
          </w:p>
        </w:tc>
      </w:tr>
    </w:tbl>
    <w:p w:rsidR="0058031F" w:rsidRDefault="0058031F" w:rsidP="0058031F">
      <w:pPr>
        <w:rPr>
          <w:i/>
          <w:sz w:val="20"/>
          <w:szCs w:val="20"/>
        </w:rPr>
      </w:pPr>
      <w:r w:rsidRPr="00C33E70">
        <w:rPr>
          <w:i/>
          <w:sz w:val="20"/>
          <w:szCs w:val="20"/>
        </w:rPr>
        <w:t xml:space="preserve">Table 3: Standardised admission rate for circulatory admissions per 100,000 population in Armagh City, Banbridge and Craigavon Borough and Northern Ireland 2011/12 - 2013/14 to </w:t>
      </w:r>
      <w:r w:rsidR="00C33E70" w:rsidRPr="00C33E70">
        <w:rPr>
          <w:i/>
          <w:sz w:val="20"/>
          <w:szCs w:val="20"/>
        </w:rPr>
        <w:t>201</w:t>
      </w:r>
      <w:r w:rsidR="000508B8">
        <w:rPr>
          <w:i/>
          <w:sz w:val="20"/>
          <w:szCs w:val="20"/>
        </w:rPr>
        <w:t>9/20 - 2021</w:t>
      </w:r>
      <w:r w:rsidR="00C33E70" w:rsidRPr="00C33E70">
        <w:rPr>
          <w:i/>
          <w:sz w:val="20"/>
          <w:szCs w:val="20"/>
        </w:rPr>
        <w:t>/2</w:t>
      </w:r>
      <w:r w:rsidR="000508B8">
        <w:rPr>
          <w:i/>
          <w:sz w:val="20"/>
          <w:szCs w:val="20"/>
        </w:rPr>
        <w:t>2</w:t>
      </w:r>
      <w:r w:rsidRPr="00C33E70">
        <w:rPr>
          <w:i/>
          <w:sz w:val="20"/>
          <w:szCs w:val="20"/>
        </w:rPr>
        <w:t>.</w:t>
      </w:r>
      <w:r w:rsidR="008E202B" w:rsidRPr="00C33E7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7C1A18" w:rsidRDefault="007C1A18" w:rsidP="0058031F">
      <w:pPr>
        <w:rPr>
          <w:i/>
          <w:sz w:val="20"/>
          <w:szCs w:val="20"/>
        </w:rPr>
      </w:pPr>
    </w:p>
    <w:p w:rsidR="0058031F" w:rsidRPr="00C33E70" w:rsidRDefault="007C1A18" w:rsidP="0058031F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79DA1B98" wp14:editId="2F00CA7C">
            <wp:extent cx="5829300" cy="2876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8031F" w:rsidRPr="00C33E70">
        <w:rPr>
          <w:i/>
          <w:sz w:val="20"/>
          <w:szCs w:val="20"/>
        </w:rPr>
        <w:t xml:space="preserve">Figure 3: Standardised admission rate for circulatory admissions per 100,000 population in Armagh City, Banbridge and Craigavon Borough and Northern Ireland 2011/12 - 2013/14 to </w:t>
      </w:r>
      <w:r w:rsidR="00C33E70" w:rsidRPr="00C33E70">
        <w:rPr>
          <w:i/>
          <w:sz w:val="20"/>
          <w:szCs w:val="20"/>
        </w:rPr>
        <w:t>201</w:t>
      </w:r>
      <w:r w:rsidR="000508B8">
        <w:rPr>
          <w:i/>
          <w:sz w:val="20"/>
          <w:szCs w:val="20"/>
        </w:rPr>
        <w:t>9/20</w:t>
      </w:r>
      <w:r w:rsidR="0058031F" w:rsidRPr="00C33E70">
        <w:rPr>
          <w:i/>
          <w:sz w:val="20"/>
          <w:szCs w:val="20"/>
        </w:rPr>
        <w:t xml:space="preserve"> - 20</w:t>
      </w:r>
      <w:r w:rsidR="000508B8">
        <w:rPr>
          <w:i/>
          <w:sz w:val="20"/>
          <w:szCs w:val="20"/>
        </w:rPr>
        <w:t>21</w:t>
      </w:r>
      <w:r w:rsidR="00C33E70" w:rsidRPr="00C33E70">
        <w:rPr>
          <w:i/>
          <w:sz w:val="20"/>
          <w:szCs w:val="20"/>
        </w:rPr>
        <w:t>/2</w:t>
      </w:r>
      <w:r w:rsidR="000508B8">
        <w:rPr>
          <w:i/>
          <w:sz w:val="20"/>
          <w:szCs w:val="20"/>
        </w:rPr>
        <w:t>2</w:t>
      </w:r>
      <w:r w:rsidR="0058031F" w:rsidRPr="00C33E70">
        <w:rPr>
          <w:i/>
          <w:sz w:val="20"/>
          <w:szCs w:val="20"/>
        </w:rPr>
        <w:t>.</w:t>
      </w:r>
      <w:r w:rsidR="008E202B" w:rsidRPr="00C33E7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C33E70" w:rsidRDefault="00C33E70">
      <w:pPr>
        <w:rPr>
          <w:i/>
          <w:color w:val="FF0000"/>
          <w:sz w:val="20"/>
          <w:szCs w:val="20"/>
        </w:rPr>
      </w:pPr>
    </w:p>
    <w:p w:rsidR="000508B8" w:rsidRPr="000508B8" w:rsidRDefault="000508B8">
      <w:pPr>
        <w:rPr>
          <w:b/>
        </w:rPr>
      </w:pPr>
      <w:r w:rsidRPr="000508B8">
        <w:rPr>
          <w:b/>
        </w:rPr>
        <w:t>Respiratory Admissions</w:t>
      </w:r>
    </w:p>
    <w:p w:rsidR="0058031F" w:rsidRPr="00B04D97" w:rsidRDefault="00F5367C">
      <w:pPr>
        <w:rPr>
          <w:i/>
          <w:sz w:val="20"/>
          <w:szCs w:val="20"/>
        </w:rPr>
      </w:pPr>
      <w:r w:rsidRPr="00B04D97">
        <w:t xml:space="preserve">The </w:t>
      </w:r>
      <w:r w:rsidR="003E3D2F" w:rsidRPr="00B04D97">
        <w:t xml:space="preserve">standardised </w:t>
      </w:r>
      <w:r w:rsidRPr="00B04D97">
        <w:t xml:space="preserve">rate of respiratory admissions per 100,000 people has been consistently lower in Armagh City, Banbridge and Craigavon </w:t>
      </w:r>
      <w:r w:rsidR="005B7983" w:rsidRPr="00B04D97">
        <w:t xml:space="preserve">Borough </w:t>
      </w:r>
      <w:r w:rsidRPr="00B04D97">
        <w:t>since 2011/12 – 2013/14</w:t>
      </w:r>
      <w:r w:rsidR="004A2BF8" w:rsidRPr="00B04D97">
        <w:t xml:space="preserve"> than in Northern Ireland</w:t>
      </w:r>
      <w:r w:rsidRPr="00B04D97">
        <w:t>. The rate per 100,000 popu</w:t>
      </w:r>
      <w:r w:rsidR="00BF5D7B" w:rsidRPr="00B04D97">
        <w:t xml:space="preserve">lation in the borough for </w:t>
      </w:r>
      <w:r w:rsidR="000508B8">
        <w:t>2019/20 – 2021/22</w:t>
      </w:r>
      <w:r w:rsidR="00BF5D7B" w:rsidRPr="00B04D97">
        <w:t xml:space="preserve"> was 1,</w:t>
      </w:r>
      <w:r w:rsidR="000508B8">
        <w:t>173</w:t>
      </w:r>
      <w:r w:rsidRPr="00B04D97">
        <w:t xml:space="preserve"> while in Nor</w:t>
      </w:r>
      <w:r w:rsidR="00B04D97" w:rsidRPr="00B04D97">
        <w:t>thern Ireland the rate was 1,</w:t>
      </w:r>
      <w:r w:rsidR="000508B8">
        <w:t>307</w:t>
      </w:r>
      <w:r w:rsidRPr="00B04D97">
        <w:t>.</w:t>
      </w:r>
      <w:r w:rsidR="004A2BF8" w:rsidRPr="00B04D97">
        <w:t xml:space="preserve"> Respi</w:t>
      </w:r>
      <w:r w:rsidR="00B04D97" w:rsidRPr="00B04D97">
        <w:t>ratory admission rates had</w:t>
      </w:r>
      <w:r w:rsidR="004A2BF8" w:rsidRPr="00B04D97">
        <w:t xml:space="preserve"> been increasing in both the bo</w:t>
      </w:r>
      <w:r w:rsidR="00BF5D7B" w:rsidRPr="00B04D97">
        <w:t>rough and Northern Ireland between</w:t>
      </w:r>
      <w:r w:rsidR="004A2BF8" w:rsidRPr="00B04D97">
        <w:t xml:space="preserve"> 2011/12 – 2013/14</w:t>
      </w:r>
      <w:r w:rsidR="00BF5D7B" w:rsidRPr="00B04D97">
        <w:t xml:space="preserve"> to 2015/16 – 2017/18 </w:t>
      </w:r>
      <w:r w:rsidR="00B04D97" w:rsidRPr="00B04D97">
        <w:t xml:space="preserve">but both have now recorded a decrease in respiratory admission rates for the </w:t>
      </w:r>
      <w:r w:rsidR="000508B8">
        <w:t>fourth</w:t>
      </w:r>
      <w:r w:rsidR="00B04D97" w:rsidRPr="00B04D97">
        <w:t xml:space="preserve"> year running. </w:t>
      </w:r>
    </w:p>
    <w:tbl>
      <w:tblPr>
        <w:tblStyle w:val="GridTable1Light"/>
        <w:tblW w:w="6516" w:type="dxa"/>
        <w:tblLook w:val="04A0" w:firstRow="1" w:lastRow="0" w:firstColumn="1" w:lastColumn="0" w:noHBand="0" w:noVBand="1"/>
        <w:tblCaption w:val="Standardised admission rate for respiratory admissions per 100,000 population in Armagh City, Banbridge and Craigavon Borough and Northern Ireland 2011/12 - 2013/14 to 2017/18 - 2019/20"/>
      </w:tblPr>
      <w:tblGrid>
        <w:gridCol w:w="2122"/>
        <w:gridCol w:w="2197"/>
        <w:gridCol w:w="2197"/>
      </w:tblGrid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Respiratory Admissions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197" w:type="dxa"/>
            <w:hideMark/>
          </w:tcPr>
          <w:p w:rsidR="00C33E70" w:rsidRP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197" w:type="dxa"/>
            <w:hideMark/>
          </w:tcPr>
          <w:p w:rsid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C33E70" w:rsidRP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1,721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1,940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1,790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2,005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1,835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2,040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1,876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2,055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1,898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2,074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1,875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2,022</w:t>
            </w:r>
          </w:p>
        </w:tc>
      </w:tr>
      <w:tr w:rsidR="00C33E70" w:rsidRPr="00C33E70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2197" w:type="dxa"/>
            <w:noWrap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1,852</w:t>
            </w:r>
          </w:p>
        </w:tc>
        <w:tc>
          <w:tcPr>
            <w:tcW w:w="2197" w:type="dxa"/>
            <w:hideMark/>
          </w:tcPr>
          <w:p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1,969</w:t>
            </w:r>
          </w:p>
        </w:tc>
      </w:tr>
      <w:tr w:rsidR="000508B8" w:rsidRPr="000508B8" w:rsidTr="0079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</w:tcPr>
          <w:p w:rsidR="000508B8" w:rsidRPr="000508B8" w:rsidRDefault="000508B8" w:rsidP="000508B8">
            <w:pPr>
              <w:jc w:val="center"/>
              <w:rPr>
                <w:rFonts w:ascii="Calibri" w:hAnsi="Calibri" w:cs="Calibri"/>
              </w:rPr>
            </w:pPr>
            <w:r w:rsidRPr="000508B8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2197" w:type="dxa"/>
            <w:noWrap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508B8">
              <w:rPr>
                <w:rFonts w:ascii="Calibri" w:hAnsi="Calibri" w:cs="Calibri"/>
                <w:b w:val="0"/>
              </w:rPr>
              <w:t>1,452</w:t>
            </w:r>
          </w:p>
        </w:tc>
        <w:tc>
          <w:tcPr>
            <w:tcW w:w="2197" w:type="dxa"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508B8">
              <w:rPr>
                <w:rFonts w:ascii="Calibri" w:hAnsi="Calibri" w:cs="Calibri"/>
                <w:b w:val="0"/>
              </w:rPr>
              <w:t>1,558</w:t>
            </w:r>
          </w:p>
        </w:tc>
      </w:tr>
      <w:tr w:rsidR="000508B8" w:rsidRPr="000508B8" w:rsidTr="0079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:rsidR="000508B8" w:rsidRPr="000508B8" w:rsidRDefault="000508B8" w:rsidP="000508B8">
            <w:pPr>
              <w:rPr>
                <w:rFonts w:ascii="Calibri" w:hAnsi="Calibri" w:cs="Calibri"/>
                <w:color w:val="000000"/>
              </w:rPr>
            </w:pPr>
            <w:r w:rsidRPr="000508B8">
              <w:rPr>
                <w:rFonts w:ascii="Calibri" w:hAnsi="Calibri" w:cs="Calibri"/>
                <w:bCs w:val="0"/>
                <w:color w:val="000000"/>
              </w:rPr>
              <w:t xml:space="preserve">  2019/20 – 2021/22</w:t>
            </w:r>
          </w:p>
        </w:tc>
        <w:tc>
          <w:tcPr>
            <w:tcW w:w="2197" w:type="dxa"/>
            <w:noWrap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508B8">
              <w:rPr>
                <w:rFonts w:ascii="Calibri" w:hAnsi="Calibri" w:cs="Calibri"/>
                <w:b w:val="0"/>
              </w:rPr>
              <w:t>1,173</w:t>
            </w:r>
          </w:p>
        </w:tc>
        <w:tc>
          <w:tcPr>
            <w:tcW w:w="2197" w:type="dxa"/>
            <w:vAlign w:val="center"/>
          </w:tcPr>
          <w:p w:rsidR="000508B8" w:rsidRPr="000508B8" w:rsidRDefault="000508B8" w:rsidP="00050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508B8">
              <w:rPr>
                <w:rFonts w:ascii="Calibri" w:hAnsi="Calibri" w:cs="Calibri"/>
                <w:b w:val="0"/>
              </w:rPr>
              <w:t>1,307</w:t>
            </w:r>
          </w:p>
        </w:tc>
      </w:tr>
    </w:tbl>
    <w:p w:rsidR="0088357C" w:rsidRPr="00B04D97" w:rsidRDefault="00F5367C">
      <w:pPr>
        <w:rPr>
          <w:i/>
          <w:sz w:val="20"/>
          <w:szCs w:val="20"/>
        </w:rPr>
      </w:pPr>
      <w:r w:rsidRPr="00B04D97">
        <w:rPr>
          <w:i/>
          <w:sz w:val="20"/>
          <w:szCs w:val="20"/>
        </w:rPr>
        <w:t xml:space="preserve">Table 4: Standardised admission rate for respiratory admissions per 100,000 population in Armagh City, Banbridge and Craigavon Borough and Northern Ireland 2011/12 - 2013/14 to </w:t>
      </w:r>
      <w:r w:rsidR="00B04D97" w:rsidRPr="00B04D97">
        <w:rPr>
          <w:i/>
          <w:sz w:val="20"/>
          <w:szCs w:val="20"/>
        </w:rPr>
        <w:t>201</w:t>
      </w:r>
      <w:r w:rsidR="000508B8">
        <w:rPr>
          <w:i/>
          <w:sz w:val="20"/>
          <w:szCs w:val="20"/>
        </w:rPr>
        <w:t>9/20 - 2021/22</w:t>
      </w:r>
      <w:r w:rsidRPr="00B04D97">
        <w:rPr>
          <w:i/>
          <w:sz w:val="20"/>
          <w:szCs w:val="20"/>
        </w:rPr>
        <w:t>.</w:t>
      </w:r>
      <w:r w:rsidR="008E202B" w:rsidRPr="00B04D97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4A2BF8" w:rsidRDefault="004A2BF8">
      <w:pPr>
        <w:rPr>
          <w:i/>
          <w:color w:val="FF0000"/>
          <w:sz w:val="20"/>
          <w:szCs w:val="20"/>
        </w:rPr>
      </w:pPr>
    </w:p>
    <w:p w:rsidR="004A2BF8" w:rsidRPr="00EF5C67" w:rsidRDefault="00EF5C67" w:rsidP="004A2BF8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59C6EFE2" wp14:editId="6F00869C">
            <wp:extent cx="5943600" cy="3152775"/>
            <wp:effectExtent l="0" t="0" r="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A2BF8" w:rsidRPr="00B04D97">
        <w:rPr>
          <w:i/>
          <w:sz w:val="20"/>
          <w:szCs w:val="20"/>
        </w:rPr>
        <w:t xml:space="preserve">Figure 4: Standardised admission rate for respiratory admissions per 100,000 population in Armagh City, Banbridge and Craigavon Borough and Northern </w:t>
      </w:r>
      <w:r w:rsidR="009E3E0C" w:rsidRPr="00B04D97">
        <w:rPr>
          <w:i/>
          <w:sz w:val="20"/>
          <w:szCs w:val="20"/>
        </w:rPr>
        <w:t xml:space="preserve">Ireland 2011/12 - 2013/14 to </w:t>
      </w:r>
      <w:r w:rsidR="00B04D97" w:rsidRPr="00B04D97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9/20 - 2021/22</w:t>
      </w:r>
      <w:r w:rsidR="004A2BF8" w:rsidRPr="00B04D97">
        <w:rPr>
          <w:i/>
          <w:sz w:val="20"/>
          <w:szCs w:val="20"/>
        </w:rPr>
        <w:t>.</w:t>
      </w:r>
      <w:r w:rsidR="008E202B" w:rsidRPr="00B04D97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4A2BF8" w:rsidRDefault="004A2BF8">
      <w:pPr>
        <w:rPr>
          <w:i/>
          <w:color w:val="FF0000"/>
          <w:sz w:val="20"/>
          <w:szCs w:val="20"/>
        </w:rPr>
      </w:pPr>
    </w:p>
    <w:p w:rsidR="007F5CDE" w:rsidRPr="007F5CDE" w:rsidRDefault="007F5CDE">
      <w:pPr>
        <w:rPr>
          <w:b/>
        </w:rPr>
      </w:pPr>
      <w:r w:rsidRPr="007F5CDE">
        <w:rPr>
          <w:b/>
        </w:rPr>
        <w:t>Alcohol Related Causes</w:t>
      </w:r>
    </w:p>
    <w:p w:rsidR="00E7461F" w:rsidRPr="00BB5C94" w:rsidRDefault="00361DAC">
      <w:r w:rsidRPr="00BB5C94">
        <w:t xml:space="preserve">In </w:t>
      </w:r>
      <w:r w:rsidR="00BF6964">
        <w:t>2019/20</w:t>
      </w:r>
      <w:r w:rsidR="00E7461F" w:rsidRPr="00BB5C94">
        <w:t xml:space="preserve"> – 20</w:t>
      </w:r>
      <w:r w:rsidR="00BF6964">
        <w:t>21/22</w:t>
      </w:r>
      <w:r w:rsidR="005B7983" w:rsidRPr="00BB5C94">
        <w:t xml:space="preserve"> t</w:t>
      </w:r>
      <w:r w:rsidR="008745ED" w:rsidRPr="00BB5C94">
        <w:t>he</w:t>
      </w:r>
      <w:r w:rsidR="003E3D2F" w:rsidRPr="00BB5C94">
        <w:t xml:space="preserve"> standardised</w:t>
      </w:r>
      <w:r w:rsidR="008745ED" w:rsidRPr="00BB5C94">
        <w:t xml:space="preserve"> admission rates per 100,000 population fo</w:t>
      </w:r>
      <w:r w:rsidRPr="00BB5C94">
        <w:t xml:space="preserve">r alcohol related causes was </w:t>
      </w:r>
      <w:r w:rsidR="00BF6964">
        <w:t>505</w:t>
      </w:r>
      <w:r w:rsidR="008745ED" w:rsidRPr="00BB5C94">
        <w:t xml:space="preserve"> in Armagh City, Banbridge and Craigavon </w:t>
      </w:r>
      <w:r w:rsidR="005B7983" w:rsidRPr="00BB5C94">
        <w:t>Borough</w:t>
      </w:r>
      <w:r w:rsidR="00BF6964">
        <w:t>, a decrease</w:t>
      </w:r>
      <w:r w:rsidRPr="00BB5C94">
        <w:t xml:space="preserve"> from 5</w:t>
      </w:r>
      <w:r w:rsidR="00BF6964">
        <w:t>72 in 2018/19 – 2020/21</w:t>
      </w:r>
      <w:r w:rsidR="008745ED" w:rsidRPr="00BB5C94">
        <w:t xml:space="preserve">. </w:t>
      </w:r>
      <w:r w:rsidRPr="00BB5C94">
        <w:t>The rate for Northern Ireland for 201</w:t>
      </w:r>
      <w:r w:rsidR="00BF6964">
        <w:t>9/20 – 2021/22</w:t>
      </w:r>
      <w:r w:rsidRPr="00BB5C94">
        <w:t xml:space="preserve"> </w:t>
      </w:r>
      <w:r w:rsidR="00BF6964">
        <w:t>was higher than the borough at 567</w:t>
      </w:r>
      <w:r w:rsidR="00D51E94" w:rsidRPr="00BB5C94">
        <w:t>.</w:t>
      </w:r>
      <w:r w:rsidR="00BB5C94" w:rsidRPr="00BB5C94">
        <w:t xml:space="preserve">  Rates in Northern Ireland have been in decline since 2013/14 – 2015/16 while in the borough, following two years of decline, the rates increase</w:t>
      </w:r>
      <w:r w:rsidR="002A3F9A">
        <w:t>d</w:t>
      </w:r>
      <w:r w:rsidR="00BB5C94" w:rsidRPr="00BB5C94">
        <w:t xml:space="preserve"> again in </w:t>
      </w:r>
      <w:r w:rsidR="00BF6964" w:rsidRPr="00E7461F">
        <w:rPr>
          <w:rFonts w:ascii="Calibri" w:eastAsia="Times New Roman" w:hAnsi="Calibri" w:cs="Calibri"/>
          <w:lang w:eastAsia="en-GB"/>
        </w:rPr>
        <w:t>2016/17 – 2018/19</w:t>
      </w:r>
      <w:r w:rsidR="00BF6964">
        <w:rPr>
          <w:rFonts w:ascii="Calibri" w:eastAsia="Times New Roman" w:hAnsi="Calibri" w:cs="Calibri"/>
          <w:lang w:eastAsia="en-GB"/>
        </w:rPr>
        <w:t xml:space="preserve"> and </w:t>
      </w:r>
      <w:r w:rsidR="00BF6964" w:rsidRPr="00E7461F">
        <w:rPr>
          <w:rFonts w:ascii="Calibri" w:eastAsia="Times New Roman" w:hAnsi="Calibri" w:cs="Calibri"/>
          <w:lang w:eastAsia="en-GB"/>
        </w:rPr>
        <w:t>2017/18 – 2019/20</w:t>
      </w:r>
      <w:r w:rsidR="00BF6964">
        <w:rPr>
          <w:rFonts w:ascii="Calibri" w:eastAsia="Times New Roman" w:hAnsi="Calibri" w:cs="Calibri"/>
          <w:lang w:eastAsia="en-GB"/>
        </w:rPr>
        <w:t xml:space="preserve"> but fell again the last </w:t>
      </w:r>
      <w:r w:rsidR="00BB5C94" w:rsidRPr="00BB5C94">
        <w:t xml:space="preserve">two periods presented.  </w:t>
      </w:r>
    </w:p>
    <w:tbl>
      <w:tblPr>
        <w:tblStyle w:val="GridTable1Light"/>
        <w:tblW w:w="6521" w:type="dxa"/>
        <w:tblLayout w:type="fixed"/>
        <w:tblLook w:val="04A0" w:firstRow="1" w:lastRow="0" w:firstColumn="1" w:lastColumn="0" w:noHBand="0" w:noVBand="1"/>
        <w:tblCaption w:val="Standardised admission rate for alcohol related causes admissions per 100,000 population in Armagh City, Banbridge and Craigavon Borough and Northern Ireland 2011/12 - 2013/14 to 2017/18 - 2019/20"/>
      </w:tblPr>
      <w:tblGrid>
        <w:gridCol w:w="2547"/>
        <w:gridCol w:w="1987"/>
        <w:gridCol w:w="1987"/>
      </w:tblGrid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 xml:space="preserve">Alcohol Related Causes Admissions </w:t>
            </w:r>
          </w:p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1987" w:type="dxa"/>
            <w:hideMark/>
          </w:tcPr>
          <w:p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7" w:type="dxa"/>
            <w:hideMark/>
          </w:tcPr>
          <w:p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577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694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600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719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603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728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597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721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587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691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596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673</w:t>
            </w:r>
          </w:p>
        </w:tc>
      </w:tr>
      <w:tr w:rsidR="00E7461F" w:rsidRPr="00E7461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1987" w:type="dxa"/>
            <w:noWrap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607</w:t>
            </w:r>
          </w:p>
        </w:tc>
        <w:tc>
          <w:tcPr>
            <w:tcW w:w="1987" w:type="dxa"/>
            <w:hideMark/>
          </w:tcPr>
          <w:p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662</w:t>
            </w:r>
          </w:p>
        </w:tc>
      </w:tr>
      <w:tr w:rsidR="002A3F9A" w:rsidRPr="00E7461F" w:rsidTr="00602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="002A3F9A" w:rsidRPr="002A3F9A" w:rsidRDefault="002A3F9A" w:rsidP="002A3F9A">
            <w:pPr>
              <w:jc w:val="center"/>
              <w:rPr>
                <w:rFonts w:ascii="Calibri" w:hAnsi="Calibri" w:cs="Calibri"/>
              </w:rPr>
            </w:pPr>
            <w:r w:rsidRPr="002A3F9A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1987" w:type="dxa"/>
            <w:noWrap/>
            <w:vAlign w:val="center"/>
          </w:tcPr>
          <w:p w:rsidR="002A3F9A" w:rsidRPr="002A3F9A" w:rsidRDefault="002A3F9A" w:rsidP="002A3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A3F9A">
              <w:rPr>
                <w:rFonts w:ascii="Calibri" w:hAnsi="Calibri" w:cs="Calibri"/>
                <w:b w:val="0"/>
              </w:rPr>
              <w:t>572</w:t>
            </w:r>
          </w:p>
        </w:tc>
        <w:tc>
          <w:tcPr>
            <w:tcW w:w="1987" w:type="dxa"/>
            <w:vAlign w:val="center"/>
          </w:tcPr>
          <w:p w:rsidR="002A3F9A" w:rsidRPr="002A3F9A" w:rsidRDefault="002A3F9A" w:rsidP="002A3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2A3F9A">
              <w:rPr>
                <w:rFonts w:ascii="Calibri" w:hAnsi="Calibri" w:cs="Calibri"/>
                <w:b w:val="0"/>
              </w:rPr>
              <w:t>614</w:t>
            </w:r>
          </w:p>
        </w:tc>
      </w:tr>
      <w:tr w:rsidR="002A3F9A" w:rsidRPr="00E7461F" w:rsidTr="00602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:rsidR="002A3F9A" w:rsidRPr="002A3F9A" w:rsidRDefault="002A3F9A" w:rsidP="002A3F9A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F9A">
              <w:rPr>
                <w:rFonts w:ascii="Calibri" w:hAnsi="Calibri" w:cs="Calibri"/>
                <w:bCs w:val="0"/>
                <w:color w:val="000000"/>
              </w:rPr>
              <w:t>2019/20 – 2021/22</w:t>
            </w:r>
          </w:p>
        </w:tc>
        <w:tc>
          <w:tcPr>
            <w:tcW w:w="1987" w:type="dxa"/>
            <w:noWrap/>
            <w:vAlign w:val="center"/>
          </w:tcPr>
          <w:p w:rsidR="002A3F9A" w:rsidRPr="002A3F9A" w:rsidRDefault="002A3F9A" w:rsidP="002A3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A3F9A">
              <w:rPr>
                <w:rFonts w:ascii="Calibri" w:hAnsi="Calibri" w:cs="Calibri"/>
                <w:b w:val="0"/>
              </w:rPr>
              <w:t>505</w:t>
            </w:r>
          </w:p>
        </w:tc>
        <w:tc>
          <w:tcPr>
            <w:tcW w:w="1987" w:type="dxa"/>
            <w:vAlign w:val="center"/>
          </w:tcPr>
          <w:p w:rsidR="002A3F9A" w:rsidRPr="002A3F9A" w:rsidRDefault="002A3F9A" w:rsidP="002A3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2A3F9A">
              <w:rPr>
                <w:rFonts w:ascii="Calibri" w:hAnsi="Calibri" w:cs="Calibri"/>
                <w:b w:val="0"/>
              </w:rPr>
              <w:t>567</w:t>
            </w:r>
          </w:p>
        </w:tc>
      </w:tr>
    </w:tbl>
    <w:p w:rsidR="008745ED" w:rsidRPr="00E7461F" w:rsidRDefault="008745ED" w:rsidP="008745ED">
      <w:pPr>
        <w:rPr>
          <w:i/>
          <w:sz w:val="20"/>
          <w:szCs w:val="20"/>
        </w:rPr>
      </w:pPr>
      <w:r w:rsidRPr="00E7461F">
        <w:rPr>
          <w:i/>
          <w:sz w:val="20"/>
          <w:szCs w:val="20"/>
        </w:rPr>
        <w:t>Table 5: Standardised admission rate for alcohol related causes admissions per 100,000 population in Armagh City, Banbridge and Craigavon Borough and Northern I</w:t>
      </w:r>
      <w:r w:rsidR="00E7461F">
        <w:rPr>
          <w:i/>
          <w:sz w:val="20"/>
          <w:szCs w:val="20"/>
        </w:rPr>
        <w:t>reland 2011/12 - 2013/14 to 201</w:t>
      </w:r>
      <w:r w:rsidR="00BF6964">
        <w:rPr>
          <w:i/>
          <w:sz w:val="20"/>
          <w:szCs w:val="20"/>
        </w:rPr>
        <w:t>9/20 - 2021/22</w:t>
      </w:r>
      <w:r w:rsidRPr="00E7461F">
        <w:rPr>
          <w:i/>
          <w:sz w:val="20"/>
          <w:szCs w:val="20"/>
        </w:rPr>
        <w:t>.</w:t>
      </w:r>
      <w:r w:rsidR="008E202B" w:rsidRPr="00E7461F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88357C" w:rsidRDefault="0088357C">
      <w:pPr>
        <w:rPr>
          <w:i/>
          <w:color w:val="FF0000"/>
          <w:sz w:val="20"/>
          <w:szCs w:val="20"/>
        </w:rPr>
      </w:pPr>
    </w:p>
    <w:p w:rsidR="008745ED" w:rsidRPr="002A3F9A" w:rsidRDefault="002A3F9A" w:rsidP="008745ED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6E5AB05" wp14:editId="0A10CEFF">
            <wp:extent cx="5743575" cy="313372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745ED" w:rsidRPr="00BB5C94">
        <w:rPr>
          <w:i/>
          <w:sz w:val="20"/>
          <w:szCs w:val="20"/>
        </w:rPr>
        <w:t>Figure 5: Standardised admission rate for alcohol related causes admissions per 100,000 population in Armagh City, Banbridge and Craigavon Borough and Northern I</w:t>
      </w:r>
      <w:r w:rsidR="009E3E0C" w:rsidRPr="00BB5C94">
        <w:rPr>
          <w:i/>
          <w:sz w:val="20"/>
          <w:szCs w:val="20"/>
        </w:rPr>
        <w:t xml:space="preserve">reland 2011/12 - 2013/14 to </w:t>
      </w:r>
      <w:r w:rsidR="00BB5C94" w:rsidRPr="00BB5C94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9</w:t>
      </w:r>
      <w:r w:rsidR="00BB5C94" w:rsidRPr="00BB5C9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20</w:t>
      </w:r>
      <w:r w:rsidR="008745ED" w:rsidRPr="00BB5C94">
        <w:rPr>
          <w:i/>
          <w:sz w:val="20"/>
          <w:szCs w:val="20"/>
        </w:rPr>
        <w:t xml:space="preserve"> - 2</w:t>
      </w:r>
      <w:r>
        <w:rPr>
          <w:i/>
          <w:sz w:val="20"/>
          <w:szCs w:val="20"/>
        </w:rPr>
        <w:t>021</w:t>
      </w:r>
      <w:r w:rsidR="00BB5C94" w:rsidRPr="00BB5C94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8745ED" w:rsidRPr="00BB5C94">
        <w:rPr>
          <w:i/>
          <w:sz w:val="20"/>
          <w:szCs w:val="20"/>
        </w:rPr>
        <w:t>.</w:t>
      </w:r>
      <w:r w:rsidR="008E202B" w:rsidRPr="00BB5C94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F70234" w:rsidRPr="003E2AB2" w:rsidRDefault="00F70234">
      <w:pPr>
        <w:rPr>
          <w:i/>
          <w:color w:val="FF0000"/>
          <w:sz w:val="20"/>
          <w:szCs w:val="20"/>
        </w:rPr>
      </w:pPr>
    </w:p>
    <w:p w:rsidR="00034A0A" w:rsidRPr="007F5CDE" w:rsidRDefault="00034A0A" w:rsidP="00034A0A">
      <w:pPr>
        <w:rPr>
          <w:b/>
        </w:rPr>
      </w:pPr>
      <w:r>
        <w:rPr>
          <w:b/>
        </w:rPr>
        <w:t>Drug</w:t>
      </w:r>
      <w:r w:rsidRPr="007F5CDE">
        <w:rPr>
          <w:b/>
        </w:rPr>
        <w:t xml:space="preserve"> Related Causes</w:t>
      </w:r>
    </w:p>
    <w:p w:rsidR="005B320E" w:rsidRPr="00D15078" w:rsidRDefault="005B320E">
      <w:r w:rsidRPr="00D15078">
        <w:t xml:space="preserve">Standardised </w:t>
      </w:r>
      <w:r w:rsidR="00D15078" w:rsidRPr="00D15078">
        <w:t xml:space="preserve">admissions for </w:t>
      </w:r>
      <w:r w:rsidRPr="00D15078">
        <w:t xml:space="preserve">drug related causes per 100,000 population </w:t>
      </w:r>
      <w:r w:rsidR="00D15078" w:rsidRPr="00D15078">
        <w:t xml:space="preserve">had been in decline from 2012/13 – 2014/15 (261) until 2016/17 – 2018/19 when </w:t>
      </w:r>
      <w:r w:rsidR="00034A0A">
        <w:t xml:space="preserve">they fell to 157.  Although there was a slight increase in </w:t>
      </w:r>
      <w:r w:rsidR="00D15078" w:rsidRPr="00D15078">
        <w:t xml:space="preserve">2017/18 – 2019/20 </w:t>
      </w:r>
      <w:r w:rsidR="00034A0A">
        <w:t>(164), figures have been falling again in the borough</w:t>
      </w:r>
      <w:r w:rsidR="00D15078" w:rsidRPr="00D15078">
        <w:t xml:space="preserve">.  Armagh City, Banbridge and Craigavon Borough admissions were higher than in Northern Ireland in 2011/12 – 2013/14 and 2012/13 – 2014/15 but the rate for the borough has </w:t>
      </w:r>
      <w:r w:rsidR="00034A0A">
        <w:t>remained</w:t>
      </w:r>
      <w:r w:rsidR="00D15078" w:rsidRPr="00D15078">
        <w:t xml:space="preserve"> consistently lower than Northern Ireland since 2013/14 – 2015/16.</w:t>
      </w:r>
    </w:p>
    <w:tbl>
      <w:tblPr>
        <w:tblStyle w:val="GridTable1Light"/>
        <w:tblW w:w="6799" w:type="dxa"/>
        <w:tblLayout w:type="fixed"/>
        <w:tblLook w:val="04A0" w:firstRow="1" w:lastRow="0" w:firstColumn="1" w:lastColumn="0" w:noHBand="0" w:noVBand="1"/>
        <w:tblCaption w:val="Standardised admission rate for drug related causes admissions per 100,000 population in Armagh City, Banbridge and Craigavon Borough and Northern Ireland 2011/12 - 2013/14 to 2017/18 - 2019/20"/>
      </w:tblPr>
      <w:tblGrid>
        <w:gridCol w:w="2689"/>
        <w:gridCol w:w="2055"/>
        <w:gridCol w:w="2055"/>
      </w:tblGrid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B40B6F" w:rsidRPr="00FF69F0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Drug Related Causes Admissions</w:t>
            </w:r>
            <w:r w:rsidRPr="00FF69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055" w:type="dxa"/>
            <w:hideMark/>
          </w:tcPr>
          <w:p w:rsidR="00B40B6F" w:rsidRPr="00B40B6F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055" w:type="dxa"/>
            <w:hideMark/>
          </w:tcPr>
          <w:p w:rsidR="00FF69F0" w:rsidRPr="00FF69F0" w:rsidRDefault="00FF69F0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B40B6F" w:rsidRPr="00B40B6F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257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251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261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247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236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237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190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220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159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202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157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191</w:t>
            </w:r>
          </w:p>
        </w:tc>
      </w:tr>
      <w:tr w:rsidR="00FF69F0" w:rsidRPr="00B40B6F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2055" w:type="dxa"/>
            <w:noWrap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164</w:t>
            </w:r>
          </w:p>
        </w:tc>
        <w:tc>
          <w:tcPr>
            <w:tcW w:w="2055" w:type="dxa"/>
            <w:hideMark/>
          </w:tcPr>
          <w:p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190</w:t>
            </w:r>
          </w:p>
        </w:tc>
      </w:tr>
      <w:tr w:rsidR="00034A0A" w:rsidRPr="00B40B6F" w:rsidTr="00F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</w:tcPr>
          <w:p w:rsidR="00034A0A" w:rsidRPr="00034A0A" w:rsidRDefault="00034A0A" w:rsidP="00034A0A">
            <w:pPr>
              <w:jc w:val="center"/>
              <w:rPr>
                <w:rFonts w:ascii="Calibri" w:hAnsi="Calibri" w:cs="Calibri"/>
              </w:rPr>
            </w:pPr>
            <w:r w:rsidRPr="00034A0A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2055" w:type="dxa"/>
            <w:noWrap/>
            <w:vAlign w:val="center"/>
          </w:tcPr>
          <w:p w:rsidR="00034A0A" w:rsidRPr="00034A0A" w:rsidRDefault="00034A0A" w:rsidP="00034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34A0A">
              <w:rPr>
                <w:rFonts w:ascii="Calibri" w:hAnsi="Calibri" w:cs="Calibri"/>
                <w:b w:val="0"/>
              </w:rPr>
              <w:t>144</w:t>
            </w:r>
          </w:p>
        </w:tc>
        <w:tc>
          <w:tcPr>
            <w:tcW w:w="2055" w:type="dxa"/>
            <w:vAlign w:val="center"/>
          </w:tcPr>
          <w:p w:rsidR="00034A0A" w:rsidRPr="00034A0A" w:rsidRDefault="00034A0A" w:rsidP="00034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34A0A">
              <w:rPr>
                <w:rFonts w:ascii="Calibri" w:hAnsi="Calibri" w:cs="Calibri"/>
                <w:b w:val="0"/>
              </w:rPr>
              <w:t>179</w:t>
            </w:r>
          </w:p>
        </w:tc>
      </w:tr>
      <w:tr w:rsidR="00034A0A" w:rsidRPr="00B40B6F" w:rsidTr="00F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bottom"/>
          </w:tcPr>
          <w:p w:rsidR="00034A0A" w:rsidRPr="00034A0A" w:rsidRDefault="00034A0A" w:rsidP="00034A0A">
            <w:pPr>
              <w:jc w:val="center"/>
              <w:rPr>
                <w:rFonts w:ascii="Calibri" w:hAnsi="Calibri" w:cs="Calibri"/>
                <w:color w:val="000000"/>
              </w:rPr>
            </w:pPr>
            <w:r w:rsidRPr="00034A0A">
              <w:rPr>
                <w:rFonts w:ascii="Calibri" w:hAnsi="Calibri" w:cs="Calibri"/>
                <w:bCs w:val="0"/>
                <w:color w:val="000000"/>
              </w:rPr>
              <w:t>2019/20 – 2021/22</w:t>
            </w:r>
          </w:p>
        </w:tc>
        <w:tc>
          <w:tcPr>
            <w:tcW w:w="2055" w:type="dxa"/>
            <w:noWrap/>
            <w:vAlign w:val="center"/>
          </w:tcPr>
          <w:p w:rsidR="00034A0A" w:rsidRPr="00034A0A" w:rsidRDefault="00034A0A" w:rsidP="00034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34A0A">
              <w:rPr>
                <w:rFonts w:ascii="Calibri" w:hAnsi="Calibri" w:cs="Calibri"/>
                <w:b w:val="0"/>
              </w:rPr>
              <w:t>123</w:t>
            </w:r>
          </w:p>
        </w:tc>
        <w:tc>
          <w:tcPr>
            <w:tcW w:w="2055" w:type="dxa"/>
            <w:vAlign w:val="center"/>
          </w:tcPr>
          <w:p w:rsidR="00034A0A" w:rsidRPr="00034A0A" w:rsidRDefault="00034A0A" w:rsidP="00034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034A0A">
              <w:rPr>
                <w:rFonts w:ascii="Calibri" w:hAnsi="Calibri" w:cs="Calibri"/>
                <w:b w:val="0"/>
              </w:rPr>
              <w:t>161</w:t>
            </w:r>
          </w:p>
        </w:tc>
      </w:tr>
    </w:tbl>
    <w:p w:rsidR="00D51E94" w:rsidRPr="00FF69F0" w:rsidRDefault="00D51E94" w:rsidP="00D51E94">
      <w:pPr>
        <w:rPr>
          <w:i/>
          <w:sz w:val="20"/>
          <w:szCs w:val="20"/>
        </w:rPr>
      </w:pPr>
      <w:r w:rsidRPr="00FF69F0">
        <w:rPr>
          <w:i/>
          <w:sz w:val="20"/>
          <w:szCs w:val="20"/>
        </w:rPr>
        <w:t>Table 6: Standardised admission rate for drug related causes admissions per 100,000 population in Armagh City, Banbridge and Craigavon Borough and Northern I</w:t>
      </w:r>
      <w:r w:rsidR="009E3E0C" w:rsidRPr="00FF69F0">
        <w:rPr>
          <w:i/>
          <w:sz w:val="20"/>
          <w:szCs w:val="20"/>
        </w:rPr>
        <w:t xml:space="preserve">reland 2011/12 - 2013/14 to </w:t>
      </w:r>
      <w:r w:rsidR="00034A0A">
        <w:rPr>
          <w:i/>
          <w:sz w:val="20"/>
          <w:szCs w:val="20"/>
        </w:rPr>
        <w:t>2019/20</w:t>
      </w:r>
      <w:r w:rsidR="009E3E0C" w:rsidRPr="00FF69F0">
        <w:rPr>
          <w:i/>
          <w:sz w:val="20"/>
          <w:szCs w:val="20"/>
        </w:rPr>
        <w:t xml:space="preserve"> </w:t>
      </w:r>
      <w:r w:rsidR="00FF69F0" w:rsidRPr="00FF69F0">
        <w:rPr>
          <w:i/>
          <w:sz w:val="20"/>
          <w:szCs w:val="20"/>
        </w:rPr>
        <w:t>–</w:t>
      </w:r>
      <w:r w:rsidR="009E3E0C" w:rsidRPr="00FF69F0">
        <w:rPr>
          <w:i/>
          <w:sz w:val="20"/>
          <w:szCs w:val="20"/>
        </w:rPr>
        <w:t xml:space="preserve"> </w:t>
      </w:r>
      <w:r w:rsidR="00034A0A">
        <w:rPr>
          <w:i/>
          <w:sz w:val="20"/>
          <w:szCs w:val="20"/>
        </w:rPr>
        <w:t>2021/22</w:t>
      </w:r>
      <w:r w:rsidRPr="00FF69F0">
        <w:rPr>
          <w:i/>
          <w:sz w:val="20"/>
          <w:szCs w:val="20"/>
        </w:rPr>
        <w:t>.</w:t>
      </w:r>
      <w:r w:rsidR="008E202B" w:rsidRPr="00FF69F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D51E94" w:rsidRDefault="00D51E94">
      <w:pPr>
        <w:rPr>
          <w:i/>
          <w:color w:val="FF0000"/>
          <w:sz w:val="20"/>
          <w:szCs w:val="20"/>
        </w:rPr>
      </w:pPr>
    </w:p>
    <w:p w:rsidR="00D51E94" w:rsidRPr="00034A0A" w:rsidRDefault="00034A0A" w:rsidP="00D51E94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6D0CD678" wp14:editId="12BFB08D">
            <wp:extent cx="5819775" cy="31527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51E94" w:rsidRPr="00B40B6F">
        <w:rPr>
          <w:i/>
          <w:sz w:val="20"/>
          <w:szCs w:val="20"/>
        </w:rPr>
        <w:t>Figure 6: Standardised admission rate for drug related causes admissions per 100,000 population in Armagh City, Banbridge and Craigavon Borough and Northern I</w:t>
      </w:r>
      <w:r w:rsidR="009E3E0C" w:rsidRPr="00B40B6F">
        <w:rPr>
          <w:i/>
          <w:sz w:val="20"/>
          <w:szCs w:val="20"/>
        </w:rPr>
        <w:t xml:space="preserve">reland 2011/12 - 2013/14 to </w:t>
      </w:r>
      <w:r w:rsidR="00B40B6F" w:rsidRPr="00B40B6F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9/20 - 2021/22</w:t>
      </w:r>
      <w:r w:rsidR="00D51E94" w:rsidRPr="00B40B6F">
        <w:rPr>
          <w:i/>
          <w:sz w:val="20"/>
          <w:szCs w:val="20"/>
        </w:rPr>
        <w:t>.</w:t>
      </w:r>
      <w:r w:rsidR="008E202B" w:rsidRPr="00B40B6F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5B320E" w:rsidRPr="003E2AB2" w:rsidRDefault="005B320E" w:rsidP="00D51E94">
      <w:pPr>
        <w:rPr>
          <w:i/>
          <w:color w:val="FF0000"/>
          <w:sz w:val="20"/>
          <w:szCs w:val="20"/>
        </w:rPr>
      </w:pPr>
    </w:p>
    <w:p w:rsidR="00793107" w:rsidRPr="007F5CDE" w:rsidRDefault="00793107" w:rsidP="00793107">
      <w:pPr>
        <w:rPr>
          <w:b/>
        </w:rPr>
      </w:pPr>
      <w:r>
        <w:rPr>
          <w:b/>
        </w:rPr>
        <w:t xml:space="preserve">Self-Harm </w:t>
      </w:r>
    </w:p>
    <w:p w:rsidR="00CC6740" w:rsidRDefault="005B320E">
      <w:r w:rsidRPr="00CC6740">
        <w:t>The standardised a</w:t>
      </w:r>
      <w:r w:rsidR="00E379CD" w:rsidRPr="00CC6740">
        <w:t>dmission rate</w:t>
      </w:r>
      <w:r w:rsidR="00D75716" w:rsidRPr="00CC6740">
        <w:t xml:space="preserve"> per 100,000 population</w:t>
      </w:r>
      <w:r w:rsidR="00E379CD" w:rsidRPr="00CC6740">
        <w:t xml:space="preserve"> for self-harm </w:t>
      </w:r>
      <w:r w:rsidR="00D75716" w:rsidRPr="00CC6740">
        <w:t>in Armagh City,</w:t>
      </w:r>
      <w:r w:rsidR="00361DAC" w:rsidRPr="00CC6740">
        <w:t xml:space="preserve"> Banbridge and Craigavon in </w:t>
      </w:r>
      <w:r w:rsidR="00793107">
        <w:t>2017/18</w:t>
      </w:r>
      <w:r w:rsidR="00361DAC" w:rsidRPr="00CC6740">
        <w:t xml:space="preserve"> – </w:t>
      </w:r>
      <w:r w:rsidR="00793107">
        <w:t>2021/22 was 92</w:t>
      </w:r>
      <w:r w:rsidR="00CC6740" w:rsidRPr="00CC6740">
        <w:t xml:space="preserve"> compared to </w:t>
      </w:r>
      <w:r w:rsidR="00793107">
        <w:t>the Northern Ireland rate of 102</w:t>
      </w:r>
      <w:r w:rsidR="00D75716" w:rsidRPr="00CC6740">
        <w:t>.</w:t>
      </w:r>
      <w:r w:rsidR="00CC6740" w:rsidRPr="00CC6740">
        <w:t xml:space="preserve"> </w:t>
      </w:r>
      <w:r w:rsidR="00D75716" w:rsidRPr="00CC6740">
        <w:t xml:space="preserve"> </w:t>
      </w:r>
      <w:r w:rsidR="00CC6740">
        <w:t xml:space="preserve">This is the </w:t>
      </w:r>
      <w:r w:rsidR="00793107">
        <w:t>fourth year running</w:t>
      </w:r>
      <w:r w:rsidR="00CC6740">
        <w:t xml:space="preserve"> that the rate for the borough has been below the rate for Northern Ireland.  While t</w:t>
      </w:r>
      <w:r w:rsidR="00D75716" w:rsidRPr="00CC6740">
        <w:t xml:space="preserve">he admission rate has been decreasing in both the borough and Northern Ireland </w:t>
      </w:r>
      <w:r w:rsidR="007D4D31" w:rsidRPr="00CC6740">
        <w:t>from 236 and 226 res</w:t>
      </w:r>
      <w:r w:rsidR="00361DAC" w:rsidRPr="00CC6740">
        <w:t>pectively in 2009/10 – 201</w:t>
      </w:r>
      <w:r w:rsidR="00CC6740">
        <w:t xml:space="preserve">3/14, the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 xml:space="preserve">Armagh City, Banbridge &amp; Craigavon 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Borough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LGD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-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NI Gap</w:t>
      </w:r>
      <w:r w:rsidR="00CC6740">
        <w:t xml:space="preserve"> has widened from </w:t>
      </w:r>
      <w:r w:rsidR="00FE4A6C">
        <w:t>-</w:t>
      </w:r>
      <w:r w:rsidR="00CC6740">
        <w:t xml:space="preserve">3% in 2014/15 – 2018/19 to </w:t>
      </w:r>
      <w:r w:rsidR="00FE4A6C">
        <w:t>-</w:t>
      </w:r>
      <w:r w:rsidR="00793107">
        <w:t>11</w:t>
      </w:r>
      <w:r w:rsidR="00CC6740">
        <w:t xml:space="preserve">% in </w:t>
      </w:r>
      <w:r w:rsidR="00793107">
        <w:t>2017/18 – 2021/22</w:t>
      </w:r>
      <w:r w:rsidR="00CC6740">
        <w:t xml:space="preserve">.  </w:t>
      </w:r>
    </w:p>
    <w:tbl>
      <w:tblPr>
        <w:tblStyle w:val="GridTable1Light"/>
        <w:tblW w:w="6658" w:type="dxa"/>
        <w:tblLayout w:type="fixed"/>
        <w:tblLook w:val="04A0" w:firstRow="1" w:lastRow="0" w:firstColumn="1" w:lastColumn="0" w:noHBand="0" w:noVBand="1"/>
        <w:tblCaption w:val="Standardised admission rate for self-harm admissions per 100,000 population in Armagh City, Banbridge and Craigavon Borough and Northern Ireland 2009/10 - 2013/14 to 2015/16 - 2019/20."/>
      </w:tblPr>
      <w:tblGrid>
        <w:gridCol w:w="2320"/>
        <w:gridCol w:w="2169"/>
        <w:gridCol w:w="2169"/>
      </w:tblGrid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Self-harm Admissions</w:t>
            </w:r>
            <w:r w:rsidRPr="002B56E0">
              <w:rPr>
                <w:rFonts w:ascii="Calibri" w:eastAsia="Times New Roman" w:hAnsi="Calibri" w:cs="Calibri"/>
                <w:bCs w:val="0"/>
                <w:lang w:eastAsia="en-GB"/>
              </w:rPr>
              <w:t xml:space="preserve"> </w:t>
            </w:r>
            <w:r w:rsidRPr="002B56E0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169" w:type="dxa"/>
            <w:hideMark/>
          </w:tcPr>
          <w:p w:rsidR="002B56E0" w:rsidRPr="002B56E0" w:rsidRDefault="002B56E0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2009/10 – 2013/14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236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226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2010/11 – 2014/15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233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215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2011/12 – 2015/16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207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194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2012/13 – 2016/17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176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173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2013/14 – 2017/18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157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154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2014/15 – 2018/19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132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136</w:t>
            </w:r>
          </w:p>
        </w:tc>
      </w:tr>
      <w:tr w:rsidR="00D15078" w:rsidRPr="002B56E0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D15078" w:rsidRPr="002B56E0" w:rsidRDefault="00A333C0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2015/16</w:t>
            </w:r>
            <w:r w:rsidR="00D15078" w:rsidRPr="002B56E0">
              <w:rPr>
                <w:rFonts w:ascii="Calibri" w:eastAsia="Times New Roman" w:hAnsi="Calibri" w:cs="Calibri"/>
                <w:lang w:eastAsia="en-GB"/>
              </w:rPr>
              <w:t xml:space="preserve"> – 2019/20</w:t>
            </w:r>
          </w:p>
        </w:tc>
        <w:tc>
          <w:tcPr>
            <w:tcW w:w="2169" w:type="dxa"/>
            <w:noWrap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108</w:t>
            </w:r>
          </w:p>
        </w:tc>
        <w:tc>
          <w:tcPr>
            <w:tcW w:w="2169" w:type="dxa"/>
            <w:hideMark/>
          </w:tcPr>
          <w:p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123</w:t>
            </w:r>
          </w:p>
        </w:tc>
      </w:tr>
      <w:tr w:rsidR="00793107" w:rsidRPr="002B56E0" w:rsidTr="00D7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</w:tcPr>
          <w:p w:rsidR="00793107" w:rsidRPr="00793107" w:rsidRDefault="00793107" w:rsidP="00793107">
            <w:pPr>
              <w:jc w:val="center"/>
              <w:rPr>
                <w:rFonts w:ascii="Calibri" w:hAnsi="Calibri" w:cs="Calibri"/>
              </w:rPr>
            </w:pPr>
            <w:r w:rsidRPr="00793107">
              <w:rPr>
                <w:rFonts w:ascii="Calibri" w:hAnsi="Calibri" w:cs="Calibri"/>
                <w:bCs w:val="0"/>
              </w:rPr>
              <w:t>2016/17 – 2020/21</w:t>
            </w:r>
          </w:p>
        </w:tc>
        <w:tc>
          <w:tcPr>
            <w:tcW w:w="2169" w:type="dxa"/>
            <w:noWrap/>
            <w:vAlign w:val="center"/>
          </w:tcPr>
          <w:p w:rsidR="00793107" w:rsidRPr="00793107" w:rsidRDefault="00793107" w:rsidP="0079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793107">
              <w:rPr>
                <w:rFonts w:ascii="Calibri" w:hAnsi="Calibri" w:cs="Calibri"/>
                <w:b w:val="0"/>
              </w:rPr>
              <w:t>96</w:t>
            </w:r>
          </w:p>
        </w:tc>
        <w:tc>
          <w:tcPr>
            <w:tcW w:w="2169" w:type="dxa"/>
            <w:vAlign w:val="center"/>
          </w:tcPr>
          <w:p w:rsidR="00793107" w:rsidRPr="00793107" w:rsidRDefault="00793107" w:rsidP="0079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793107">
              <w:rPr>
                <w:rFonts w:ascii="Calibri" w:hAnsi="Calibri" w:cs="Calibri"/>
                <w:b w:val="0"/>
              </w:rPr>
              <w:t>112</w:t>
            </w:r>
          </w:p>
        </w:tc>
      </w:tr>
      <w:tr w:rsidR="00793107" w:rsidRPr="002B56E0" w:rsidTr="00D7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bottom"/>
          </w:tcPr>
          <w:p w:rsidR="00793107" w:rsidRPr="00793107" w:rsidRDefault="00793107" w:rsidP="00793107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107">
              <w:rPr>
                <w:rFonts w:ascii="Calibri" w:hAnsi="Calibri" w:cs="Calibri"/>
                <w:bCs w:val="0"/>
                <w:color w:val="000000"/>
              </w:rPr>
              <w:t>2017/18 – 2021/22</w:t>
            </w:r>
          </w:p>
        </w:tc>
        <w:tc>
          <w:tcPr>
            <w:tcW w:w="2169" w:type="dxa"/>
            <w:noWrap/>
            <w:vAlign w:val="center"/>
          </w:tcPr>
          <w:p w:rsidR="00793107" w:rsidRPr="00793107" w:rsidRDefault="00793107" w:rsidP="0079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793107">
              <w:rPr>
                <w:rFonts w:ascii="Calibri" w:hAnsi="Calibri" w:cs="Calibri"/>
                <w:b w:val="0"/>
              </w:rPr>
              <w:t>92</w:t>
            </w:r>
          </w:p>
        </w:tc>
        <w:tc>
          <w:tcPr>
            <w:tcW w:w="2169" w:type="dxa"/>
            <w:vAlign w:val="center"/>
          </w:tcPr>
          <w:p w:rsidR="00793107" w:rsidRPr="00793107" w:rsidRDefault="00793107" w:rsidP="0079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793107">
              <w:rPr>
                <w:rFonts w:ascii="Calibri" w:hAnsi="Calibri" w:cs="Calibri"/>
                <w:b w:val="0"/>
              </w:rPr>
              <w:t>102</w:t>
            </w:r>
          </w:p>
        </w:tc>
      </w:tr>
    </w:tbl>
    <w:p w:rsidR="005B320E" w:rsidRPr="00CC6740" w:rsidRDefault="005B320E" w:rsidP="005B320E">
      <w:pPr>
        <w:rPr>
          <w:i/>
          <w:sz w:val="20"/>
          <w:szCs w:val="20"/>
        </w:rPr>
      </w:pPr>
      <w:r w:rsidRPr="00CC6740">
        <w:rPr>
          <w:i/>
          <w:sz w:val="20"/>
          <w:szCs w:val="20"/>
        </w:rPr>
        <w:t xml:space="preserve">Table 7: Standardised admission rate for self-harm admissions per 100,000 population in Armagh City, Banbridge and Craigavon Borough and Northern Ireland 2009/10 - 2013/14 to </w:t>
      </w:r>
      <w:r w:rsidR="00793107">
        <w:rPr>
          <w:i/>
          <w:sz w:val="20"/>
          <w:szCs w:val="20"/>
        </w:rPr>
        <w:t>2017/18 - 2021</w:t>
      </w:r>
      <w:r w:rsidR="00CC6740" w:rsidRPr="00CC6740">
        <w:rPr>
          <w:i/>
          <w:sz w:val="20"/>
          <w:szCs w:val="20"/>
        </w:rPr>
        <w:t>/2</w:t>
      </w:r>
      <w:r w:rsidR="00793107">
        <w:rPr>
          <w:i/>
          <w:sz w:val="20"/>
          <w:szCs w:val="20"/>
        </w:rPr>
        <w:t>2</w:t>
      </w:r>
      <w:r w:rsidRPr="00CC6740">
        <w:rPr>
          <w:i/>
          <w:sz w:val="20"/>
          <w:szCs w:val="20"/>
        </w:rPr>
        <w:t>.</w:t>
      </w:r>
      <w:r w:rsidR="008E202B" w:rsidRPr="00CC674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:rsidR="0088357C" w:rsidRDefault="0088357C">
      <w:pPr>
        <w:rPr>
          <w:i/>
          <w:color w:val="FF0000"/>
          <w:sz w:val="20"/>
          <w:szCs w:val="20"/>
        </w:rPr>
      </w:pPr>
    </w:p>
    <w:p w:rsidR="008E202B" w:rsidRPr="00793107" w:rsidRDefault="00793107" w:rsidP="008E202B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2EFB9D1D" wp14:editId="4C1E1DDF">
            <wp:extent cx="5686425" cy="293370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E202B" w:rsidRPr="00A333C0">
        <w:rPr>
          <w:i/>
          <w:sz w:val="20"/>
          <w:szCs w:val="20"/>
        </w:rPr>
        <w:t>Figure 7: Standardised admission rate for self-harm admissions per 100,000 population in Armagh City, Banbridge and Craigavon Borough and Northern I</w:t>
      </w:r>
      <w:r w:rsidR="009E3E0C" w:rsidRPr="00A333C0">
        <w:rPr>
          <w:i/>
          <w:sz w:val="20"/>
          <w:szCs w:val="20"/>
        </w:rPr>
        <w:t xml:space="preserve">reland 2009/10 - 2013/14 to </w:t>
      </w:r>
      <w:r w:rsidR="00A333C0" w:rsidRPr="00A333C0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7</w:t>
      </w:r>
      <w:r w:rsidR="00A333C0" w:rsidRPr="00A333C0">
        <w:rPr>
          <w:i/>
          <w:sz w:val="20"/>
          <w:szCs w:val="20"/>
        </w:rPr>
        <w:t>/1</w:t>
      </w:r>
      <w:r>
        <w:rPr>
          <w:i/>
          <w:sz w:val="20"/>
          <w:szCs w:val="20"/>
        </w:rPr>
        <w:t>8</w:t>
      </w:r>
      <w:r w:rsidR="009E3E0C" w:rsidRPr="00A333C0">
        <w:rPr>
          <w:i/>
          <w:sz w:val="20"/>
          <w:szCs w:val="20"/>
        </w:rPr>
        <w:t xml:space="preserve"> </w:t>
      </w:r>
      <w:r w:rsidR="00A333C0" w:rsidRPr="00A333C0">
        <w:rPr>
          <w:i/>
          <w:sz w:val="20"/>
          <w:szCs w:val="20"/>
        </w:rPr>
        <w:t>–</w:t>
      </w:r>
      <w:r w:rsidR="009E3E0C" w:rsidRPr="00A333C0">
        <w:rPr>
          <w:i/>
          <w:sz w:val="20"/>
          <w:szCs w:val="20"/>
        </w:rPr>
        <w:t xml:space="preserve"> </w:t>
      </w:r>
      <w:r w:rsidR="00A333C0" w:rsidRPr="00A333C0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21</w:t>
      </w:r>
      <w:r w:rsidR="00A333C0" w:rsidRPr="00A333C0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8E202B" w:rsidRPr="00A333C0">
        <w:rPr>
          <w:i/>
          <w:sz w:val="20"/>
          <w:szCs w:val="20"/>
        </w:rPr>
        <w:t>. Source: Northern Ireland Health and Social Care Inequalities Monitoring System, Department of Health.</w:t>
      </w:r>
    </w:p>
    <w:p w:rsidR="007D4D31" w:rsidRPr="003E2AB2" w:rsidRDefault="007D4D31" w:rsidP="007D4D31">
      <w:pPr>
        <w:rPr>
          <w:color w:val="FF0000"/>
          <w:sz w:val="20"/>
          <w:szCs w:val="20"/>
        </w:rPr>
      </w:pPr>
    </w:p>
    <w:p w:rsidR="00F70234" w:rsidRPr="00A333C0" w:rsidRDefault="007D4D31" w:rsidP="007D4D31">
      <w:r w:rsidRPr="00A333C0">
        <w:t>Further information on admission rates can be found in the Health Inequalities</w:t>
      </w:r>
      <w:r w:rsidR="00361DAC" w:rsidRPr="00A333C0">
        <w:t xml:space="preserve"> Annual</w:t>
      </w:r>
      <w:r w:rsidRPr="00A333C0">
        <w:t xml:space="preserve"> </w:t>
      </w:r>
      <w:r w:rsidR="005B7983" w:rsidRPr="00A333C0">
        <w:t>Report which can be accessed</w:t>
      </w:r>
      <w:r w:rsidR="00677633" w:rsidRPr="00A333C0">
        <w:t xml:space="preserve"> via the following link:</w:t>
      </w:r>
    </w:p>
    <w:p w:rsidR="00677633" w:rsidRPr="00A333C0" w:rsidRDefault="00793107" w:rsidP="007D4D31">
      <w:pPr>
        <w:rPr>
          <w:sz w:val="20"/>
          <w:szCs w:val="20"/>
        </w:rPr>
      </w:pPr>
      <w:hyperlink r:id="rId14" w:history="1">
        <w:r w:rsidR="00677633" w:rsidRPr="00A333C0">
          <w:rPr>
            <w:rStyle w:val="Hyperlink"/>
            <w:color w:val="auto"/>
          </w:rPr>
          <w:t>https://www.health-ni.gov.uk/articles/health-inequalities-statistics</w:t>
        </w:r>
      </w:hyperlink>
      <w:bookmarkStart w:id="0" w:name="_GoBack"/>
      <w:bookmarkEnd w:id="0"/>
    </w:p>
    <w:sectPr w:rsidR="00677633" w:rsidRPr="00A333C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13" w:rsidRDefault="00E43213" w:rsidP="009470B4">
      <w:pPr>
        <w:spacing w:after="0" w:line="240" w:lineRule="auto"/>
      </w:pPr>
      <w:r>
        <w:separator/>
      </w:r>
    </w:p>
  </w:endnote>
  <w:endnote w:type="continuationSeparator" w:id="0">
    <w:p w:rsidR="00E43213" w:rsidRDefault="00E43213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13" w:rsidRDefault="00E43213" w:rsidP="009470B4">
      <w:pPr>
        <w:spacing w:after="0" w:line="240" w:lineRule="auto"/>
      </w:pPr>
      <w:r>
        <w:separator/>
      </w:r>
    </w:p>
  </w:footnote>
  <w:footnote w:type="continuationSeparator" w:id="0">
    <w:p w:rsidR="00E43213" w:rsidRDefault="00E43213" w:rsidP="009470B4">
      <w:pPr>
        <w:spacing w:after="0" w:line="240" w:lineRule="auto"/>
      </w:pPr>
      <w:r>
        <w:continuationSeparator/>
      </w:r>
    </w:p>
  </w:footnote>
  <w:footnote w:id="1">
    <w:p w:rsidR="003B5AC2" w:rsidRDefault="003B5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Health Inequalities Annual Report 2023 (health-ni.gov.uk)</w:t>
        </w:r>
      </w:hyperlink>
    </w:p>
  </w:footnote>
  <w:footnote w:id="2">
    <w:p w:rsidR="003B5AC2" w:rsidRDefault="003B5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Health Inequalities Annual Report 2023 (health-ni.gov.uk)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34A0A"/>
    <w:rsid w:val="00037AF1"/>
    <w:rsid w:val="000508B8"/>
    <w:rsid w:val="000C7CE8"/>
    <w:rsid w:val="00140B75"/>
    <w:rsid w:val="001464FA"/>
    <w:rsid w:val="00154E71"/>
    <w:rsid w:val="00191636"/>
    <w:rsid w:val="001D1427"/>
    <w:rsid w:val="00265E55"/>
    <w:rsid w:val="002A3F9A"/>
    <w:rsid w:val="002B13D9"/>
    <w:rsid w:val="002B56E0"/>
    <w:rsid w:val="00303BA0"/>
    <w:rsid w:val="00332B2D"/>
    <w:rsid w:val="00361DAC"/>
    <w:rsid w:val="00381E1E"/>
    <w:rsid w:val="0039124E"/>
    <w:rsid w:val="003B5AC2"/>
    <w:rsid w:val="003E2AB2"/>
    <w:rsid w:val="003E3D2F"/>
    <w:rsid w:val="004121E1"/>
    <w:rsid w:val="00425F86"/>
    <w:rsid w:val="00455693"/>
    <w:rsid w:val="00470647"/>
    <w:rsid w:val="00494448"/>
    <w:rsid w:val="00494473"/>
    <w:rsid w:val="004A2BF8"/>
    <w:rsid w:val="004B5004"/>
    <w:rsid w:val="004B5682"/>
    <w:rsid w:val="00505DD9"/>
    <w:rsid w:val="005124B9"/>
    <w:rsid w:val="00543809"/>
    <w:rsid w:val="00544D7B"/>
    <w:rsid w:val="00546B94"/>
    <w:rsid w:val="00573825"/>
    <w:rsid w:val="0058031F"/>
    <w:rsid w:val="005B320E"/>
    <w:rsid w:val="005B6139"/>
    <w:rsid w:val="005B7983"/>
    <w:rsid w:val="005F612B"/>
    <w:rsid w:val="006064AC"/>
    <w:rsid w:val="00664E21"/>
    <w:rsid w:val="00677633"/>
    <w:rsid w:val="006B65AF"/>
    <w:rsid w:val="006D2ABA"/>
    <w:rsid w:val="006E4145"/>
    <w:rsid w:val="0071579D"/>
    <w:rsid w:val="0079173A"/>
    <w:rsid w:val="00793107"/>
    <w:rsid w:val="007C1A18"/>
    <w:rsid w:val="007C1C25"/>
    <w:rsid w:val="007C7AFB"/>
    <w:rsid w:val="007D05CD"/>
    <w:rsid w:val="007D4D31"/>
    <w:rsid w:val="007F5CDE"/>
    <w:rsid w:val="00820F29"/>
    <w:rsid w:val="008353FB"/>
    <w:rsid w:val="00836E9E"/>
    <w:rsid w:val="0084512A"/>
    <w:rsid w:val="008745ED"/>
    <w:rsid w:val="0088357C"/>
    <w:rsid w:val="008C1EDC"/>
    <w:rsid w:val="008C3787"/>
    <w:rsid w:val="008C513E"/>
    <w:rsid w:val="008E202B"/>
    <w:rsid w:val="009470B4"/>
    <w:rsid w:val="0098101A"/>
    <w:rsid w:val="009E3E0C"/>
    <w:rsid w:val="00A0792D"/>
    <w:rsid w:val="00A333C0"/>
    <w:rsid w:val="00A64F03"/>
    <w:rsid w:val="00A70F15"/>
    <w:rsid w:val="00A76810"/>
    <w:rsid w:val="00A96086"/>
    <w:rsid w:val="00AC255D"/>
    <w:rsid w:val="00AD3BA9"/>
    <w:rsid w:val="00AF41D4"/>
    <w:rsid w:val="00B04D97"/>
    <w:rsid w:val="00B40B6F"/>
    <w:rsid w:val="00B82B36"/>
    <w:rsid w:val="00BB5C94"/>
    <w:rsid w:val="00BF5D7B"/>
    <w:rsid w:val="00BF6964"/>
    <w:rsid w:val="00C17259"/>
    <w:rsid w:val="00C33E70"/>
    <w:rsid w:val="00CA73A0"/>
    <w:rsid w:val="00CC6740"/>
    <w:rsid w:val="00D14FF4"/>
    <w:rsid w:val="00D15078"/>
    <w:rsid w:val="00D209DA"/>
    <w:rsid w:val="00D33DF6"/>
    <w:rsid w:val="00D47985"/>
    <w:rsid w:val="00D51E94"/>
    <w:rsid w:val="00D75716"/>
    <w:rsid w:val="00D82855"/>
    <w:rsid w:val="00D924DF"/>
    <w:rsid w:val="00DC0E4D"/>
    <w:rsid w:val="00E00CE7"/>
    <w:rsid w:val="00E04200"/>
    <w:rsid w:val="00E379CD"/>
    <w:rsid w:val="00E43213"/>
    <w:rsid w:val="00E7461F"/>
    <w:rsid w:val="00EF5C67"/>
    <w:rsid w:val="00F14B8F"/>
    <w:rsid w:val="00F41D5D"/>
    <w:rsid w:val="00F5367C"/>
    <w:rsid w:val="00F70234"/>
    <w:rsid w:val="00FB7230"/>
    <w:rsid w:val="00FC1BA9"/>
    <w:rsid w:val="00FE4A6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F07D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6776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DAC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7157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B5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health-ni.gov.uk/articles/health-inequalities-statistic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-ni.gov.uk/sites/default/files/publications/health/hscims-report-2023.pdf" TargetMode="External"/><Relationship Id="rId1" Type="http://schemas.openxmlformats.org/officeDocument/2006/relationships/hyperlink" Target="https://www.health-ni.gov.uk/sites/default/files/publications/health/hscims-report-2023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April%202023%20Updates\Admissions%20data%20update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35714742974201"/>
          <c:y val="0.12643798686693139"/>
          <c:w val="0.87069569809871328"/>
          <c:h val="0.67841846526274241"/>
        </c:manualLayout>
      </c:layout>
      <c:lineChart>
        <c:grouping val="standard"/>
        <c:varyColors val="0"/>
        <c:ser>
          <c:idx val="0"/>
          <c:order val="0"/>
          <c:tx>
            <c:strRef>
              <c:f>All!$C$2:$C$3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All!$B$4:$B$12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All!$C$4:$C$12</c:f>
              <c:numCache>
                <c:formatCode>#,##0</c:formatCode>
                <c:ptCount val="9"/>
                <c:pt idx="0">
                  <c:v>23700</c:v>
                </c:pt>
                <c:pt idx="1">
                  <c:v>23476</c:v>
                </c:pt>
                <c:pt idx="2">
                  <c:v>24474</c:v>
                </c:pt>
                <c:pt idx="3">
                  <c:v>28856</c:v>
                </c:pt>
                <c:pt idx="4">
                  <c:v>23889</c:v>
                </c:pt>
                <c:pt idx="5">
                  <c:v>24043</c:v>
                </c:pt>
                <c:pt idx="6">
                  <c:v>22858</c:v>
                </c:pt>
                <c:pt idx="7">
                  <c:v>13981</c:v>
                </c:pt>
                <c:pt idx="8">
                  <c:v>17097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BA-4894-A9E5-507FE5401CDC}"/>
            </c:ext>
          </c:extLst>
        </c:ser>
        <c:ser>
          <c:idx val="1"/>
          <c:order val="1"/>
          <c:tx>
            <c:strRef>
              <c:f>All!$D$2:$D$3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10"/>
            <c:spPr>
              <a:solidFill>
                <a:schemeClr val="accent2"/>
              </a:solidFill>
              <a:ln w="9525">
                <a:gradFill flip="none" rotWithShape="1"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  <a:tileRect/>
                </a:gradFill>
              </a:ln>
              <a:effectLst/>
            </c:spPr>
          </c:marker>
          <c:cat>
            <c:strRef>
              <c:f>All!$B$4:$B$12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All!$D$4:$D$12</c:f>
              <c:numCache>
                <c:formatCode>#,##0</c:formatCode>
                <c:ptCount val="9"/>
                <c:pt idx="0">
                  <c:v>25372</c:v>
                </c:pt>
                <c:pt idx="1">
                  <c:v>24940</c:v>
                </c:pt>
                <c:pt idx="2">
                  <c:v>24794</c:v>
                </c:pt>
                <c:pt idx="3">
                  <c:v>24673</c:v>
                </c:pt>
                <c:pt idx="4">
                  <c:v>23981</c:v>
                </c:pt>
                <c:pt idx="5">
                  <c:v>23507</c:v>
                </c:pt>
                <c:pt idx="6">
                  <c:v>22557</c:v>
                </c:pt>
                <c:pt idx="7">
                  <c:v>14955</c:v>
                </c:pt>
                <c:pt idx="8">
                  <c:v>18306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BA-4894-A9E5-507FE5401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072367"/>
        <c:axId val="1"/>
      </c:lineChart>
      <c:catAx>
        <c:axId val="371072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10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072367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000373430519311"/>
          <c:y val="0.91153281696102795"/>
          <c:w val="0.7619284717790038"/>
          <c:h val="6.4898776612112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6659911265823"/>
          <c:y val="0.18991531718912491"/>
          <c:w val="0.87157665095042525"/>
          <c:h val="0.61494115122402149"/>
        </c:manualLayout>
      </c:layout>
      <c:lineChart>
        <c:grouping val="standard"/>
        <c:varyColors val="0"/>
        <c:ser>
          <c:idx val="0"/>
          <c:order val="0"/>
          <c:tx>
            <c:strRef>
              <c:f>Emergency!$C$2:$C$3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Emergency!$B$4:$B$12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Emergency!$C$4:$C$12</c:f>
              <c:numCache>
                <c:formatCode>#,##0</c:formatCode>
                <c:ptCount val="9"/>
                <c:pt idx="0">
                  <c:v>8373</c:v>
                </c:pt>
                <c:pt idx="1">
                  <c:v>8696</c:v>
                </c:pt>
                <c:pt idx="2">
                  <c:v>9490</c:v>
                </c:pt>
                <c:pt idx="3">
                  <c:v>9017</c:v>
                </c:pt>
                <c:pt idx="4">
                  <c:v>9777</c:v>
                </c:pt>
                <c:pt idx="5">
                  <c:v>9547</c:v>
                </c:pt>
                <c:pt idx="6">
                  <c:v>9463</c:v>
                </c:pt>
                <c:pt idx="7">
                  <c:v>6818</c:v>
                </c:pt>
                <c:pt idx="8">
                  <c:v>8243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F5-4627-83D2-5AA7D0FE2410}"/>
            </c:ext>
          </c:extLst>
        </c:ser>
        <c:ser>
          <c:idx val="1"/>
          <c:order val="1"/>
          <c:tx>
            <c:strRef>
              <c:f>Emergency!$D$2:$D$3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10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Emergency!$B$4:$B$12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Emergency!$D$4:$D$12</c:f>
              <c:numCache>
                <c:formatCode>#,##0</c:formatCode>
                <c:ptCount val="9"/>
                <c:pt idx="0">
                  <c:v>9520</c:v>
                </c:pt>
                <c:pt idx="1">
                  <c:v>9394</c:v>
                </c:pt>
                <c:pt idx="2">
                  <c:v>9495</c:v>
                </c:pt>
                <c:pt idx="3">
                  <c:v>9285</c:v>
                </c:pt>
                <c:pt idx="4">
                  <c:v>9234</c:v>
                </c:pt>
                <c:pt idx="5">
                  <c:v>8917</c:v>
                </c:pt>
                <c:pt idx="6">
                  <c:v>8785</c:v>
                </c:pt>
                <c:pt idx="7">
                  <c:v>6926</c:v>
                </c:pt>
                <c:pt idx="8">
                  <c:v>7754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F5-4627-83D2-5AA7D0FE2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024111"/>
        <c:axId val="1"/>
      </c:lineChart>
      <c:catAx>
        <c:axId val="36902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00"/>
          <c:min val="4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24111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310987928960118"/>
          <c:y val="0.90884471399474298"/>
          <c:w val="0.75759925716677656"/>
          <c:h val="6.6871517417673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423856927793934E-2"/>
          <c:y val="0.20169082125603865"/>
          <c:w val="0.88404861554467851"/>
          <c:h val="0.53415002472517026"/>
        </c:manualLayout>
      </c:layout>
      <c:lineChart>
        <c:grouping val="standard"/>
        <c:varyColors val="0"/>
        <c:ser>
          <c:idx val="0"/>
          <c:order val="0"/>
          <c:tx>
            <c:strRef>
              <c:f>Circulatory!$C$3:$C$4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Circulatory!$B$5:$B$13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</c:strCache>
            </c:strRef>
          </c:cat>
          <c:val>
            <c:numRef>
              <c:f>Circulatory!$C$5:$C$13</c:f>
              <c:numCache>
                <c:formatCode>#,##0</c:formatCode>
                <c:ptCount val="9"/>
                <c:pt idx="0">
                  <c:v>2375</c:v>
                </c:pt>
                <c:pt idx="1">
                  <c:v>2285</c:v>
                </c:pt>
                <c:pt idx="2">
                  <c:v>2273</c:v>
                </c:pt>
                <c:pt idx="3">
                  <c:v>2168</c:v>
                </c:pt>
                <c:pt idx="4">
                  <c:v>2112</c:v>
                </c:pt>
                <c:pt idx="5">
                  <c:v>2019</c:v>
                </c:pt>
                <c:pt idx="6">
                  <c:v>2014</c:v>
                </c:pt>
                <c:pt idx="7">
                  <c:v>1773</c:v>
                </c:pt>
                <c:pt idx="8">
                  <c:v>1611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E4-4B3D-820D-60C2B5C9752E}"/>
            </c:ext>
          </c:extLst>
        </c:ser>
        <c:ser>
          <c:idx val="1"/>
          <c:order val="1"/>
          <c:tx>
            <c:strRef>
              <c:f>Circulatory!$D$3:$D$4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Circulatory!$B$5:$B$13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</c:strCache>
            </c:strRef>
          </c:cat>
          <c:val>
            <c:numRef>
              <c:f>Circulatory!$D$5:$D$13</c:f>
              <c:numCache>
                <c:formatCode>#,##0</c:formatCode>
                <c:ptCount val="9"/>
                <c:pt idx="0">
                  <c:v>2344</c:v>
                </c:pt>
                <c:pt idx="1">
                  <c:v>2337</c:v>
                </c:pt>
                <c:pt idx="2">
                  <c:v>2285</c:v>
                </c:pt>
                <c:pt idx="3">
                  <c:v>2170</c:v>
                </c:pt>
                <c:pt idx="4">
                  <c:v>2062</c:v>
                </c:pt>
                <c:pt idx="5">
                  <c:v>1996</c:v>
                </c:pt>
                <c:pt idx="6">
                  <c:v>1953</c:v>
                </c:pt>
                <c:pt idx="7">
                  <c:v>1732</c:v>
                </c:pt>
                <c:pt idx="8">
                  <c:v>1576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E4-4B3D-820D-60C2B5C97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100255"/>
        <c:axId val="1"/>
      </c:lineChart>
      <c:catAx>
        <c:axId val="373100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310025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383132949828995"/>
          <c:y val="0.90509114541918989"/>
          <c:w val="0.7504929060502421"/>
          <c:h val="6.9622395801476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498919018101461E-2"/>
          <c:y val="0.15434371307816133"/>
          <c:w val="0.88263887226862603"/>
          <c:h val="0.61286009943621089"/>
        </c:manualLayout>
      </c:layout>
      <c:lineChart>
        <c:grouping val="standard"/>
        <c:varyColors val="0"/>
        <c:ser>
          <c:idx val="0"/>
          <c:order val="0"/>
          <c:tx>
            <c:strRef>
              <c:f>Respiratory!$C$2:$C$3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Respiratory!$B$4:$B$12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 2019/20 – 2021/22</c:v>
                </c:pt>
              </c:strCache>
            </c:strRef>
          </c:cat>
          <c:val>
            <c:numRef>
              <c:f>Respiratory!$C$4:$C$12</c:f>
              <c:numCache>
                <c:formatCode>#,##0</c:formatCode>
                <c:ptCount val="9"/>
                <c:pt idx="0">
                  <c:v>1721</c:v>
                </c:pt>
                <c:pt idx="1">
                  <c:v>1790</c:v>
                </c:pt>
                <c:pt idx="2">
                  <c:v>1835</c:v>
                </c:pt>
                <c:pt idx="3">
                  <c:v>1876</c:v>
                </c:pt>
                <c:pt idx="4">
                  <c:v>1898</c:v>
                </c:pt>
                <c:pt idx="5">
                  <c:v>1875</c:v>
                </c:pt>
                <c:pt idx="6">
                  <c:v>1852</c:v>
                </c:pt>
                <c:pt idx="7">
                  <c:v>1452</c:v>
                </c:pt>
                <c:pt idx="8">
                  <c:v>1173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73-4075-9D81-DFBDDE2A6759}"/>
            </c:ext>
          </c:extLst>
        </c:ser>
        <c:ser>
          <c:idx val="1"/>
          <c:order val="1"/>
          <c:tx>
            <c:strRef>
              <c:f>Respiratory!$D$2:$D$3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Respiratory!$B$4:$B$12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 2019/20 – 2021/22</c:v>
                </c:pt>
              </c:strCache>
            </c:strRef>
          </c:cat>
          <c:val>
            <c:numRef>
              <c:f>Respiratory!$D$4:$D$12</c:f>
              <c:numCache>
                <c:formatCode>#,##0</c:formatCode>
                <c:ptCount val="9"/>
                <c:pt idx="0">
                  <c:v>1940</c:v>
                </c:pt>
                <c:pt idx="1">
                  <c:v>2005</c:v>
                </c:pt>
                <c:pt idx="2">
                  <c:v>2040</c:v>
                </c:pt>
                <c:pt idx="3">
                  <c:v>2055</c:v>
                </c:pt>
                <c:pt idx="4">
                  <c:v>2074</c:v>
                </c:pt>
                <c:pt idx="5">
                  <c:v>2022</c:v>
                </c:pt>
                <c:pt idx="6">
                  <c:v>1969</c:v>
                </c:pt>
                <c:pt idx="7">
                  <c:v>1558</c:v>
                </c:pt>
                <c:pt idx="8">
                  <c:v>1307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73-4075-9D81-DFBDDE2A6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023279"/>
        <c:axId val="1"/>
      </c:lineChart>
      <c:catAx>
        <c:axId val="369023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23279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345951391908664"/>
          <c:y val="0.91717228649914828"/>
          <c:w val="0.73128500777581718"/>
          <c:h val="6.285915982237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77401898836722E-2"/>
          <c:y val="0.1474583762136116"/>
          <c:w val="0.89833041703120442"/>
          <c:h val="0.61025552656981707"/>
        </c:manualLayout>
      </c:layout>
      <c:lineChart>
        <c:grouping val="standard"/>
        <c:varyColors val="0"/>
        <c:ser>
          <c:idx val="0"/>
          <c:order val="0"/>
          <c:tx>
            <c:strRef>
              <c:f>Alcohol!$C$2:$C$3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Alcohol!$B$4:$B$12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2019/20 – 2021/22</c:v>
                </c:pt>
              </c:strCache>
            </c:strRef>
          </c:cat>
          <c:val>
            <c:numRef>
              <c:f>Alcohol!$C$4:$C$12</c:f>
              <c:numCache>
                <c:formatCode>General</c:formatCode>
                <c:ptCount val="9"/>
                <c:pt idx="0">
                  <c:v>577</c:v>
                </c:pt>
                <c:pt idx="1">
                  <c:v>600</c:v>
                </c:pt>
                <c:pt idx="2">
                  <c:v>603</c:v>
                </c:pt>
                <c:pt idx="3">
                  <c:v>597</c:v>
                </c:pt>
                <c:pt idx="4">
                  <c:v>587</c:v>
                </c:pt>
                <c:pt idx="5">
                  <c:v>596</c:v>
                </c:pt>
                <c:pt idx="6">
                  <c:v>607</c:v>
                </c:pt>
                <c:pt idx="7">
                  <c:v>572</c:v>
                </c:pt>
                <c:pt idx="8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3E-46B4-915A-A6044DBDFD4C}"/>
            </c:ext>
          </c:extLst>
        </c:ser>
        <c:ser>
          <c:idx val="1"/>
          <c:order val="1"/>
          <c:tx>
            <c:strRef>
              <c:f>Alcohol!$D$2:$D$3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Alcohol!$B$4:$B$12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2019/20 – 2021/22</c:v>
                </c:pt>
              </c:strCache>
            </c:strRef>
          </c:cat>
          <c:val>
            <c:numRef>
              <c:f>Alcohol!$D$4:$D$12</c:f>
              <c:numCache>
                <c:formatCode>General</c:formatCode>
                <c:ptCount val="9"/>
                <c:pt idx="0">
                  <c:v>694</c:v>
                </c:pt>
                <c:pt idx="1">
                  <c:v>719</c:v>
                </c:pt>
                <c:pt idx="2">
                  <c:v>728</c:v>
                </c:pt>
                <c:pt idx="3">
                  <c:v>721</c:v>
                </c:pt>
                <c:pt idx="4">
                  <c:v>691</c:v>
                </c:pt>
                <c:pt idx="5">
                  <c:v>673</c:v>
                </c:pt>
                <c:pt idx="6">
                  <c:v>662</c:v>
                </c:pt>
                <c:pt idx="7">
                  <c:v>614</c:v>
                </c:pt>
                <c:pt idx="8">
                  <c:v>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3E-46B4-915A-A6044DBDF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067375"/>
        <c:axId val="1"/>
      </c:lineChart>
      <c:catAx>
        <c:axId val="37106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0"/>
          <c:min val="4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06737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663331844600545"/>
          <c:y val="0.91382120475644524"/>
          <c:w val="0.74490187321179679"/>
          <c:h val="6.3220334920257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42305822883244E-2"/>
          <c:y val="0.13063632532659081"/>
          <c:w val="0.9023972003499563"/>
          <c:h val="0.62891552272780049"/>
        </c:manualLayout>
      </c:layout>
      <c:lineChart>
        <c:grouping val="standard"/>
        <c:varyColors val="0"/>
        <c:ser>
          <c:idx val="0"/>
          <c:order val="0"/>
          <c:tx>
            <c:strRef>
              <c:f>Drug!$C$2:$C$3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Drug!$B$4:$B$12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</c:strCache>
            </c:strRef>
          </c:cat>
          <c:val>
            <c:numRef>
              <c:f>Drug!$C$4:$C$12</c:f>
              <c:numCache>
                <c:formatCode>General</c:formatCode>
                <c:ptCount val="9"/>
                <c:pt idx="0">
                  <c:v>257</c:v>
                </c:pt>
                <c:pt idx="1">
                  <c:v>261</c:v>
                </c:pt>
                <c:pt idx="2">
                  <c:v>236</c:v>
                </c:pt>
                <c:pt idx="3">
                  <c:v>190</c:v>
                </c:pt>
                <c:pt idx="4">
                  <c:v>159</c:v>
                </c:pt>
                <c:pt idx="5">
                  <c:v>157</c:v>
                </c:pt>
                <c:pt idx="6">
                  <c:v>164</c:v>
                </c:pt>
                <c:pt idx="7">
                  <c:v>144</c:v>
                </c:pt>
                <c:pt idx="8">
                  <c:v>123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B7-484D-984A-5B3FD15FF82B}"/>
            </c:ext>
          </c:extLst>
        </c:ser>
        <c:ser>
          <c:idx val="1"/>
          <c:order val="1"/>
          <c:tx>
            <c:strRef>
              <c:f>Drug!$D$2:$D$3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Drug!$B$4:$B$12</c:f>
              <c:strCache>
                <c:ptCount val="9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</c:strCache>
            </c:strRef>
          </c:cat>
          <c:val>
            <c:numRef>
              <c:f>Drug!$D$4:$D$12</c:f>
              <c:numCache>
                <c:formatCode>General</c:formatCode>
                <c:ptCount val="9"/>
                <c:pt idx="0">
                  <c:v>251</c:v>
                </c:pt>
                <c:pt idx="1">
                  <c:v>247</c:v>
                </c:pt>
                <c:pt idx="2">
                  <c:v>237</c:v>
                </c:pt>
                <c:pt idx="3">
                  <c:v>220</c:v>
                </c:pt>
                <c:pt idx="4">
                  <c:v>202</c:v>
                </c:pt>
                <c:pt idx="5">
                  <c:v>191</c:v>
                </c:pt>
                <c:pt idx="6">
                  <c:v>190</c:v>
                </c:pt>
                <c:pt idx="7">
                  <c:v>179</c:v>
                </c:pt>
                <c:pt idx="8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B7-484D-984A-5B3FD15FF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032847"/>
        <c:axId val="1"/>
      </c:lineChart>
      <c:catAx>
        <c:axId val="369032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32847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963360526962053"/>
          <c:y val="0.91188432842281908"/>
          <c:w val="0.74076345868354587"/>
          <c:h val="6.6871517417673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23685880466658E-2"/>
          <c:y val="0.1362119507788799"/>
          <c:w val="0.90574836943665304"/>
          <c:h val="0.62150219858881273"/>
        </c:manualLayout>
      </c:layout>
      <c:lineChart>
        <c:grouping val="standard"/>
        <c:varyColors val="0"/>
        <c:ser>
          <c:idx val="0"/>
          <c:order val="0"/>
          <c:tx>
            <c:strRef>
              <c:f>'Self Harm'!$C$2:$C$3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'Self Harm'!$B$4:$B$12</c:f>
              <c:strCache>
                <c:ptCount val="9"/>
                <c:pt idx="0">
                  <c:v>2009/10 – 2013/14</c:v>
                </c:pt>
                <c:pt idx="1">
                  <c:v>2010/11 – 2014/15</c:v>
                </c:pt>
                <c:pt idx="2">
                  <c:v>2011/12 – 2015/16</c:v>
                </c:pt>
                <c:pt idx="3">
                  <c:v>2012/13 – 2016/17</c:v>
                </c:pt>
                <c:pt idx="4">
                  <c:v>2013/14 – 2017/18</c:v>
                </c:pt>
                <c:pt idx="5">
                  <c:v>2014/15 – 2018/19</c:v>
                </c:pt>
                <c:pt idx="6">
                  <c:v>2015/16 – 2019/20</c:v>
                </c:pt>
                <c:pt idx="7">
                  <c:v>2016/17 – 2020/21</c:v>
                </c:pt>
                <c:pt idx="8">
                  <c:v>2017/18 – 2021/22</c:v>
                </c:pt>
              </c:strCache>
            </c:strRef>
          </c:cat>
          <c:val>
            <c:numRef>
              <c:f>'Self Harm'!$C$4:$C$12</c:f>
              <c:numCache>
                <c:formatCode>General</c:formatCode>
                <c:ptCount val="9"/>
                <c:pt idx="0">
                  <c:v>236</c:v>
                </c:pt>
                <c:pt idx="1">
                  <c:v>233</c:v>
                </c:pt>
                <c:pt idx="2">
                  <c:v>207</c:v>
                </c:pt>
                <c:pt idx="3">
                  <c:v>176</c:v>
                </c:pt>
                <c:pt idx="4">
                  <c:v>157</c:v>
                </c:pt>
                <c:pt idx="5">
                  <c:v>132</c:v>
                </c:pt>
                <c:pt idx="6">
                  <c:v>108</c:v>
                </c:pt>
                <c:pt idx="7">
                  <c:v>96</c:v>
                </c:pt>
                <c:pt idx="8">
                  <c:v>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D1-469A-97CF-FC51535D4255}"/>
            </c:ext>
          </c:extLst>
        </c:ser>
        <c:ser>
          <c:idx val="1"/>
          <c:order val="1"/>
          <c:tx>
            <c:strRef>
              <c:f>'Self Harm'!$D$2:$D$3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'Self Harm'!$B$4:$B$12</c:f>
              <c:strCache>
                <c:ptCount val="9"/>
                <c:pt idx="0">
                  <c:v>2009/10 – 2013/14</c:v>
                </c:pt>
                <c:pt idx="1">
                  <c:v>2010/11 – 2014/15</c:v>
                </c:pt>
                <c:pt idx="2">
                  <c:v>2011/12 – 2015/16</c:v>
                </c:pt>
                <c:pt idx="3">
                  <c:v>2012/13 – 2016/17</c:v>
                </c:pt>
                <c:pt idx="4">
                  <c:v>2013/14 – 2017/18</c:v>
                </c:pt>
                <c:pt idx="5">
                  <c:v>2014/15 – 2018/19</c:v>
                </c:pt>
                <c:pt idx="6">
                  <c:v>2015/16 – 2019/20</c:v>
                </c:pt>
                <c:pt idx="7">
                  <c:v>2016/17 – 2020/21</c:v>
                </c:pt>
                <c:pt idx="8">
                  <c:v>2017/18 – 2021/22</c:v>
                </c:pt>
              </c:strCache>
            </c:strRef>
          </c:cat>
          <c:val>
            <c:numRef>
              <c:f>'Self Harm'!$D$4:$D$12</c:f>
              <c:numCache>
                <c:formatCode>General</c:formatCode>
                <c:ptCount val="9"/>
                <c:pt idx="0">
                  <c:v>226</c:v>
                </c:pt>
                <c:pt idx="1">
                  <c:v>215</c:v>
                </c:pt>
                <c:pt idx="2">
                  <c:v>194</c:v>
                </c:pt>
                <c:pt idx="3">
                  <c:v>173</c:v>
                </c:pt>
                <c:pt idx="4">
                  <c:v>154</c:v>
                </c:pt>
                <c:pt idx="5">
                  <c:v>136</c:v>
                </c:pt>
                <c:pt idx="6">
                  <c:v>123</c:v>
                </c:pt>
                <c:pt idx="7">
                  <c:v>112</c:v>
                </c:pt>
                <c:pt idx="8">
                  <c:v>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D1-469A-97CF-FC51535D4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032431"/>
        <c:axId val="1"/>
      </c:lineChart>
      <c:catAx>
        <c:axId val="36903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324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311726417512996"/>
          <c:y val="0.91134390239440866"/>
          <c:w val="0.71558632087564988"/>
          <c:h val="6.72804223244194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0.00103</cdr:x>
      <cdr:y>0.00024</cdr:y>
    </cdr:from>
    <cdr:to>
      <cdr:x>0.19008</cdr:x>
      <cdr:y>0.30593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bg2">
                  <a:lumMod val="50000"/>
                </a:schemeClr>
              </a:solidFill>
            </a:rPr>
            <a:t>All Admissions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9050"/>
          <a:ext cx="150114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Emergency Admissions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4554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Circulatory Admissions</a:t>
          </a:r>
        </a:p>
      </cdr:txBody>
    </cdr:sp>
  </cdr:relSizeAnchor>
  <cdr:relSizeAnchor xmlns:cdr="http://schemas.openxmlformats.org/drawingml/2006/chartDrawing">
    <cdr:from>
      <cdr:x>0.00871</cdr:x>
      <cdr:y>0.01932</cdr:y>
    </cdr:from>
    <cdr:to>
      <cdr:x>0.29401</cdr:x>
      <cdr:y>0.12874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0800" y="50800"/>
          <a:ext cx="1663044" cy="287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Circulatory Admissions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0.00393</cdr:x>
      <cdr:y>0.01611</cdr:y>
    </cdr:from>
    <cdr:to>
      <cdr:x>0.29636</cdr:x>
      <cdr:y>0.10003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0499" y="50800"/>
          <a:ext cx="1523565" cy="26456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Respiratory Admissions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0.08676</cdr:x>
      <cdr:y>0.04726</cdr:y>
    </cdr:from>
    <cdr:to>
      <cdr:x>0.37801</cdr:x>
      <cdr:y>0.38428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1480" y="148590"/>
          <a:ext cx="144780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26670"/>
          <a:ext cx="151638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Alcohol</a:t>
          </a:r>
          <a:r>
            <a:rPr lang="en-GB" sz="1100" baseline="0">
              <a:solidFill>
                <a:schemeClr val="tx1">
                  <a:lumMod val="50000"/>
                  <a:lumOff val="50000"/>
                </a:schemeClr>
              </a:solidFill>
            </a:rPr>
            <a:t> Related Causes </a:t>
          </a:r>
          <a:endParaRPr lang="en-GB" sz="1100">
            <a:solidFill>
              <a:schemeClr val="tx1">
                <a:lumMod val="50000"/>
                <a:lumOff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0.00884</cdr:x>
      <cdr:y>0.02472</cdr:y>
    </cdr:from>
    <cdr:to>
      <cdr:x>0.35741</cdr:x>
      <cdr:y>0.12563</cdr:y>
    </cdr:to>
    <cdr:sp macro="" textlink="">
      <cdr:nvSpPr>
        <cdr:cNvPr id="4" name="TextBox 2" title="Alcohol related admissions"/>
        <cdr:cNvSpPr txBox="1"/>
      </cdr:nvSpPr>
      <cdr:spPr>
        <a:xfrm xmlns:a="http://schemas.openxmlformats.org/drawingml/2006/main">
          <a:off x="50800" y="77478"/>
          <a:ext cx="2001983" cy="316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Alcohol</a:t>
          </a:r>
          <a:r>
            <a:rPr lang="en-GB" sz="1100" baseline="0">
              <a:solidFill>
                <a:schemeClr val="tx1">
                  <a:lumMod val="50000"/>
                  <a:lumOff val="50000"/>
                </a:schemeClr>
              </a:solidFill>
            </a:rPr>
            <a:t> Related Admissions </a:t>
          </a:r>
          <a:endParaRPr lang="en-GB" sz="1100">
            <a:solidFill>
              <a:schemeClr val="tx1">
                <a:lumMod val="50000"/>
                <a:lumOff val="50000"/>
              </a:schemeClr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607820" cy="297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Drug Related Admissions</a:t>
          </a:r>
        </a:p>
      </cdr:txBody>
    </cdr:sp>
  </cdr:relSizeAnchor>
  <cdr:relSizeAnchor xmlns:cdr="http://schemas.openxmlformats.org/drawingml/2006/chartDrawing">
    <cdr:from>
      <cdr:x>0.00873</cdr:x>
      <cdr:y>0.01611</cdr:y>
    </cdr:from>
    <cdr:to>
      <cdr:x>0.31569</cdr:x>
      <cdr:y>0.11037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0800" y="50800"/>
          <a:ext cx="1786452" cy="2971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Drug Related Admissions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0.00758</cdr:y>
    </cdr:from>
    <cdr:to>
      <cdr:x>0.24444</cdr:x>
      <cdr:y>0.1094</cdr:y>
    </cdr:to>
    <cdr:pic>
      <cdr:nvPicPr>
        <cdr:cNvPr id="2" name="chart" title="Self harm admissions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22225"/>
          <a:ext cx="1390002" cy="29872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77BF-CEA3-4579-8A24-39B0A5C1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25</cp:revision>
  <dcterms:created xsi:type="dcterms:W3CDTF">2022-03-23T09:47:00Z</dcterms:created>
  <dcterms:modified xsi:type="dcterms:W3CDTF">2023-04-17T13:17:00Z</dcterms:modified>
</cp:coreProperties>
</file>