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56" w:rsidRDefault="00FD1406" w:rsidP="00163756">
      <w:pPr>
        <w:rPr>
          <w:b/>
        </w:rPr>
      </w:pPr>
      <w:r>
        <w:rPr>
          <w:b/>
        </w:rPr>
        <w:t>Town Centre Vacancy Rates</w:t>
      </w:r>
    </w:p>
    <w:p w:rsidR="00163756" w:rsidRDefault="00FD1406" w:rsidP="00163756">
      <w:r>
        <w:t xml:space="preserve">Vacancy rates for non-domestic properties are available for the five main city / town centres in the borough (Armagh, Banbridge, Craigavon, </w:t>
      </w:r>
      <w:proofErr w:type="spellStart"/>
      <w:r>
        <w:t>Lurgan</w:t>
      </w:r>
      <w:proofErr w:type="spellEnd"/>
      <w:r>
        <w:t xml:space="preserve"> and </w:t>
      </w:r>
      <w:proofErr w:type="spellStart"/>
      <w:r>
        <w:t>Portadown</w:t>
      </w:r>
      <w:proofErr w:type="spellEnd"/>
      <w:r>
        <w:t>) and Dromore from the Town Centre Database (using data from Land and Property Services) produced by the Department for Communities.</w:t>
      </w:r>
      <w:r w:rsidR="004239CA">
        <w:t xml:space="preserve"> A property refers to a hereditament which is subject to rates and not individual buildings.</w:t>
      </w:r>
    </w:p>
    <w:p w:rsidR="00DD44F4" w:rsidRDefault="00936C9E" w:rsidP="00163756">
      <w:r w:rsidRPr="00EB4ADC">
        <w:t xml:space="preserve">As at </w:t>
      </w:r>
      <w:r w:rsidR="00EB4ADC" w:rsidRPr="00EB4ADC">
        <w:t>31</w:t>
      </w:r>
      <w:r w:rsidR="00EB4ADC" w:rsidRPr="00EB4ADC">
        <w:rPr>
          <w:vertAlign w:val="superscript"/>
        </w:rPr>
        <w:t>st</w:t>
      </w:r>
      <w:r w:rsidR="00EB4ADC" w:rsidRPr="00EB4ADC">
        <w:t xml:space="preserve"> October</w:t>
      </w:r>
      <w:r w:rsidR="004137D6" w:rsidRPr="00EB4ADC">
        <w:t xml:space="preserve"> 2022</w:t>
      </w:r>
      <w:r w:rsidR="00FD1406" w:rsidRPr="00EB4ADC">
        <w:t xml:space="preserve">, vacancy rates in the </w:t>
      </w:r>
      <w:r w:rsidRPr="00EB4ADC">
        <w:t xml:space="preserve">borough varied from </w:t>
      </w:r>
      <w:r w:rsidR="00EB4ADC" w:rsidRPr="00EB4ADC">
        <w:t>10</w:t>
      </w:r>
      <w:r w:rsidRPr="00EB4ADC">
        <w:t xml:space="preserve">% in Craigavon to </w:t>
      </w:r>
      <w:r w:rsidR="004137D6" w:rsidRPr="00EB4ADC">
        <w:t>25.4</w:t>
      </w:r>
      <w:r w:rsidR="00FD1406" w:rsidRPr="00EB4ADC">
        <w:t xml:space="preserve">% in Dromore. </w:t>
      </w:r>
      <w:r w:rsidR="00D71F6B" w:rsidRPr="00EB4ADC">
        <w:t xml:space="preserve"> </w:t>
      </w:r>
      <w:r w:rsidR="00FD1406" w:rsidRPr="00EB4ADC">
        <w:t>This compares to a Northern Irela</w:t>
      </w:r>
      <w:r w:rsidRPr="00EB4ADC">
        <w:t xml:space="preserve">nd average vacancy level of </w:t>
      </w:r>
      <w:r w:rsidR="00EB4ADC" w:rsidRPr="00EB4ADC">
        <w:t>22.8</w:t>
      </w:r>
      <w:r w:rsidR="00FD1406" w:rsidRPr="00EB4ADC">
        <w:t>%.</w:t>
      </w:r>
    </w:p>
    <w:tbl>
      <w:tblPr>
        <w:tblStyle w:val="GridTable1Light"/>
        <w:tblW w:w="8075" w:type="dxa"/>
        <w:tblLayout w:type="fixed"/>
        <w:tblLook w:val="04A0" w:firstRow="1" w:lastRow="0" w:firstColumn="1" w:lastColumn="0" w:noHBand="0" w:noVBand="1"/>
      </w:tblPr>
      <w:tblGrid>
        <w:gridCol w:w="2920"/>
        <w:gridCol w:w="1718"/>
        <w:gridCol w:w="1718"/>
        <w:gridCol w:w="1719"/>
      </w:tblGrid>
      <w:tr w:rsidR="00DD44F4" w:rsidRPr="00DD44F4" w:rsidTr="00EB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DD44F4" w:rsidRPr="00DD44F4" w:rsidRDefault="00DD44F4" w:rsidP="00DD44F4">
            <w:pPr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155" w:type="dxa"/>
            <w:gridSpan w:val="3"/>
            <w:noWrap/>
            <w:hideMark/>
          </w:tcPr>
          <w:p w:rsidR="00DD44F4" w:rsidRPr="00DD44F4" w:rsidRDefault="00DD44F4" w:rsidP="00980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31</w:t>
            </w:r>
            <w:r w:rsidRPr="00DD44F4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 w:rsidR="00980495">
              <w:rPr>
                <w:rFonts w:eastAsia="Times New Roman" w:cstheme="minorHAnsi"/>
                <w:lang w:eastAsia="en-GB"/>
              </w:rPr>
              <w:t xml:space="preserve"> </w:t>
            </w:r>
            <w:r w:rsidRPr="00DD44F4">
              <w:rPr>
                <w:rFonts w:eastAsia="Times New Roman" w:cstheme="minorHAnsi"/>
                <w:lang w:eastAsia="en-GB"/>
              </w:rPr>
              <w:t>October 2022</w:t>
            </w:r>
          </w:p>
        </w:tc>
      </w:tr>
      <w:tr w:rsidR="00DD44F4" w:rsidRPr="00DD44F4" w:rsidTr="00EB4ADC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DD44F4" w:rsidRPr="00DD44F4" w:rsidRDefault="00DD44F4" w:rsidP="00DD44F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18" w:type="dxa"/>
            <w:hideMark/>
          </w:tcPr>
          <w:p w:rsidR="00DD44F4" w:rsidRPr="00DD44F4" w:rsidRDefault="00DD44F4" w:rsidP="00DD4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lang w:eastAsia="en-GB"/>
              </w:rPr>
              <w:t>No. of Properties</w:t>
            </w:r>
          </w:p>
        </w:tc>
        <w:tc>
          <w:tcPr>
            <w:tcW w:w="1718" w:type="dxa"/>
            <w:hideMark/>
          </w:tcPr>
          <w:p w:rsidR="00DD44F4" w:rsidRPr="00DD44F4" w:rsidRDefault="00DD44F4" w:rsidP="00DD4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lang w:eastAsia="en-GB"/>
              </w:rPr>
              <w:t>No. of Vacant Properties</w:t>
            </w:r>
          </w:p>
        </w:tc>
        <w:tc>
          <w:tcPr>
            <w:tcW w:w="1719" w:type="dxa"/>
            <w:hideMark/>
          </w:tcPr>
          <w:p w:rsidR="00DD44F4" w:rsidRPr="00DD44F4" w:rsidRDefault="00DD44F4" w:rsidP="00DD4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lang w:eastAsia="en-GB"/>
              </w:rPr>
              <w:t>% of Vacant Properties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Armagh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734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151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20.6%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Banbridge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438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69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15.8%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Craigavon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100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10.0%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Dromore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118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30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25.4%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509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104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20.4%</w:t>
            </w:r>
          </w:p>
        </w:tc>
      </w:tr>
      <w:tr w:rsidR="00EB4ADC" w:rsidRPr="00DD44F4" w:rsidTr="00EB4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EB4ADC" w:rsidRPr="0011217B" w:rsidRDefault="00EB4ADC" w:rsidP="00EB4A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12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Portadown</w:t>
            </w:r>
            <w:proofErr w:type="spellEnd"/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687</w:t>
            </w:r>
          </w:p>
        </w:tc>
        <w:tc>
          <w:tcPr>
            <w:tcW w:w="1718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>138</w:t>
            </w:r>
          </w:p>
        </w:tc>
        <w:tc>
          <w:tcPr>
            <w:tcW w:w="1719" w:type="dxa"/>
            <w:noWrap/>
            <w:hideMark/>
          </w:tcPr>
          <w:p w:rsidR="00EB4ADC" w:rsidRPr="00DD44F4" w:rsidRDefault="00EB4ADC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i/>
                <w:iCs/>
                <w:lang w:eastAsia="en-GB"/>
              </w:rPr>
              <w:t>20.1%</w:t>
            </w:r>
          </w:p>
        </w:tc>
      </w:tr>
      <w:tr w:rsidR="00DD44F4" w:rsidRPr="00DD44F4" w:rsidTr="00EB4A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noWrap/>
            <w:hideMark/>
          </w:tcPr>
          <w:p w:rsidR="00DD44F4" w:rsidRPr="00DD44F4" w:rsidRDefault="00DD44F4" w:rsidP="00DD44F4">
            <w:pPr>
              <w:rPr>
                <w:rFonts w:eastAsia="Times New Roman" w:cstheme="minorHAnsi"/>
                <w:lang w:eastAsia="en-GB"/>
              </w:rPr>
            </w:pPr>
            <w:r w:rsidRPr="00DD44F4">
              <w:rPr>
                <w:rFonts w:eastAsia="Times New Roman" w:cstheme="minorHAnsi"/>
                <w:lang w:eastAsia="en-GB"/>
              </w:rPr>
              <w:t xml:space="preserve">Northern Ireland </w:t>
            </w:r>
          </w:p>
        </w:tc>
        <w:tc>
          <w:tcPr>
            <w:tcW w:w="1718" w:type="dxa"/>
            <w:noWrap/>
            <w:hideMark/>
          </w:tcPr>
          <w:p w:rsidR="00DD44F4" w:rsidRPr="00DD44F4" w:rsidRDefault="00DD44F4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lang w:eastAsia="en-GB"/>
              </w:rPr>
              <w:t>21,522</w:t>
            </w:r>
          </w:p>
        </w:tc>
        <w:tc>
          <w:tcPr>
            <w:tcW w:w="1718" w:type="dxa"/>
            <w:noWrap/>
            <w:hideMark/>
          </w:tcPr>
          <w:p w:rsidR="00DD44F4" w:rsidRPr="00DD44F4" w:rsidRDefault="00DD44F4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lang w:eastAsia="en-GB"/>
              </w:rPr>
              <w:t>4,901</w:t>
            </w:r>
          </w:p>
        </w:tc>
        <w:tc>
          <w:tcPr>
            <w:tcW w:w="1719" w:type="dxa"/>
            <w:noWrap/>
            <w:hideMark/>
          </w:tcPr>
          <w:p w:rsidR="00DD44F4" w:rsidRPr="00DD44F4" w:rsidRDefault="00DD44F4" w:rsidP="00EB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DD44F4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22.8%</w:t>
            </w:r>
          </w:p>
        </w:tc>
      </w:tr>
    </w:tbl>
    <w:p w:rsidR="00163756" w:rsidRDefault="00C07F07" w:rsidP="0016375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956354">
        <w:rPr>
          <w:i/>
          <w:sz w:val="20"/>
          <w:szCs w:val="20"/>
        </w:rPr>
        <w:t>City/town centre non-domestic</w:t>
      </w:r>
      <w:r w:rsidR="00AF041A">
        <w:rPr>
          <w:i/>
          <w:sz w:val="20"/>
          <w:szCs w:val="20"/>
        </w:rPr>
        <w:t xml:space="preserve"> property vacancy rates as at </w:t>
      </w:r>
      <w:r w:rsidR="00EB4ADC">
        <w:rPr>
          <w:i/>
          <w:sz w:val="20"/>
          <w:szCs w:val="20"/>
        </w:rPr>
        <w:t>31</w:t>
      </w:r>
      <w:r w:rsidR="00EB4ADC" w:rsidRPr="00EB4ADC">
        <w:rPr>
          <w:i/>
          <w:sz w:val="20"/>
          <w:szCs w:val="20"/>
          <w:vertAlign w:val="superscript"/>
        </w:rPr>
        <w:t>st</w:t>
      </w:r>
      <w:r w:rsidR="00EB4ADC">
        <w:rPr>
          <w:i/>
          <w:sz w:val="20"/>
          <w:szCs w:val="20"/>
        </w:rPr>
        <w:t xml:space="preserve"> October</w:t>
      </w:r>
      <w:r w:rsidR="00D71F6B">
        <w:rPr>
          <w:i/>
          <w:sz w:val="20"/>
          <w:szCs w:val="20"/>
        </w:rPr>
        <w:t xml:space="preserve"> 202</w:t>
      </w:r>
      <w:r w:rsidR="004137D6">
        <w:rPr>
          <w:i/>
          <w:sz w:val="20"/>
          <w:szCs w:val="20"/>
        </w:rPr>
        <w:t>2</w:t>
      </w:r>
      <w:r w:rsidR="00163756" w:rsidRPr="002A2185">
        <w:rPr>
          <w:i/>
          <w:sz w:val="20"/>
          <w:szCs w:val="20"/>
        </w:rPr>
        <w:t>. Source:</w:t>
      </w:r>
      <w:r w:rsidR="00163756">
        <w:rPr>
          <w:i/>
          <w:sz w:val="20"/>
          <w:szCs w:val="20"/>
        </w:rPr>
        <w:t xml:space="preserve"> </w:t>
      </w:r>
      <w:r w:rsidR="00956354">
        <w:rPr>
          <w:i/>
          <w:sz w:val="20"/>
          <w:szCs w:val="20"/>
        </w:rPr>
        <w:t>Land and Property Services via Town Centre Database, Department for Communities</w:t>
      </w:r>
      <w:r w:rsidR="00163756" w:rsidRPr="002A2185">
        <w:rPr>
          <w:i/>
          <w:sz w:val="20"/>
          <w:szCs w:val="20"/>
        </w:rPr>
        <w:t>.</w:t>
      </w:r>
      <w:r w:rsidR="00163756">
        <w:rPr>
          <w:i/>
          <w:sz w:val="20"/>
          <w:szCs w:val="20"/>
        </w:rPr>
        <w:t xml:space="preserve"> </w:t>
      </w:r>
    </w:p>
    <w:p w:rsidR="00980495" w:rsidRDefault="00980495" w:rsidP="00163756">
      <w:pPr>
        <w:rPr>
          <w:i/>
          <w:sz w:val="20"/>
          <w:szCs w:val="20"/>
        </w:rPr>
      </w:pPr>
    </w:p>
    <w:p w:rsidR="00980495" w:rsidRDefault="00980495" w:rsidP="0098049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B43E3DF" wp14:editId="6C8BF8FB">
            <wp:extent cx="5410200" cy="30194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98049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Figure 1: City/town centre non-domestic property vacancy rates as at 31</w:t>
      </w:r>
      <w:r w:rsidRPr="00EB4ADC">
        <w:rPr>
          <w:i/>
          <w:sz w:val="20"/>
          <w:szCs w:val="20"/>
          <w:vertAlign w:val="superscript"/>
        </w:rPr>
        <w:t>st</w:t>
      </w:r>
      <w:r>
        <w:rPr>
          <w:i/>
          <w:sz w:val="20"/>
          <w:szCs w:val="20"/>
        </w:rPr>
        <w:t xml:space="preserve"> October 2022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Land and Property Services via Town Centre Database, Department for Communities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980495" w:rsidRPr="00EB4ADC" w:rsidRDefault="00980495" w:rsidP="00163756"/>
    <w:p w:rsidR="004137D6" w:rsidRDefault="004137D6" w:rsidP="00163756">
      <w:pPr>
        <w:rPr>
          <w:i/>
          <w:sz w:val="20"/>
          <w:szCs w:val="20"/>
        </w:rPr>
      </w:pPr>
    </w:p>
    <w:p w:rsidR="00095AEC" w:rsidRDefault="00095AEC" w:rsidP="00956354">
      <w:pPr>
        <w:rPr>
          <w:i/>
          <w:sz w:val="20"/>
          <w:szCs w:val="20"/>
        </w:rPr>
      </w:pPr>
    </w:p>
    <w:p w:rsidR="00095AEC" w:rsidRDefault="00C51627" w:rsidP="00956354">
      <w:r>
        <w:lastRenderedPageBreak/>
        <w:t>The vacancy levels in the borough have been similar, with some fluctuations, since April 2016. Dromore has consistently had the highest vacancy rates while Craigavon has maintained the lowest.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0495" w:rsidRPr="00980495" w:rsidTr="00980495">
        <w:trPr>
          <w:trHeight w:val="345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Apr 2016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May  2017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Apr 2018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Apr 2019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May 2020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Apr 2021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Apr 2022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9804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Oct 2022</w:t>
            </w:r>
          </w:p>
        </w:tc>
      </w:tr>
      <w:tr w:rsidR="00980495" w:rsidRPr="00980495" w:rsidTr="00980495">
        <w:trPr>
          <w:trHeight w:val="421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Armagh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20.6%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Banbridge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15.8%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Craigavon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6.3%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10.0%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Dromore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30.2%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27.1%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25.4%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Lurgan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20.4%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Portadown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20.1%</w:t>
            </w:r>
          </w:p>
        </w:tc>
      </w:tr>
      <w:tr w:rsidR="00980495" w:rsidRPr="00980495" w:rsidTr="0098049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0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Northern Ireland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95" w:rsidRPr="00980495" w:rsidRDefault="00980495" w:rsidP="0098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495">
              <w:rPr>
                <w:rFonts w:ascii="Calibri" w:eastAsia="Times New Roman" w:hAnsi="Calibri" w:cs="Calibri"/>
                <w:color w:val="000000"/>
                <w:lang w:eastAsia="en-GB"/>
              </w:rPr>
              <w:t>22.8%</w:t>
            </w:r>
          </w:p>
        </w:tc>
      </w:tr>
    </w:tbl>
    <w:p w:rsidR="005C2415" w:rsidRDefault="005C2415" w:rsidP="005C241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2: City/town centre non-domestic property vacancy rates between 30</w:t>
      </w:r>
      <w:r w:rsidRPr="00C51627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April 2016 and </w:t>
      </w:r>
      <w:r w:rsidR="00980495">
        <w:rPr>
          <w:i/>
          <w:sz w:val="20"/>
          <w:szCs w:val="20"/>
        </w:rPr>
        <w:t>31</w:t>
      </w:r>
      <w:r w:rsidR="00980495" w:rsidRPr="00980495">
        <w:rPr>
          <w:i/>
          <w:sz w:val="20"/>
          <w:szCs w:val="20"/>
          <w:vertAlign w:val="superscript"/>
        </w:rPr>
        <w:t>st</w:t>
      </w:r>
      <w:r w:rsidR="00980495">
        <w:rPr>
          <w:i/>
          <w:sz w:val="20"/>
          <w:szCs w:val="20"/>
        </w:rPr>
        <w:t xml:space="preserve"> October</w:t>
      </w:r>
      <w:r w:rsidR="00A61EAC">
        <w:rPr>
          <w:i/>
          <w:sz w:val="20"/>
          <w:szCs w:val="20"/>
        </w:rPr>
        <w:t xml:space="preserve"> 2022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Land and Property Services via Town Centre Database, Department for Communities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4172DA" w:rsidRDefault="004172DA" w:rsidP="00956354"/>
    <w:p w:rsidR="00C51627" w:rsidRDefault="00C51627" w:rsidP="00956354">
      <w:r>
        <w:t xml:space="preserve">Of the 41 towns and cities contained within the Town Centre </w:t>
      </w:r>
      <w:r w:rsidR="00936C9E">
        <w:t xml:space="preserve">Database, Dromore has the fourth </w:t>
      </w:r>
      <w:r>
        <w:t>highest</w:t>
      </w:r>
      <w:r w:rsidR="00AA2364">
        <w:t xml:space="preserve"> non-domestic property vacancy rate</w:t>
      </w:r>
      <w:r>
        <w:t xml:space="preserve">. </w:t>
      </w:r>
      <w:r w:rsidR="00B445E3">
        <w:t xml:space="preserve"> </w:t>
      </w:r>
      <w:r w:rsidR="00F05DE3">
        <w:t xml:space="preserve">Armagh, </w:t>
      </w:r>
      <w:proofErr w:type="spellStart"/>
      <w:r w:rsidR="00807126">
        <w:t>Lurgan</w:t>
      </w:r>
      <w:proofErr w:type="spellEnd"/>
      <w:r w:rsidR="00F05DE3">
        <w:t xml:space="preserve"> and</w:t>
      </w:r>
      <w:r w:rsidR="00807126">
        <w:t xml:space="preserve"> </w:t>
      </w:r>
      <w:proofErr w:type="spellStart"/>
      <w:r w:rsidR="00936C9E">
        <w:t>Portadown</w:t>
      </w:r>
      <w:proofErr w:type="spellEnd"/>
      <w:r w:rsidR="00936C9E">
        <w:t xml:space="preserve"> are ranked </w:t>
      </w:r>
      <w:r w:rsidR="00F05DE3">
        <w:t>tenth</w:t>
      </w:r>
      <w:r w:rsidR="00B445E3">
        <w:t xml:space="preserve">, </w:t>
      </w:r>
      <w:r w:rsidR="00F05DE3">
        <w:t>fourteenth and fifteenth</w:t>
      </w:r>
      <w:r w:rsidR="00936C9E">
        <w:t xml:space="preserve"> respectively</w:t>
      </w:r>
      <w:r w:rsidR="00AA2364">
        <w:t>. Craigavon has the</w:t>
      </w:r>
      <w:r w:rsidR="00936C9E">
        <w:t xml:space="preserve"> </w:t>
      </w:r>
      <w:r w:rsidR="00F05DE3">
        <w:t>fifth</w:t>
      </w:r>
      <w:r w:rsidR="00AA2364">
        <w:t xml:space="preserve"> lowest vacancy rate of the 41 towns and cities.</w:t>
      </w:r>
      <w:r w:rsidR="00CA23AC">
        <w:t xml:space="preserve"> </w:t>
      </w:r>
      <w:bookmarkStart w:id="0" w:name="_GoBack"/>
      <w:bookmarkEnd w:id="0"/>
    </w:p>
    <w:p w:rsidR="00AA2364" w:rsidRPr="00AA2364" w:rsidRDefault="00F05DE3" w:rsidP="00AA2364">
      <w:r>
        <w:rPr>
          <w:noProof/>
          <w:lang w:eastAsia="en-GB"/>
        </w:rPr>
        <w:drawing>
          <wp:inline distT="0" distB="0" distL="0" distR="0" wp14:anchorId="194E224D" wp14:editId="096A7DA5">
            <wp:extent cx="6267450" cy="2968625"/>
            <wp:effectExtent l="0" t="0" r="0" b="31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7F07">
        <w:rPr>
          <w:i/>
          <w:sz w:val="20"/>
          <w:szCs w:val="20"/>
        </w:rPr>
        <w:t xml:space="preserve">Figure 2: </w:t>
      </w:r>
      <w:r w:rsidR="00AA2364">
        <w:rPr>
          <w:i/>
          <w:sz w:val="20"/>
          <w:szCs w:val="20"/>
        </w:rPr>
        <w:t>City/town centre non-domestic</w:t>
      </w:r>
      <w:r w:rsidR="007D43A5">
        <w:rPr>
          <w:i/>
          <w:sz w:val="20"/>
          <w:szCs w:val="20"/>
        </w:rPr>
        <w:t xml:space="preserve"> property vacancy rates as at </w:t>
      </w:r>
      <w:r>
        <w:rPr>
          <w:i/>
          <w:sz w:val="20"/>
          <w:szCs w:val="20"/>
        </w:rPr>
        <w:t>31</w:t>
      </w:r>
      <w:r w:rsidRPr="00F05DE3">
        <w:rPr>
          <w:i/>
          <w:sz w:val="20"/>
          <w:szCs w:val="20"/>
          <w:vertAlign w:val="superscript"/>
        </w:rPr>
        <w:t>st</w:t>
      </w:r>
      <w:r>
        <w:rPr>
          <w:i/>
          <w:sz w:val="20"/>
          <w:szCs w:val="20"/>
        </w:rPr>
        <w:t xml:space="preserve"> October</w:t>
      </w:r>
      <w:r w:rsidR="00807126">
        <w:rPr>
          <w:i/>
          <w:sz w:val="20"/>
          <w:szCs w:val="20"/>
        </w:rPr>
        <w:t xml:space="preserve"> 2022</w:t>
      </w:r>
      <w:r w:rsidR="00AA2364" w:rsidRPr="002A2185">
        <w:rPr>
          <w:i/>
          <w:sz w:val="20"/>
          <w:szCs w:val="20"/>
        </w:rPr>
        <w:t>. Source:</w:t>
      </w:r>
      <w:r w:rsidR="00AA2364">
        <w:rPr>
          <w:i/>
          <w:sz w:val="20"/>
          <w:szCs w:val="20"/>
        </w:rPr>
        <w:t xml:space="preserve"> Land and Property Services via Town Centre Database, Department for Communities</w:t>
      </w:r>
      <w:r w:rsidR="00AA2364" w:rsidRPr="002A2185">
        <w:rPr>
          <w:i/>
          <w:sz w:val="20"/>
          <w:szCs w:val="20"/>
        </w:rPr>
        <w:t>.</w:t>
      </w:r>
      <w:r w:rsidR="00AA2364">
        <w:rPr>
          <w:i/>
          <w:sz w:val="20"/>
          <w:szCs w:val="20"/>
        </w:rPr>
        <w:t xml:space="preserve"> </w:t>
      </w:r>
    </w:p>
    <w:p w:rsidR="00AA2364" w:rsidRDefault="00AA2364" w:rsidP="00956354">
      <w:r>
        <w:t>Further information on town centre vacancy rates can be found via the following link:</w:t>
      </w:r>
    </w:p>
    <w:p w:rsidR="00C51627" w:rsidRPr="00956354" w:rsidRDefault="00CA23AC" w:rsidP="00956354">
      <w:hyperlink r:id="rId8" w:history="1">
        <w:r w:rsidR="00AA2364">
          <w:rPr>
            <w:rStyle w:val="Hyperlink"/>
          </w:rPr>
          <w:t>https://www.communities-ni.gov.uk/publications/town-centre-database</w:t>
        </w:r>
      </w:hyperlink>
    </w:p>
    <w:sectPr w:rsidR="00C51627" w:rsidRPr="009563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7" w:rsidRDefault="00C07F07" w:rsidP="00C07F07">
      <w:pPr>
        <w:spacing w:after="0" w:line="240" w:lineRule="auto"/>
      </w:pPr>
      <w:r>
        <w:separator/>
      </w:r>
    </w:p>
  </w:endnote>
  <w:endnote w:type="continuationSeparator" w:id="0">
    <w:p w:rsidR="00C07F07" w:rsidRDefault="00C07F07" w:rsidP="00C0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1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F07" w:rsidRDefault="00C07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F07" w:rsidRDefault="00C07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7" w:rsidRDefault="00C07F07" w:rsidP="00C07F07">
      <w:pPr>
        <w:spacing w:after="0" w:line="240" w:lineRule="auto"/>
      </w:pPr>
      <w:r>
        <w:separator/>
      </w:r>
    </w:p>
  </w:footnote>
  <w:footnote w:type="continuationSeparator" w:id="0">
    <w:p w:rsidR="00C07F07" w:rsidRDefault="00C07F07" w:rsidP="00C0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56"/>
    <w:rsid w:val="00095AEC"/>
    <w:rsid w:val="0011217B"/>
    <w:rsid w:val="00163756"/>
    <w:rsid w:val="00164911"/>
    <w:rsid w:val="0027097C"/>
    <w:rsid w:val="0035789F"/>
    <w:rsid w:val="004137D6"/>
    <w:rsid w:val="004172DA"/>
    <w:rsid w:val="004239CA"/>
    <w:rsid w:val="00595145"/>
    <w:rsid w:val="005A6B8B"/>
    <w:rsid w:val="005C2415"/>
    <w:rsid w:val="007D43A5"/>
    <w:rsid w:val="00807126"/>
    <w:rsid w:val="00936C9E"/>
    <w:rsid w:val="00956354"/>
    <w:rsid w:val="00980495"/>
    <w:rsid w:val="00A02E53"/>
    <w:rsid w:val="00A61EAC"/>
    <w:rsid w:val="00AA2364"/>
    <w:rsid w:val="00AB0D40"/>
    <w:rsid w:val="00AF041A"/>
    <w:rsid w:val="00B445E3"/>
    <w:rsid w:val="00C07F07"/>
    <w:rsid w:val="00C51627"/>
    <w:rsid w:val="00CA23AC"/>
    <w:rsid w:val="00D11E50"/>
    <w:rsid w:val="00D71F6B"/>
    <w:rsid w:val="00DD44F4"/>
    <w:rsid w:val="00EB4ADC"/>
    <w:rsid w:val="00F05DE3"/>
    <w:rsid w:val="00F2398A"/>
    <w:rsid w:val="00F72D45"/>
    <w:rsid w:val="00FD140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47F4"/>
  <w15:chartTrackingRefBased/>
  <w15:docId w15:val="{02E1B8DA-A8E0-42A4-A4F1-3F0DD5E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3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07"/>
  </w:style>
  <w:style w:type="paragraph" w:styleId="Footer">
    <w:name w:val="footer"/>
    <w:basedOn w:val="Normal"/>
    <w:link w:val="Foot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07"/>
  </w:style>
  <w:style w:type="character" w:styleId="FollowedHyperlink">
    <w:name w:val="FollowedHyperlink"/>
    <w:basedOn w:val="DefaultParagraphFont"/>
    <w:uiPriority w:val="99"/>
    <w:semiHidden/>
    <w:unhideWhenUsed/>
    <w:rsid w:val="0011217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D71F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ies-ni.gov.uk/publications/town-centre-database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Statistics%20for%20Website\Economy%20and%20Labour%20Market\2022%20Updates\Vacancy%20Rates%20updated%2006.02.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Statistics%20for%20Website\Economy%20and%20Labour%20Market\2022%20Updates\Vacancy%20Rates%20updated%2006.02.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Sheet3!$J$67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Sheet3!$I$68:$I$73</c:f>
              <c:strCache>
                <c:ptCount val="6"/>
                <c:pt idx="0">
                  <c:v>Dromore</c:v>
                </c:pt>
                <c:pt idx="1">
                  <c:v>Armagh</c:v>
                </c:pt>
                <c:pt idx="2">
                  <c:v>Lurgan</c:v>
                </c:pt>
                <c:pt idx="3">
                  <c:v>Portadown</c:v>
                </c:pt>
                <c:pt idx="4">
                  <c:v>Banbridge</c:v>
                </c:pt>
                <c:pt idx="5">
                  <c:v>Craigavon</c:v>
                </c:pt>
              </c:strCache>
            </c:strRef>
          </c:cat>
          <c:val>
            <c:numRef>
              <c:f>Sheet3!$J$68:$J$73</c:f>
              <c:numCache>
                <c:formatCode>0.0%</c:formatCode>
                <c:ptCount val="6"/>
                <c:pt idx="0">
                  <c:v>0.254</c:v>
                </c:pt>
                <c:pt idx="1">
                  <c:v>0.20599999999999999</c:v>
                </c:pt>
                <c:pt idx="2">
                  <c:v>0.20399999999999999</c:v>
                </c:pt>
                <c:pt idx="3">
                  <c:v>0.20100000000000001</c:v>
                </c:pt>
                <c:pt idx="4">
                  <c:v>0.158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B-4984-B323-1D501F13B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575766447"/>
        <c:axId val="575766863"/>
      </c:barChart>
      <c:catAx>
        <c:axId val="575766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766863"/>
        <c:crosses val="autoZero"/>
        <c:auto val="1"/>
        <c:lblAlgn val="ctr"/>
        <c:lblOffset val="100"/>
        <c:noMultiLvlLbl val="0"/>
      </c:catAx>
      <c:valAx>
        <c:axId val="575766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766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Sheet2!$I$8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361-4252-9DBC-C8601F208D40}"/>
              </c:ext>
            </c:extLst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361-4252-9DBC-C8601F208D40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361-4252-9DBC-C8601F208D40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361-4252-9DBC-C8601F208D40}"/>
              </c:ext>
            </c:extLst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361-4252-9DBC-C8601F208D40}"/>
              </c:ext>
            </c:extLst>
          </c:dPt>
          <c:dPt>
            <c:idx val="3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361-4252-9DBC-C8601F208D40}"/>
              </c:ext>
            </c:extLst>
          </c:dPt>
          <c:cat>
            <c:strRef>
              <c:f>Sheet2!$H$9:$H$49</c:f>
              <c:strCache>
                <c:ptCount val="41"/>
                <c:pt idx="0">
                  <c:v>BELFAST CITY</c:v>
                </c:pt>
                <c:pt idx="1">
                  <c:v>COALISLAND</c:v>
                </c:pt>
                <c:pt idx="2">
                  <c:v>RANDALSTOWN</c:v>
                </c:pt>
                <c:pt idx="3">
                  <c:v>DROMORE</c:v>
                </c:pt>
                <c:pt idx="4">
                  <c:v>STRABANE</c:v>
                </c:pt>
                <c:pt idx="5">
                  <c:v>COLERAINE</c:v>
                </c:pt>
                <c:pt idx="6">
                  <c:v>KILKEEL</c:v>
                </c:pt>
                <c:pt idx="7">
                  <c:v>LARNE</c:v>
                </c:pt>
                <c:pt idx="8">
                  <c:v>BANGOR</c:v>
                </c:pt>
                <c:pt idx="9">
                  <c:v>ARMAGH</c:v>
                </c:pt>
                <c:pt idx="10">
                  <c:v>ANTRIM</c:v>
                </c:pt>
                <c:pt idx="11">
                  <c:v>NEWRY</c:v>
                </c:pt>
                <c:pt idx="12">
                  <c:v>ENNISKILLEN</c:v>
                </c:pt>
                <c:pt idx="13">
                  <c:v>LURGAN</c:v>
                </c:pt>
                <c:pt idx="14">
                  <c:v>PORTADOWN</c:v>
                </c:pt>
                <c:pt idx="15">
                  <c:v>BALLYMENA</c:v>
                </c:pt>
                <c:pt idx="16">
                  <c:v>OMAGH</c:v>
                </c:pt>
                <c:pt idx="17">
                  <c:v>DOWNPATRICK</c:v>
                </c:pt>
                <c:pt idx="18">
                  <c:v>DUNGANNON</c:v>
                </c:pt>
                <c:pt idx="19">
                  <c:v>NEWTOWNARDS</c:v>
                </c:pt>
                <c:pt idx="20">
                  <c:v>DERRY</c:v>
                </c:pt>
                <c:pt idx="21">
                  <c:v>BALLYCASTLE</c:v>
                </c:pt>
                <c:pt idx="22">
                  <c:v>BALLYNAHINCH</c:v>
                </c:pt>
                <c:pt idx="23">
                  <c:v>COOKSTOWN</c:v>
                </c:pt>
                <c:pt idx="24">
                  <c:v>LISBURN CITY</c:v>
                </c:pt>
                <c:pt idx="25">
                  <c:v>BALLYMONEY</c:v>
                </c:pt>
                <c:pt idx="26">
                  <c:v>LIMAVADY</c:v>
                </c:pt>
                <c:pt idx="27">
                  <c:v>BANBRIDGE</c:v>
                </c:pt>
                <c:pt idx="28">
                  <c:v>WARRENPOINT / BURREN</c:v>
                </c:pt>
                <c:pt idx="29">
                  <c:v>DONAGHADEE</c:v>
                </c:pt>
                <c:pt idx="30">
                  <c:v>CARRICKFERGUS</c:v>
                </c:pt>
                <c:pt idx="31">
                  <c:v>CRUMLIN</c:v>
                </c:pt>
                <c:pt idx="32">
                  <c:v>BALLYCLARE</c:v>
                </c:pt>
                <c:pt idx="33">
                  <c:v>PORTRUSH</c:v>
                </c:pt>
                <c:pt idx="34">
                  <c:v>HOLYWOOD</c:v>
                </c:pt>
                <c:pt idx="35">
                  <c:v>MAGHERAFELT</c:v>
                </c:pt>
                <c:pt idx="36">
                  <c:v>CRAIGAVON</c:v>
                </c:pt>
                <c:pt idx="37">
                  <c:v>COMBER</c:v>
                </c:pt>
                <c:pt idx="38">
                  <c:v>PORTSTEWART</c:v>
                </c:pt>
                <c:pt idx="39">
                  <c:v>NEWCASTLE</c:v>
                </c:pt>
                <c:pt idx="40">
                  <c:v>CARRYDUFF</c:v>
                </c:pt>
              </c:strCache>
            </c:strRef>
          </c:cat>
          <c:val>
            <c:numRef>
              <c:f>Sheet2!$I$9:$I$49</c:f>
              <c:numCache>
                <c:formatCode>0.00%</c:formatCode>
                <c:ptCount val="41"/>
                <c:pt idx="0">
                  <c:v>0.33700000000000002</c:v>
                </c:pt>
                <c:pt idx="1">
                  <c:v>0.27300000000000002</c:v>
                </c:pt>
                <c:pt idx="2">
                  <c:v>0.26200000000000001</c:v>
                </c:pt>
                <c:pt idx="3">
                  <c:v>0.254</c:v>
                </c:pt>
                <c:pt idx="4">
                  <c:v>0.24</c:v>
                </c:pt>
                <c:pt idx="5">
                  <c:v>0.23200000000000001</c:v>
                </c:pt>
                <c:pt idx="6">
                  <c:v>0.22800000000000001</c:v>
                </c:pt>
                <c:pt idx="7">
                  <c:v>0.223</c:v>
                </c:pt>
                <c:pt idx="8">
                  <c:v>0.216</c:v>
                </c:pt>
                <c:pt idx="9">
                  <c:v>0.20599999999999999</c:v>
                </c:pt>
                <c:pt idx="10">
                  <c:v>0.20499999999999999</c:v>
                </c:pt>
                <c:pt idx="11">
                  <c:v>0.20499999999999999</c:v>
                </c:pt>
                <c:pt idx="12">
                  <c:v>0.20399999999999999</c:v>
                </c:pt>
                <c:pt idx="13">
                  <c:v>0.20399999999999999</c:v>
                </c:pt>
                <c:pt idx="14">
                  <c:v>0.20100000000000001</c:v>
                </c:pt>
                <c:pt idx="15">
                  <c:v>0.19900000000000001</c:v>
                </c:pt>
                <c:pt idx="16">
                  <c:v>0.19700000000000001</c:v>
                </c:pt>
                <c:pt idx="17">
                  <c:v>0.19500000000000001</c:v>
                </c:pt>
                <c:pt idx="18">
                  <c:v>0.19500000000000001</c:v>
                </c:pt>
                <c:pt idx="19">
                  <c:v>0.192</c:v>
                </c:pt>
                <c:pt idx="20">
                  <c:v>0.191</c:v>
                </c:pt>
                <c:pt idx="21">
                  <c:v>0.19</c:v>
                </c:pt>
                <c:pt idx="22">
                  <c:v>0.184</c:v>
                </c:pt>
                <c:pt idx="23">
                  <c:v>0.184</c:v>
                </c:pt>
                <c:pt idx="24">
                  <c:v>0.182</c:v>
                </c:pt>
                <c:pt idx="25">
                  <c:v>0.17799999999999999</c:v>
                </c:pt>
                <c:pt idx="26">
                  <c:v>0.17399999999999999</c:v>
                </c:pt>
                <c:pt idx="27">
                  <c:v>0.158</c:v>
                </c:pt>
                <c:pt idx="28">
                  <c:v>0.156</c:v>
                </c:pt>
                <c:pt idx="29">
                  <c:v>0.151</c:v>
                </c:pt>
                <c:pt idx="30">
                  <c:v>0.14799999999999999</c:v>
                </c:pt>
                <c:pt idx="31">
                  <c:v>0.14299999999999999</c:v>
                </c:pt>
                <c:pt idx="32">
                  <c:v>0.14099999999999999</c:v>
                </c:pt>
                <c:pt idx="33">
                  <c:v>0.14000000000000001</c:v>
                </c:pt>
                <c:pt idx="34">
                  <c:v>0.13400000000000001</c:v>
                </c:pt>
                <c:pt idx="35">
                  <c:v>0.13200000000000001</c:v>
                </c:pt>
                <c:pt idx="36">
                  <c:v>0.1</c:v>
                </c:pt>
                <c:pt idx="37">
                  <c:v>9.8000000000000004E-2</c:v>
                </c:pt>
                <c:pt idx="38">
                  <c:v>9.8000000000000004E-2</c:v>
                </c:pt>
                <c:pt idx="39">
                  <c:v>8.4000000000000005E-2</c:v>
                </c:pt>
                <c:pt idx="40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361-4252-9DBC-C8601F208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634687"/>
        <c:axId val="659628031"/>
      </c:barChart>
      <c:catAx>
        <c:axId val="659634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628031"/>
        <c:crosses val="autoZero"/>
        <c:auto val="1"/>
        <c:lblAlgn val="ctr"/>
        <c:lblOffset val="100"/>
        <c:noMultiLvlLbl val="0"/>
      </c:catAx>
      <c:valAx>
        <c:axId val="659628031"/>
        <c:scaling>
          <c:orientation val="minMax"/>
          <c:max val="0.3500000000000000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634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7</cp:revision>
  <dcterms:created xsi:type="dcterms:W3CDTF">2023-02-06T09:29:00Z</dcterms:created>
  <dcterms:modified xsi:type="dcterms:W3CDTF">2023-02-06T10:12:00Z</dcterms:modified>
</cp:coreProperties>
</file>