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CA2A1B" w:rsidRDefault="00A93EC0">
      <w:pPr>
        <w:rPr>
          <w:b/>
        </w:rPr>
      </w:pPr>
      <w:r w:rsidRPr="00CA2A1B">
        <w:rPr>
          <w:b/>
        </w:rPr>
        <w:t>Municipal Waste</w:t>
      </w:r>
    </w:p>
    <w:p w:rsidR="00EA6E9F" w:rsidRDefault="005878EF" w:rsidP="005878EF">
      <w:pPr>
        <w:rPr>
          <w:b/>
          <w:i/>
          <w:sz w:val="20"/>
          <w:szCs w:val="20"/>
        </w:rPr>
      </w:pPr>
      <w:r w:rsidRPr="00F95E38">
        <w:t xml:space="preserve">In </w:t>
      </w:r>
      <w:r w:rsidR="00EA6E9F">
        <w:t>2021/22</w:t>
      </w:r>
      <w:r w:rsidRPr="00F95E38">
        <w:t xml:space="preserve">, the largest proportion of municipal waste in Armagh City, Banbridge and Craigavon </w:t>
      </w:r>
      <w:r w:rsidRPr="007666A3">
        <w:t xml:space="preserve">Borough was reused, dry recycled or composted, </w:t>
      </w:r>
      <w:r w:rsidR="00F95E38" w:rsidRPr="007666A3">
        <w:t>a total of 61,</w:t>
      </w:r>
      <w:r w:rsidR="00EA6E9F">
        <w:t>398</w:t>
      </w:r>
      <w:r w:rsidRPr="007666A3">
        <w:t xml:space="preserve"> tonnes (</w:t>
      </w:r>
      <w:r w:rsidR="00EA6E9F">
        <w:t>53.2</w:t>
      </w:r>
      <w:r w:rsidRPr="007666A3">
        <w:t xml:space="preserve">%). This </w:t>
      </w:r>
      <w:r w:rsidR="00F95E38" w:rsidRPr="007666A3">
        <w:t>represented</w:t>
      </w:r>
      <w:r w:rsidRPr="007666A3">
        <w:t xml:space="preserve"> an increase of </w:t>
      </w:r>
      <w:r w:rsidR="00EA6E9F">
        <w:t xml:space="preserve">just over </w:t>
      </w:r>
      <w:r w:rsidR="00F95E38" w:rsidRPr="007666A3">
        <w:t>25</w:t>
      </w:r>
      <w:r w:rsidRPr="007666A3">
        <w:t xml:space="preserve">% </w:t>
      </w:r>
      <w:r w:rsidR="00F95E38" w:rsidRPr="007666A3">
        <w:t xml:space="preserve">in the number of tonnes </w:t>
      </w:r>
      <w:r w:rsidRPr="007666A3">
        <w:t>in the borough for reuse, dry recycling and composting</w:t>
      </w:r>
      <w:r w:rsidR="00F95E38" w:rsidRPr="007666A3">
        <w:t xml:space="preserve"> since 2014/15</w:t>
      </w:r>
      <w:r w:rsidRPr="007666A3">
        <w:t xml:space="preserve">. </w:t>
      </w:r>
      <w:r w:rsidR="00F95E38" w:rsidRPr="007666A3">
        <w:t xml:space="preserve"> </w:t>
      </w:r>
      <w:r w:rsidRPr="007666A3">
        <w:t xml:space="preserve">Energy recovery accounted for </w:t>
      </w:r>
      <w:r w:rsidR="00EA6E9F">
        <w:t>31.7</w:t>
      </w:r>
      <w:r w:rsidRPr="007666A3">
        <w:t xml:space="preserve">% of municipal waste in </w:t>
      </w:r>
      <w:r w:rsidR="00F95E38" w:rsidRPr="007666A3">
        <w:t>202</w:t>
      </w:r>
      <w:r w:rsidR="00921B99">
        <w:t>1</w:t>
      </w:r>
      <w:r w:rsidR="00F95E38" w:rsidRPr="007666A3">
        <w:t>/2</w:t>
      </w:r>
      <w:r w:rsidR="00921B99">
        <w:t>2</w:t>
      </w:r>
      <w:r w:rsidRPr="007666A3">
        <w:t xml:space="preserve"> in the borough</w:t>
      </w:r>
      <w:r w:rsidR="00921B99">
        <w:t xml:space="preserve"> which was a slight drop from 2020/21.  </w:t>
      </w:r>
      <w:r w:rsidR="00F95E38" w:rsidRPr="007666A3">
        <w:t xml:space="preserve">A total of </w:t>
      </w:r>
      <w:r w:rsidR="00921B99">
        <w:t>12,784</w:t>
      </w:r>
      <w:r w:rsidRPr="007666A3">
        <w:t xml:space="preserve"> tonnes were landfilled in Armagh City, Banbridge and Craigavon in </w:t>
      </w:r>
      <w:r w:rsidR="00F95E38" w:rsidRPr="007666A3">
        <w:t>202</w:t>
      </w:r>
      <w:r w:rsidR="00921B99">
        <w:t>1</w:t>
      </w:r>
      <w:r w:rsidR="00F95E38" w:rsidRPr="007666A3">
        <w:t>/2</w:t>
      </w:r>
      <w:r w:rsidR="00921B99">
        <w:t>2</w:t>
      </w:r>
      <w:r w:rsidRPr="007666A3">
        <w:t xml:space="preserve">, </w:t>
      </w:r>
      <w:r w:rsidR="00921B99">
        <w:t>an increase</w:t>
      </w:r>
      <w:r w:rsidRPr="007666A3">
        <w:t xml:space="preserve"> of</w:t>
      </w:r>
      <w:r w:rsidR="00921B99">
        <w:t xml:space="preserve"> over</w:t>
      </w:r>
      <w:r w:rsidR="0036196A" w:rsidRPr="007666A3">
        <w:t xml:space="preserve"> </w:t>
      </w:r>
      <w:r w:rsidR="00921B99">
        <w:t>63</w:t>
      </w:r>
      <w:r w:rsidRPr="007666A3">
        <w:t>% on 20</w:t>
      </w:r>
      <w:r w:rsidR="00921B99">
        <w:t>20/21</w:t>
      </w:r>
      <w:r w:rsidRPr="007666A3">
        <w:t xml:space="preserve"> (</w:t>
      </w:r>
      <w:r w:rsidR="00921B99">
        <w:t xml:space="preserve">7,831 tonnes) but 40% less than 2016/17 when landfilled waste was the highest of the years presented.  </w:t>
      </w:r>
    </w:p>
    <w:p w:rsidR="0036196A" w:rsidRDefault="00EA6E9F" w:rsidP="00EA6E9F">
      <w:pPr>
        <w:ind w:left="7920"/>
      </w:pPr>
      <w:r w:rsidRPr="00F95E38">
        <w:rPr>
          <w:b/>
          <w:i/>
          <w:sz w:val="20"/>
          <w:szCs w:val="20"/>
        </w:rPr>
        <w:t>Tonnes</w:t>
      </w:r>
    </w:p>
    <w:tbl>
      <w:tblPr>
        <w:tblW w:w="9967" w:type="dxa"/>
        <w:tblInd w:w="-577" w:type="dxa"/>
        <w:tblLook w:val="04A0" w:firstRow="1" w:lastRow="0" w:firstColumn="1" w:lastColumn="0" w:noHBand="0" w:noVBand="1"/>
      </w:tblPr>
      <w:tblGrid>
        <w:gridCol w:w="2127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A6E9F" w:rsidRPr="00EA6E9F" w:rsidTr="00BA11DD">
        <w:trPr>
          <w:trHeight w:val="303"/>
        </w:trPr>
        <w:tc>
          <w:tcPr>
            <w:tcW w:w="2127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2014/15</w:t>
            </w:r>
          </w:p>
        </w:tc>
        <w:tc>
          <w:tcPr>
            <w:tcW w:w="9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2015/16</w:t>
            </w:r>
          </w:p>
        </w:tc>
        <w:tc>
          <w:tcPr>
            <w:tcW w:w="9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2016/17</w:t>
            </w:r>
          </w:p>
        </w:tc>
        <w:tc>
          <w:tcPr>
            <w:tcW w:w="9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2017/18</w:t>
            </w:r>
          </w:p>
        </w:tc>
        <w:tc>
          <w:tcPr>
            <w:tcW w:w="9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2018/19</w:t>
            </w:r>
          </w:p>
        </w:tc>
        <w:tc>
          <w:tcPr>
            <w:tcW w:w="9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2019/20</w:t>
            </w:r>
          </w:p>
        </w:tc>
        <w:tc>
          <w:tcPr>
            <w:tcW w:w="9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2020/21</w:t>
            </w:r>
          </w:p>
        </w:tc>
        <w:tc>
          <w:tcPr>
            <w:tcW w:w="98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2021/22</w:t>
            </w:r>
          </w:p>
        </w:tc>
      </w:tr>
      <w:tr w:rsidR="00BA11DD" w:rsidRPr="00EA6E9F" w:rsidTr="00BA11DD">
        <w:trPr>
          <w:trHeight w:val="318"/>
        </w:trPr>
        <w:tc>
          <w:tcPr>
            <w:tcW w:w="212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921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Reuse, dry recycling </w:t>
            </w:r>
            <w:r w:rsidR="00921B9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&amp; </w:t>
            </w: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composting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49,091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50,101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51,098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54,183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55,737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58,268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61,181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61,398</w:t>
            </w:r>
          </w:p>
        </w:tc>
      </w:tr>
      <w:tr w:rsidR="00BA11DD" w:rsidRPr="00EA6E9F" w:rsidTr="00BA11DD">
        <w:trPr>
          <w:trHeight w:val="303"/>
        </w:trPr>
        <w:tc>
          <w:tcPr>
            <w:tcW w:w="212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Energy recovery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32,877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33,366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31,699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30,907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29,828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31,191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38,716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36,573</w:t>
            </w:r>
          </w:p>
        </w:tc>
      </w:tr>
      <w:tr w:rsidR="00BA11DD" w:rsidRPr="00EA6E9F" w:rsidTr="00BA11DD">
        <w:trPr>
          <w:trHeight w:val="303"/>
        </w:trPr>
        <w:tc>
          <w:tcPr>
            <w:tcW w:w="212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Landfilled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18,945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19,158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21,365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18,582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16,678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11,805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7,831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12,784</w:t>
            </w:r>
          </w:p>
        </w:tc>
      </w:tr>
      <w:tr w:rsidR="00BA11DD" w:rsidRPr="00EA6E9F" w:rsidTr="00BA11DD">
        <w:trPr>
          <w:trHeight w:val="303"/>
        </w:trPr>
        <w:tc>
          <w:tcPr>
            <w:tcW w:w="212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Unclassified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2,107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3,585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5,478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5,983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4,573</w:t>
            </w:r>
          </w:p>
        </w:tc>
      </w:tr>
      <w:tr w:rsidR="00BA11DD" w:rsidRPr="00EA6E9F" w:rsidTr="00BA11DD">
        <w:trPr>
          <w:trHeight w:val="303"/>
        </w:trPr>
        <w:tc>
          <w:tcPr>
            <w:tcW w:w="212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101,176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102,957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104,342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105,778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105,828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106,742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113,712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EA6E9F" w:rsidRPr="00EA6E9F" w:rsidRDefault="00EA6E9F" w:rsidP="00EA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A6E9F">
              <w:rPr>
                <w:rFonts w:ascii="Calibri" w:eastAsia="Times New Roman" w:hAnsi="Calibri" w:cs="Calibri"/>
                <w:lang w:eastAsia="en-GB"/>
              </w:rPr>
              <w:t>115,327</w:t>
            </w:r>
          </w:p>
        </w:tc>
      </w:tr>
    </w:tbl>
    <w:p w:rsidR="008C3787" w:rsidRDefault="008C1EDC" w:rsidP="00F95E38">
      <w:pPr>
        <w:rPr>
          <w:i/>
          <w:sz w:val="20"/>
          <w:szCs w:val="20"/>
        </w:rPr>
      </w:pPr>
      <w:r w:rsidRPr="00F95E38">
        <w:rPr>
          <w:i/>
          <w:sz w:val="20"/>
          <w:szCs w:val="20"/>
        </w:rPr>
        <w:t xml:space="preserve">Table 1: </w:t>
      </w:r>
      <w:r w:rsidR="009D2ED9" w:rsidRPr="00F95E38">
        <w:rPr>
          <w:i/>
          <w:sz w:val="20"/>
          <w:szCs w:val="20"/>
        </w:rPr>
        <w:t>Municipal waste sent for</w:t>
      </w:r>
      <w:r w:rsidR="0075549D" w:rsidRPr="00F95E38">
        <w:rPr>
          <w:i/>
          <w:sz w:val="20"/>
          <w:szCs w:val="20"/>
        </w:rPr>
        <w:t xml:space="preserve"> preparing for</w:t>
      </w:r>
      <w:r w:rsidR="009D2ED9" w:rsidRPr="00F95E38">
        <w:rPr>
          <w:i/>
          <w:sz w:val="20"/>
          <w:szCs w:val="20"/>
        </w:rPr>
        <w:t xml:space="preserve"> reuse, dry recycling, composting, energy recovery and landfill</w:t>
      </w:r>
      <w:r w:rsidRPr="00F95E38">
        <w:rPr>
          <w:i/>
          <w:sz w:val="20"/>
          <w:szCs w:val="20"/>
        </w:rPr>
        <w:t xml:space="preserve"> in Armagh City, Banbridge and Craigavon Borough</w:t>
      </w:r>
      <w:r w:rsidR="009D2ED9" w:rsidRPr="00F95E38">
        <w:rPr>
          <w:i/>
          <w:sz w:val="20"/>
          <w:szCs w:val="20"/>
        </w:rPr>
        <w:t xml:space="preserve"> 2014/15</w:t>
      </w:r>
      <w:r w:rsidR="008C513E" w:rsidRPr="00F95E38">
        <w:rPr>
          <w:i/>
          <w:sz w:val="20"/>
          <w:szCs w:val="20"/>
        </w:rPr>
        <w:t xml:space="preserve"> to </w:t>
      </w:r>
      <w:r w:rsidR="00921B99">
        <w:rPr>
          <w:i/>
          <w:sz w:val="20"/>
          <w:szCs w:val="20"/>
        </w:rPr>
        <w:t>2021/22</w:t>
      </w:r>
      <w:r w:rsidRPr="00F95E38">
        <w:rPr>
          <w:i/>
          <w:sz w:val="20"/>
          <w:szCs w:val="20"/>
        </w:rPr>
        <w:t xml:space="preserve">. Source: </w:t>
      </w:r>
      <w:r w:rsidR="009D2ED9" w:rsidRPr="00F95E38">
        <w:rPr>
          <w:i/>
          <w:sz w:val="20"/>
          <w:szCs w:val="20"/>
        </w:rPr>
        <w:t>Department of Agriculture, Environment and Rural Affairs</w:t>
      </w:r>
      <w:r w:rsidRPr="00F95E38">
        <w:rPr>
          <w:i/>
          <w:sz w:val="20"/>
          <w:szCs w:val="20"/>
        </w:rPr>
        <w:t>.</w:t>
      </w:r>
    </w:p>
    <w:p w:rsidR="00E735CE" w:rsidRDefault="00E735CE" w:rsidP="00F95E38">
      <w:pPr>
        <w:rPr>
          <w:i/>
          <w:sz w:val="20"/>
          <w:szCs w:val="20"/>
        </w:rPr>
      </w:pPr>
    </w:p>
    <w:p w:rsidR="009D2ED9" w:rsidRPr="00E735CE" w:rsidRDefault="00E735CE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95344BC" wp14:editId="1123AB34">
            <wp:extent cx="5991225" cy="3093720"/>
            <wp:effectExtent l="0" t="0" r="9525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02A8E" w:rsidRPr="00FF1189">
        <w:rPr>
          <w:i/>
          <w:sz w:val="20"/>
          <w:szCs w:val="20"/>
        </w:rPr>
        <w:t>Figure 1: Municipal waste sent for</w:t>
      </w:r>
      <w:r w:rsidR="0075549D" w:rsidRPr="00FF1189">
        <w:rPr>
          <w:i/>
          <w:sz w:val="20"/>
          <w:szCs w:val="20"/>
        </w:rPr>
        <w:t xml:space="preserve"> preparing for</w:t>
      </w:r>
      <w:r w:rsidR="00002A8E" w:rsidRPr="00FF1189">
        <w:rPr>
          <w:i/>
          <w:sz w:val="20"/>
          <w:szCs w:val="20"/>
        </w:rPr>
        <w:t xml:space="preserve"> reuse, dry recycling, composting, energy recovery and landfill in Armagh City, Banbridge and Craigavon Borough 2014/15 to </w:t>
      </w:r>
      <w:r>
        <w:rPr>
          <w:i/>
          <w:sz w:val="20"/>
          <w:szCs w:val="20"/>
        </w:rPr>
        <w:t>2021</w:t>
      </w:r>
      <w:r w:rsidR="00FF1189" w:rsidRPr="00FF1189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2</w:t>
      </w:r>
      <w:r w:rsidR="00002A8E" w:rsidRPr="00FF1189">
        <w:rPr>
          <w:i/>
          <w:sz w:val="20"/>
          <w:szCs w:val="20"/>
        </w:rPr>
        <w:t>. Source: Department of Agriculture, Environment and Rural Affairs.</w:t>
      </w:r>
    </w:p>
    <w:p w:rsidR="00D4364F" w:rsidRDefault="00D4364F" w:rsidP="009D2ED9">
      <w:pPr>
        <w:rPr>
          <w:color w:val="FF0000"/>
        </w:rPr>
      </w:pPr>
    </w:p>
    <w:p w:rsidR="009D2ED9" w:rsidRPr="00FF1189" w:rsidRDefault="009D2ED9" w:rsidP="009D2ED9">
      <w:r w:rsidRPr="00FF1189">
        <w:t>The Department of Agriculture, Environment and Rural Affairs also publish provisional quarterly figures during the fina</w:t>
      </w:r>
      <w:r w:rsidR="00002A8E" w:rsidRPr="00FF1189">
        <w:t xml:space="preserve">ncial year which will then be superseded by finalised data being published around November of each year. </w:t>
      </w:r>
    </w:p>
    <w:p w:rsidR="009D2ED9" w:rsidRPr="00FF1189" w:rsidRDefault="00002A8E">
      <w:pPr>
        <w:rPr>
          <w:i/>
          <w:sz w:val="20"/>
          <w:szCs w:val="20"/>
        </w:rPr>
      </w:pPr>
      <w:r w:rsidRPr="00FF1189">
        <w:lastRenderedPageBreak/>
        <w:t>Further information on municipal waste and details of the quarterly provisional results can be found via the following link:</w:t>
      </w:r>
    </w:p>
    <w:p w:rsidR="00A70F15" w:rsidRPr="00CA2A1B" w:rsidRDefault="00D4364F">
      <w:pPr>
        <w:rPr>
          <w:i/>
          <w:color w:val="FF0000"/>
          <w:sz w:val="20"/>
          <w:szCs w:val="20"/>
        </w:rPr>
      </w:pPr>
      <w:hyperlink r:id="rId7" w:history="1">
        <w:r w:rsidR="00002A8E" w:rsidRPr="00FF1189">
          <w:rPr>
            <w:rStyle w:val="Hyperlink"/>
            <w:color w:val="auto"/>
          </w:rPr>
          <w:t>https://www.daera-ni.gov.uk/topics/waste/local-authority-collected-municipal-waste-data-reporting</w:t>
        </w:r>
      </w:hyperlink>
      <w:bookmarkStart w:id="0" w:name="_GoBack"/>
      <w:bookmarkEnd w:id="0"/>
    </w:p>
    <w:sectPr w:rsidR="00A70F15" w:rsidRPr="00CA2A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E7" w:rsidRDefault="004731E7" w:rsidP="009470B4">
      <w:pPr>
        <w:spacing w:after="0" w:line="240" w:lineRule="auto"/>
      </w:pPr>
      <w:r>
        <w:separator/>
      </w:r>
    </w:p>
  </w:endnote>
  <w:endnote w:type="continuationSeparator" w:id="0">
    <w:p w:rsidR="004731E7" w:rsidRDefault="004731E7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E7" w:rsidRDefault="004731E7" w:rsidP="009470B4">
      <w:pPr>
        <w:spacing w:after="0" w:line="240" w:lineRule="auto"/>
      </w:pPr>
      <w:r>
        <w:separator/>
      </w:r>
    </w:p>
  </w:footnote>
  <w:footnote w:type="continuationSeparator" w:id="0">
    <w:p w:rsidR="004731E7" w:rsidRDefault="004731E7" w:rsidP="0094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02A8E"/>
    <w:rsid w:val="00015C89"/>
    <w:rsid w:val="000C7CE8"/>
    <w:rsid w:val="00145437"/>
    <w:rsid w:val="001464FA"/>
    <w:rsid w:val="00154E71"/>
    <w:rsid w:val="00265E55"/>
    <w:rsid w:val="002B13D9"/>
    <w:rsid w:val="0036196A"/>
    <w:rsid w:val="00381E1E"/>
    <w:rsid w:val="00470647"/>
    <w:rsid w:val="004731E7"/>
    <w:rsid w:val="00494448"/>
    <w:rsid w:val="004B5004"/>
    <w:rsid w:val="004B5682"/>
    <w:rsid w:val="004D22DB"/>
    <w:rsid w:val="00505DD9"/>
    <w:rsid w:val="00543809"/>
    <w:rsid w:val="00546B94"/>
    <w:rsid w:val="005878EF"/>
    <w:rsid w:val="005F612B"/>
    <w:rsid w:val="006E4145"/>
    <w:rsid w:val="006E6157"/>
    <w:rsid w:val="006F1723"/>
    <w:rsid w:val="0075549D"/>
    <w:rsid w:val="007666A3"/>
    <w:rsid w:val="0079173A"/>
    <w:rsid w:val="007C1C25"/>
    <w:rsid w:val="007C7AFB"/>
    <w:rsid w:val="00820F29"/>
    <w:rsid w:val="008260C6"/>
    <w:rsid w:val="008353FB"/>
    <w:rsid w:val="00836E9E"/>
    <w:rsid w:val="0084512A"/>
    <w:rsid w:val="008747EA"/>
    <w:rsid w:val="008C1EDC"/>
    <w:rsid w:val="008C3787"/>
    <w:rsid w:val="008C513E"/>
    <w:rsid w:val="00921B99"/>
    <w:rsid w:val="009470B4"/>
    <w:rsid w:val="0098101A"/>
    <w:rsid w:val="009D2ED9"/>
    <w:rsid w:val="00A0792D"/>
    <w:rsid w:val="00A37102"/>
    <w:rsid w:val="00A64F03"/>
    <w:rsid w:val="00A70F15"/>
    <w:rsid w:val="00A76810"/>
    <w:rsid w:val="00A93EC0"/>
    <w:rsid w:val="00BA11DD"/>
    <w:rsid w:val="00BB2EAC"/>
    <w:rsid w:val="00C17259"/>
    <w:rsid w:val="00CA2A1B"/>
    <w:rsid w:val="00CA73A0"/>
    <w:rsid w:val="00D14FF4"/>
    <w:rsid w:val="00D4364F"/>
    <w:rsid w:val="00D82855"/>
    <w:rsid w:val="00DC0E4D"/>
    <w:rsid w:val="00E00CE7"/>
    <w:rsid w:val="00E735CE"/>
    <w:rsid w:val="00EA6E9F"/>
    <w:rsid w:val="00F14B8F"/>
    <w:rsid w:val="00F95E38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FC02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unhideWhenUsed/>
    <w:rsid w:val="009D2E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EF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F95E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B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aera-ni.gov.uk/topics/waste/local-authority-collected-municipal-waste-data-repor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Statistics%20for%20Website\Environment%20and%20Heritage\2022%20Updates\Municipal%20Waste%20updat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Table!$B$4</c:f>
              <c:strCache>
                <c:ptCount val="1"/>
                <c:pt idx="0">
                  <c:v>Reuse, dry recycling and composting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Table!$C$3:$J$3</c:f>
              <c:strCache>
                <c:ptCount val="8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</c:strCache>
            </c:strRef>
          </c:cat>
          <c:val>
            <c:numRef>
              <c:f>Table!$C$4:$J$4</c:f>
              <c:numCache>
                <c:formatCode>#,##0</c:formatCode>
                <c:ptCount val="8"/>
                <c:pt idx="0">
                  <c:v>49091</c:v>
                </c:pt>
                <c:pt idx="1">
                  <c:v>50101</c:v>
                </c:pt>
                <c:pt idx="2">
                  <c:v>51098</c:v>
                </c:pt>
                <c:pt idx="3">
                  <c:v>54183</c:v>
                </c:pt>
                <c:pt idx="4">
                  <c:v>55737</c:v>
                </c:pt>
                <c:pt idx="5">
                  <c:v>58268</c:v>
                </c:pt>
                <c:pt idx="6">
                  <c:v>61181</c:v>
                </c:pt>
                <c:pt idx="7">
                  <c:v>61398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0-4D8B-857A-D05D2F7ACDBA}"/>
            </c:ext>
          </c:extLst>
        </c:ser>
        <c:ser>
          <c:idx val="1"/>
          <c:order val="1"/>
          <c:tx>
            <c:strRef>
              <c:f>Table!$B$5</c:f>
              <c:strCache>
                <c:ptCount val="1"/>
                <c:pt idx="0">
                  <c:v>Energy recovery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Table!$C$3:$J$3</c:f>
              <c:strCache>
                <c:ptCount val="8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</c:strCache>
            </c:strRef>
          </c:cat>
          <c:val>
            <c:numRef>
              <c:f>Table!$C$5:$J$5</c:f>
              <c:numCache>
                <c:formatCode>#,##0</c:formatCode>
                <c:ptCount val="8"/>
                <c:pt idx="0">
                  <c:v>32877</c:v>
                </c:pt>
                <c:pt idx="1">
                  <c:v>33366</c:v>
                </c:pt>
                <c:pt idx="2">
                  <c:v>31699</c:v>
                </c:pt>
                <c:pt idx="3">
                  <c:v>30907</c:v>
                </c:pt>
                <c:pt idx="4">
                  <c:v>29828</c:v>
                </c:pt>
                <c:pt idx="5">
                  <c:v>31191</c:v>
                </c:pt>
                <c:pt idx="6">
                  <c:v>38716</c:v>
                </c:pt>
                <c:pt idx="7">
                  <c:v>36573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0-4D8B-857A-D05D2F7ACDBA}"/>
            </c:ext>
          </c:extLst>
        </c:ser>
        <c:ser>
          <c:idx val="2"/>
          <c:order val="2"/>
          <c:tx>
            <c:strRef>
              <c:f>Table!$B$6</c:f>
              <c:strCache>
                <c:ptCount val="1"/>
                <c:pt idx="0">
                  <c:v>Landfilled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Table!$C$3:$J$3</c:f>
              <c:strCache>
                <c:ptCount val="8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</c:strCache>
            </c:strRef>
          </c:cat>
          <c:val>
            <c:numRef>
              <c:f>Table!$C$6:$J$6</c:f>
              <c:numCache>
                <c:formatCode>#,##0</c:formatCode>
                <c:ptCount val="8"/>
                <c:pt idx="0">
                  <c:v>18945</c:v>
                </c:pt>
                <c:pt idx="1">
                  <c:v>19158</c:v>
                </c:pt>
                <c:pt idx="2">
                  <c:v>21365</c:v>
                </c:pt>
                <c:pt idx="3">
                  <c:v>18582</c:v>
                </c:pt>
                <c:pt idx="4">
                  <c:v>16678</c:v>
                </c:pt>
                <c:pt idx="5">
                  <c:v>11805</c:v>
                </c:pt>
                <c:pt idx="6">
                  <c:v>7831</c:v>
                </c:pt>
                <c:pt idx="7">
                  <c:v>12784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00-4D8B-857A-D05D2F7ACDBA}"/>
            </c:ext>
          </c:extLst>
        </c:ser>
        <c:ser>
          <c:idx val="3"/>
          <c:order val="3"/>
          <c:tx>
            <c:strRef>
              <c:f>Table!$B$7</c:f>
              <c:strCache>
                <c:ptCount val="1"/>
                <c:pt idx="0">
                  <c:v>Unclassified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Table!$C$3:$J$3</c:f>
              <c:strCache>
                <c:ptCount val="8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</c:strCache>
            </c:strRef>
          </c:cat>
          <c:val>
            <c:numRef>
              <c:f>Table!$C$7:$J$7</c:f>
              <c:numCache>
                <c:formatCode>General</c:formatCode>
                <c:ptCount val="8"/>
                <c:pt idx="0">
                  <c:v>263</c:v>
                </c:pt>
                <c:pt idx="1">
                  <c:v>332</c:v>
                </c:pt>
                <c:pt idx="2">
                  <c:v>181</c:v>
                </c:pt>
                <c:pt idx="3" formatCode="#,##0">
                  <c:v>2107</c:v>
                </c:pt>
                <c:pt idx="4" formatCode="#,##0">
                  <c:v>3585</c:v>
                </c:pt>
                <c:pt idx="5" formatCode="#,##0">
                  <c:v>5478</c:v>
                </c:pt>
                <c:pt idx="6" formatCode="#,##0">
                  <c:v>5983</c:v>
                </c:pt>
                <c:pt idx="7" formatCode="#,##0">
                  <c:v>4573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00-4D8B-857A-D05D2F7AC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954682592"/>
        <c:axId val="1954683008"/>
      </c:barChart>
      <c:catAx>
        <c:axId val="195468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4683008"/>
        <c:crosses val="autoZero"/>
        <c:auto val="1"/>
        <c:lblAlgn val="ctr"/>
        <c:lblOffset val="100"/>
        <c:noMultiLvlLbl val="0"/>
      </c:catAx>
      <c:valAx>
        <c:axId val="1954683008"/>
        <c:scaling>
          <c:orientation val="minMax"/>
          <c:max val="650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468259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5</cp:revision>
  <cp:lastPrinted>2019-12-03T11:50:00Z</cp:lastPrinted>
  <dcterms:created xsi:type="dcterms:W3CDTF">2022-12-07T12:49:00Z</dcterms:created>
  <dcterms:modified xsi:type="dcterms:W3CDTF">2022-12-07T13:49:00Z</dcterms:modified>
</cp:coreProperties>
</file>