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CF153" w14:textId="77777777" w:rsidR="00C17259" w:rsidRPr="008C3787" w:rsidRDefault="00814542">
      <w:pPr>
        <w:rPr>
          <w:b/>
        </w:rPr>
      </w:pPr>
      <w:r>
        <w:rPr>
          <w:b/>
        </w:rPr>
        <w:t>Culture and Arts</w:t>
      </w:r>
    </w:p>
    <w:p w14:paraId="4B72AC35" w14:textId="67829921" w:rsidR="00144DDE" w:rsidRDefault="008C3787" w:rsidP="00814542">
      <w:r>
        <w:t xml:space="preserve">The </w:t>
      </w:r>
      <w:r w:rsidR="00814542">
        <w:t xml:space="preserve">Continuous Household Survey </w:t>
      </w:r>
      <w:r w:rsidR="00284A71">
        <w:t>(CHS)</w:t>
      </w:r>
      <w:r w:rsidR="00435F79">
        <w:rPr>
          <w:rStyle w:val="FootnoteReference"/>
        </w:rPr>
        <w:footnoteReference w:id="1"/>
      </w:r>
      <w:r w:rsidR="00284A71">
        <w:t xml:space="preserve"> </w:t>
      </w:r>
      <w:r w:rsidR="00814542">
        <w:t>is designed to provide a regular source of information on a variety of issues relevant to Northern Ireland including participation in arts and culture.</w:t>
      </w:r>
      <w:r w:rsidR="00435F79">
        <w:t xml:space="preserve"> </w:t>
      </w:r>
      <w:r w:rsidR="00144DDE">
        <w:t xml:space="preserve">The </w:t>
      </w:r>
      <w:r w:rsidR="00A9303E">
        <w:t>most recent data available refers to 2019/20 and</w:t>
      </w:r>
      <w:r w:rsidR="00144DDE">
        <w:t xml:space="preserve"> show</w:t>
      </w:r>
      <w:r w:rsidR="00A9303E">
        <w:t>s</w:t>
      </w:r>
      <w:r w:rsidR="00144DDE">
        <w:t xml:space="preserve"> that engagement and participation in culture and arts </w:t>
      </w:r>
      <w:r w:rsidR="00704EA7">
        <w:t xml:space="preserve">by adults </w:t>
      </w:r>
      <w:r w:rsidR="00144DDE">
        <w:t>in Armagh</w:t>
      </w:r>
      <w:r w:rsidR="00535EBD">
        <w:t xml:space="preserve"> City, Banbridge and Craigavon wa</w:t>
      </w:r>
      <w:r w:rsidR="00144DDE">
        <w:t>s similar</w:t>
      </w:r>
      <w:r w:rsidR="00C42B0F">
        <w:t xml:space="preserve"> to </w:t>
      </w:r>
      <w:r w:rsidR="00144DDE">
        <w:t>that for Northern Ireland overall.</w:t>
      </w:r>
    </w:p>
    <w:p w14:paraId="094549CC" w14:textId="159A0B9B" w:rsidR="00381E1E" w:rsidRDefault="00142398">
      <w:r>
        <w:t>In the borough</w:t>
      </w:r>
      <w:r w:rsidR="00A95C11">
        <w:t>,</w:t>
      </w:r>
      <w:r>
        <w:t xml:space="preserve"> 86% of respondents had engaged in culture and arts in the 12 months prior to being surveyed</w:t>
      </w:r>
      <w:r w:rsidR="00A95C11">
        <w:t xml:space="preserve"> compared to 87% in</w:t>
      </w:r>
      <w:r w:rsidR="00A95C11">
        <w:t xml:space="preserve"> Northern Ireland overall</w:t>
      </w:r>
      <w:r w:rsidR="00A95C11">
        <w:t xml:space="preserve">. </w:t>
      </w:r>
      <w:r w:rsidR="00A95C11">
        <w:t xml:space="preserve"> </w:t>
      </w:r>
      <w:r w:rsidR="00A95C11">
        <w:t>Around a third (34</w:t>
      </w:r>
      <w:r w:rsidR="0062713E">
        <w:t>%)</w:t>
      </w:r>
      <w:r w:rsidR="00A47314">
        <w:t xml:space="preserve"> </w:t>
      </w:r>
      <w:r w:rsidR="0062713E">
        <w:t>of those surveyed in the borough had participated in arts activities similar</w:t>
      </w:r>
      <w:r w:rsidR="00A95C11">
        <w:t xml:space="preserve"> to Northern Ireland overall (33</w:t>
      </w:r>
      <w:r w:rsidR="0062713E">
        <w:t xml:space="preserve">%). </w:t>
      </w:r>
      <w:r w:rsidR="00A95C11">
        <w:t xml:space="preserve">While 80% of respondents stated that they had attended an arts event, the proportion in the borough was lower at just </w:t>
      </w:r>
      <w:r w:rsidR="0062713E">
        <w:t>77%</w:t>
      </w:r>
      <w:r w:rsidR="006C7C99">
        <w:t xml:space="preserve">. </w:t>
      </w:r>
      <w:r w:rsidR="00A048A3">
        <w:t>A quarter (25%) of those surveyed in the borough had used the public library service in the previous 12 months</w:t>
      </w:r>
      <w:r w:rsidR="0090727E">
        <w:t xml:space="preserve"> while for Northern Ireland overall the figure was </w:t>
      </w:r>
      <w:r w:rsidR="00EE6727">
        <w:t>slightly lower at 23</w:t>
      </w:r>
      <w:r w:rsidR="0090727E">
        <w:t>%.</w:t>
      </w:r>
      <w:r w:rsidR="00EE6727">
        <w:t xml:space="preserve"> </w:t>
      </w:r>
      <w:r w:rsidR="00F56A12">
        <w:t xml:space="preserve"> </w:t>
      </w:r>
      <w:r w:rsidR="007932C0">
        <w:t>Only 38</w:t>
      </w:r>
      <w:r w:rsidR="00F56A12">
        <w:t xml:space="preserve">% of respondents in Armagh City, Banbridge and Craigavon had visited a museum or science centre in the previous 12 months, similar </w:t>
      </w:r>
      <w:r w:rsidR="007932C0">
        <w:t>to Northern Ireland overall at 3</w:t>
      </w:r>
      <w:r w:rsidR="00F56A12">
        <w:t xml:space="preserve">7%. </w:t>
      </w:r>
      <w:r w:rsidR="007932C0">
        <w:t xml:space="preserve">Finally, just 4% of respondents from the borough </w:t>
      </w:r>
      <w:r w:rsidR="00F56A12">
        <w:t xml:space="preserve">had visited </w:t>
      </w:r>
      <w:r w:rsidR="006C7C99">
        <w:t>the Public Record Office of Northern Ireland (</w:t>
      </w:r>
      <w:r w:rsidR="00F56A12">
        <w:t>PRONI</w:t>
      </w:r>
      <w:r w:rsidR="006C7C99">
        <w:t>)</w:t>
      </w:r>
      <w:r w:rsidR="00F56A12">
        <w:t xml:space="preserve"> </w:t>
      </w:r>
      <w:r w:rsidR="007932C0">
        <w:t>at least once in the twelve months prior to the survey.  The equivalent figure for</w:t>
      </w:r>
      <w:r w:rsidR="00F56A12">
        <w:t xml:space="preserve"> Northe</w:t>
      </w:r>
      <w:r w:rsidR="006C7C99">
        <w:t>rn Ireland</w:t>
      </w:r>
      <w:r w:rsidR="007932C0">
        <w:t xml:space="preserve"> was 5%</w:t>
      </w:r>
      <w:r w:rsidR="00F56A12">
        <w:t>.</w:t>
      </w:r>
    </w:p>
    <w:tbl>
      <w:tblPr>
        <w:tblStyle w:val="GridTable1Light"/>
        <w:tblW w:w="8637" w:type="dxa"/>
        <w:tblLayout w:type="fixed"/>
        <w:tblLook w:val="04A0" w:firstRow="1" w:lastRow="0" w:firstColumn="1" w:lastColumn="0" w:noHBand="0" w:noVBand="1"/>
      </w:tblPr>
      <w:tblGrid>
        <w:gridCol w:w="3460"/>
        <w:gridCol w:w="2588"/>
        <w:gridCol w:w="2589"/>
      </w:tblGrid>
      <w:tr w:rsidR="00A95C11" w:rsidRPr="00A95C11" w14:paraId="2FE2ACFD" w14:textId="77777777" w:rsidTr="00A95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hideMark/>
          </w:tcPr>
          <w:p w14:paraId="0FC562F7" w14:textId="77777777" w:rsidR="00A95C11" w:rsidRPr="00A95C11" w:rsidRDefault="00A95C11" w:rsidP="00A95C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88" w:type="dxa"/>
            <w:hideMark/>
          </w:tcPr>
          <w:p w14:paraId="2272539B" w14:textId="77777777" w:rsidR="00A95C11" w:rsidRPr="00A95C11" w:rsidRDefault="00A95C11" w:rsidP="00A95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 (%)</w:t>
            </w:r>
          </w:p>
        </w:tc>
        <w:tc>
          <w:tcPr>
            <w:tcW w:w="2589" w:type="dxa"/>
            <w:hideMark/>
          </w:tcPr>
          <w:p w14:paraId="46B71C56" w14:textId="77777777" w:rsidR="00A95C11" w:rsidRDefault="00A95C11" w:rsidP="00A95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Northern Ireland </w:t>
            </w:r>
          </w:p>
          <w:p w14:paraId="16FE2BCA" w14:textId="40E5B0A9" w:rsidR="00A95C11" w:rsidRPr="00A95C11" w:rsidRDefault="00A95C11" w:rsidP="00A95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(%)</w:t>
            </w:r>
          </w:p>
        </w:tc>
      </w:tr>
      <w:tr w:rsidR="00A95C11" w:rsidRPr="00A95C11" w14:paraId="3A190B5D" w14:textId="77777777" w:rsidTr="00A95C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6134020" w14:textId="77777777" w:rsidR="00A95C11" w:rsidRPr="00A95C11" w:rsidRDefault="00A95C11" w:rsidP="00A95C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Engaged in culture and arts</w:t>
            </w:r>
          </w:p>
        </w:tc>
        <w:tc>
          <w:tcPr>
            <w:tcW w:w="2588" w:type="dxa"/>
            <w:noWrap/>
            <w:hideMark/>
          </w:tcPr>
          <w:p w14:paraId="4B8FD9C6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2589" w:type="dxa"/>
            <w:noWrap/>
            <w:hideMark/>
          </w:tcPr>
          <w:p w14:paraId="68A26C13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</w:tr>
      <w:tr w:rsidR="00A95C11" w:rsidRPr="00A95C11" w14:paraId="0181E8A5" w14:textId="77777777" w:rsidTr="00A95C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DD5CF4A" w14:textId="77777777" w:rsidR="00A95C11" w:rsidRPr="00A95C11" w:rsidRDefault="00A95C11" w:rsidP="00A95C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Participated in arts activities</w:t>
            </w:r>
          </w:p>
        </w:tc>
        <w:tc>
          <w:tcPr>
            <w:tcW w:w="2588" w:type="dxa"/>
            <w:noWrap/>
            <w:hideMark/>
          </w:tcPr>
          <w:p w14:paraId="3E7E484A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589" w:type="dxa"/>
            <w:noWrap/>
            <w:hideMark/>
          </w:tcPr>
          <w:p w14:paraId="0DA802D9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</w:tr>
      <w:tr w:rsidR="00A95C11" w:rsidRPr="00A95C11" w14:paraId="27F70FAE" w14:textId="77777777" w:rsidTr="00A95C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FC6C30D" w14:textId="77777777" w:rsidR="00A95C11" w:rsidRPr="00A95C11" w:rsidRDefault="00A95C11" w:rsidP="00A95C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Attended an arts event</w:t>
            </w:r>
          </w:p>
        </w:tc>
        <w:tc>
          <w:tcPr>
            <w:tcW w:w="2588" w:type="dxa"/>
            <w:noWrap/>
            <w:hideMark/>
          </w:tcPr>
          <w:p w14:paraId="3735C402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2589" w:type="dxa"/>
            <w:noWrap/>
            <w:hideMark/>
          </w:tcPr>
          <w:p w14:paraId="24AD5087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</w:tr>
      <w:tr w:rsidR="00A95C11" w:rsidRPr="00A95C11" w14:paraId="1A6243C8" w14:textId="77777777" w:rsidTr="00A95C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C21485F" w14:textId="77777777" w:rsidR="00A95C11" w:rsidRPr="00A95C11" w:rsidRDefault="00A95C11" w:rsidP="00A95C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Used the public library service</w:t>
            </w:r>
          </w:p>
        </w:tc>
        <w:tc>
          <w:tcPr>
            <w:tcW w:w="2588" w:type="dxa"/>
            <w:noWrap/>
            <w:hideMark/>
          </w:tcPr>
          <w:p w14:paraId="33E24D43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589" w:type="dxa"/>
            <w:noWrap/>
            <w:hideMark/>
          </w:tcPr>
          <w:p w14:paraId="0BBADAA3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</w:tr>
      <w:tr w:rsidR="00A95C11" w:rsidRPr="00A95C11" w14:paraId="59779DC5" w14:textId="77777777" w:rsidTr="00A95C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6CF1BB5" w14:textId="77777777" w:rsidR="00A95C11" w:rsidRPr="00A95C11" w:rsidRDefault="00A95C11" w:rsidP="00A95C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Visited a museum or science centre</w:t>
            </w:r>
          </w:p>
        </w:tc>
        <w:tc>
          <w:tcPr>
            <w:tcW w:w="2588" w:type="dxa"/>
            <w:noWrap/>
            <w:hideMark/>
          </w:tcPr>
          <w:p w14:paraId="1266D69C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589" w:type="dxa"/>
            <w:noWrap/>
            <w:hideMark/>
          </w:tcPr>
          <w:p w14:paraId="0E43C8B6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</w:tr>
      <w:tr w:rsidR="00A95C11" w:rsidRPr="00A95C11" w14:paraId="39F87C0C" w14:textId="77777777" w:rsidTr="00A95C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CEC7C7C" w14:textId="77777777" w:rsidR="00A95C11" w:rsidRPr="00A95C11" w:rsidRDefault="00A95C11" w:rsidP="00A95C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Visited PRONI</w:t>
            </w:r>
          </w:p>
        </w:tc>
        <w:tc>
          <w:tcPr>
            <w:tcW w:w="2588" w:type="dxa"/>
            <w:noWrap/>
            <w:hideMark/>
          </w:tcPr>
          <w:p w14:paraId="77708CCA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589" w:type="dxa"/>
            <w:noWrap/>
            <w:hideMark/>
          </w:tcPr>
          <w:p w14:paraId="33D6293B" w14:textId="77777777" w:rsidR="00A95C11" w:rsidRPr="00A95C11" w:rsidRDefault="00A95C11" w:rsidP="00A9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</w:tbl>
    <w:p w14:paraId="41CEF009" w14:textId="1DFC4582" w:rsidR="008C3787" w:rsidRDefault="008C1EDC">
      <w:pPr>
        <w:rPr>
          <w:i/>
          <w:sz w:val="20"/>
          <w:szCs w:val="20"/>
        </w:rPr>
      </w:pPr>
      <w:r w:rsidRPr="008C1EDC">
        <w:rPr>
          <w:i/>
          <w:sz w:val="20"/>
          <w:szCs w:val="20"/>
        </w:rPr>
        <w:t xml:space="preserve">Table 1: </w:t>
      </w:r>
      <w:r w:rsidR="00704EA7">
        <w:rPr>
          <w:i/>
          <w:sz w:val="20"/>
          <w:szCs w:val="20"/>
        </w:rPr>
        <w:t xml:space="preserve">Engagement in culture and arts by adults in Armagh City, Banbridge and Craigavon Borough and Northern Ireland </w:t>
      </w:r>
      <w:r w:rsidR="00A95C11">
        <w:rPr>
          <w:i/>
          <w:sz w:val="20"/>
          <w:szCs w:val="20"/>
        </w:rPr>
        <w:t>2019/20</w:t>
      </w:r>
      <w:r w:rsidRPr="008C1EDC">
        <w:rPr>
          <w:i/>
          <w:sz w:val="20"/>
          <w:szCs w:val="20"/>
        </w:rPr>
        <w:t xml:space="preserve">. Source: </w:t>
      </w:r>
      <w:r w:rsidR="00704EA7">
        <w:rPr>
          <w:i/>
          <w:sz w:val="20"/>
          <w:szCs w:val="20"/>
        </w:rPr>
        <w:t>Continuous Household Survey</w:t>
      </w:r>
      <w:bookmarkStart w:id="0" w:name="_GoBack"/>
      <w:bookmarkEnd w:id="0"/>
      <w:r w:rsidR="00704EA7">
        <w:rPr>
          <w:i/>
          <w:sz w:val="20"/>
          <w:szCs w:val="20"/>
        </w:rPr>
        <w:t>, Department for Communities</w:t>
      </w:r>
      <w:r w:rsidRPr="008C1EDC">
        <w:rPr>
          <w:i/>
          <w:sz w:val="20"/>
          <w:szCs w:val="20"/>
        </w:rPr>
        <w:t>.</w:t>
      </w:r>
    </w:p>
    <w:p w14:paraId="3ADB5792" w14:textId="3E0CF254" w:rsidR="00D2477D" w:rsidRDefault="007932C0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2BB4031F" wp14:editId="78DC04F2">
            <wp:extent cx="569595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7932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Figure 1: Engagement in culture and arts by adults in Armagh City, Banbridge and Craigavon Borough and Northern Ireland </w:t>
      </w:r>
      <w:r>
        <w:rPr>
          <w:i/>
          <w:sz w:val="20"/>
          <w:szCs w:val="20"/>
        </w:rPr>
        <w:t>2019/20</w:t>
      </w:r>
      <w:r w:rsidRPr="008C1EDC">
        <w:rPr>
          <w:i/>
          <w:sz w:val="20"/>
          <w:szCs w:val="20"/>
        </w:rPr>
        <w:t xml:space="preserve">. Source: </w:t>
      </w:r>
      <w:r>
        <w:rPr>
          <w:i/>
          <w:sz w:val="20"/>
          <w:szCs w:val="20"/>
        </w:rPr>
        <w:t>Continuous Household Survey, Department for Communities</w:t>
      </w:r>
      <w:r w:rsidRPr="008C1EDC">
        <w:rPr>
          <w:i/>
          <w:sz w:val="20"/>
          <w:szCs w:val="20"/>
        </w:rPr>
        <w:t>.</w:t>
      </w:r>
    </w:p>
    <w:p w14:paraId="2BC956B3" w14:textId="77777777" w:rsidR="00381E1E" w:rsidRDefault="00535EBD" w:rsidP="00381E1E">
      <w:r>
        <w:t>The N</w:t>
      </w:r>
      <w:r w:rsidR="005139F7">
        <w:t>orthern Ireland Life and Times S</w:t>
      </w:r>
      <w:r>
        <w:t xml:space="preserve">urvey </w:t>
      </w:r>
      <w:r w:rsidR="005139F7">
        <w:t>(NILT</w:t>
      </w:r>
      <w:r w:rsidR="00284A71">
        <w:t>)</w:t>
      </w:r>
      <w:r w:rsidR="00435F79">
        <w:rPr>
          <w:rStyle w:val="FootnoteReference"/>
        </w:rPr>
        <w:footnoteReference w:id="2"/>
      </w:r>
      <w:r w:rsidR="00284A71">
        <w:t xml:space="preserve"> </w:t>
      </w:r>
      <w:r>
        <w:t>deals with the attitudes, values and beliefs of the people in Northern Ireland on a wide range of social policy issues</w:t>
      </w:r>
      <w:r w:rsidR="00284A71">
        <w:t>, including culture and traditions.</w:t>
      </w:r>
    </w:p>
    <w:p w14:paraId="660FCBEB" w14:textId="77777777" w:rsidR="00284A71" w:rsidRDefault="005139F7" w:rsidP="00381E1E">
      <w:r>
        <w:t>The NILT</w:t>
      </w:r>
      <w:r w:rsidR="00284A71">
        <w:t xml:space="preserve"> survey asks respondents how much they agree that:</w:t>
      </w:r>
    </w:p>
    <w:p w14:paraId="070EEDBC" w14:textId="77777777" w:rsidR="00284A71" w:rsidRDefault="00284A71" w:rsidP="00284A71">
      <w:pPr>
        <w:pStyle w:val="ListParagraph"/>
        <w:numPr>
          <w:ilvl w:val="0"/>
          <w:numId w:val="1"/>
        </w:numPr>
      </w:pPr>
      <w:r>
        <w:t>The culture and traditions of the Catholic community add to the richness and diversity of Northern Ireland society.</w:t>
      </w:r>
    </w:p>
    <w:p w14:paraId="62C30655" w14:textId="77777777" w:rsidR="00284A71" w:rsidRDefault="00284A71" w:rsidP="00284A71">
      <w:pPr>
        <w:pStyle w:val="ListParagraph"/>
        <w:numPr>
          <w:ilvl w:val="0"/>
          <w:numId w:val="1"/>
        </w:numPr>
      </w:pPr>
      <w:r>
        <w:t>The culture and traditions of the Protestant Community add to the richness and diversity of Northern Ireland society.</w:t>
      </w:r>
    </w:p>
    <w:p w14:paraId="6ED6DE31" w14:textId="77777777" w:rsidR="00284A71" w:rsidRDefault="00284A71" w:rsidP="00284A71">
      <w:pPr>
        <w:pStyle w:val="ListParagraph"/>
        <w:numPr>
          <w:ilvl w:val="0"/>
          <w:numId w:val="1"/>
        </w:numPr>
      </w:pPr>
      <w:r>
        <w:t>The culture and traditions of people from different minority ethnic groups adds to the richness and diversity of Northern Ireland society.</w:t>
      </w:r>
    </w:p>
    <w:p w14:paraId="6F17E3EC" w14:textId="6E04F36C" w:rsidR="00236585" w:rsidRDefault="0098260A" w:rsidP="00284A71">
      <w:r>
        <w:t xml:space="preserve">Results for Armagh City, Banbridge and Craigavon </w:t>
      </w:r>
      <w:r w:rsidR="006C7C99">
        <w:t>Boroug</w:t>
      </w:r>
      <w:r w:rsidR="00236585">
        <w:t>h for the combined years of 2019, 2020 and 2021</w:t>
      </w:r>
      <w:r w:rsidR="006C7C99">
        <w:t xml:space="preserve"> </w:t>
      </w:r>
      <w:r>
        <w:t>are similar to those for Northern Ireland overall when it comes to the culture and traditions of the Catholic and Protestant community</w:t>
      </w:r>
      <w:r w:rsidR="001E18DF">
        <w:t xml:space="preserve"> adding to the richness and diversity of Northern Ireland society</w:t>
      </w:r>
      <w:r>
        <w:t>.</w:t>
      </w:r>
      <w:r w:rsidR="002B5AEA">
        <w:t xml:space="preserve"> </w:t>
      </w:r>
      <w:r w:rsidR="00E778A0">
        <w:t xml:space="preserve">Approximately </w:t>
      </w:r>
      <w:r w:rsidR="0067115F">
        <w:t>65</w:t>
      </w:r>
      <w:r w:rsidR="001E18DF">
        <w:t xml:space="preserve">% of respondents in the borough agree that the culture and traditions of the Catholic community add to the richness and diversity of Northern Ireland society. </w:t>
      </w:r>
      <w:r w:rsidR="0067115F">
        <w:t>The proportion in agreement was slightly higher in Northern Ireland overall</w:t>
      </w:r>
      <w:r w:rsidR="00E45AFE">
        <w:t xml:space="preserve"> (69.5%)</w:t>
      </w:r>
      <w:r w:rsidR="0067115F">
        <w:t xml:space="preserve">.  </w:t>
      </w:r>
      <w:r w:rsidR="002B5AEA">
        <w:t>Results were similar for those surveyed in</w:t>
      </w:r>
      <w:r w:rsidR="001E18DF">
        <w:t xml:space="preserve"> the borough</w:t>
      </w:r>
      <w:r w:rsidR="00E778A0">
        <w:t xml:space="preserve"> (6</w:t>
      </w:r>
      <w:r w:rsidR="0067115F">
        <w:t>4</w:t>
      </w:r>
      <w:r w:rsidR="00E778A0">
        <w:t>.5</w:t>
      </w:r>
      <w:r w:rsidR="002B5AEA">
        <w:t>%)</w:t>
      </w:r>
      <w:r w:rsidR="001E18DF">
        <w:t xml:space="preserve"> and Northern Ireland </w:t>
      </w:r>
      <w:r w:rsidR="00E778A0">
        <w:t>(</w:t>
      </w:r>
      <w:r w:rsidR="0067115F">
        <w:t>67.7</w:t>
      </w:r>
      <w:r w:rsidR="002B5AEA">
        <w:t xml:space="preserve">%) </w:t>
      </w:r>
      <w:r w:rsidR="001E18DF">
        <w:t>agree</w:t>
      </w:r>
      <w:r w:rsidR="002B5AEA">
        <w:t>ing</w:t>
      </w:r>
      <w:r w:rsidR="001E18DF">
        <w:t xml:space="preserve"> that the culture and traditions of the Protestant community</w:t>
      </w:r>
      <w:r>
        <w:t xml:space="preserve"> </w:t>
      </w:r>
      <w:r w:rsidR="001E18DF">
        <w:t>add to the richness and diversity of Northern Ireland society.</w:t>
      </w:r>
      <w:r w:rsidR="00AB070E">
        <w:t xml:space="preserve"> Agreement that the culture and traditions of different minority ethnic groups add to the richness and diversity of Norther</w:t>
      </w:r>
      <w:r w:rsidR="002B5AEA">
        <w:t>n Ireland society are lower than</w:t>
      </w:r>
      <w:r w:rsidR="00AB070E">
        <w:t xml:space="preserve"> for Catholic/Protestant communities. The levels of agreement in Northern Ireland overall for the culture and traditions of differ</w:t>
      </w:r>
      <w:r w:rsidR="0067115F">
        <w:t>ent minority ethnic groups is 64.5</w:t>
      </w:r>
      <w:r w:rsidR="00AB070E">
        <w:t>% while agreement in</w:t>
      </w:r>
      <w:r w:rsidR="00E778A0">
        <w:t xml:space="preserve"> the borough is even lower at 5</w:t>
      </w:r>
      <w:r w:rsidR="0067115F">
        <w:t>4.1</w:t>
      </w:r>
      <w:r w:rsidR="00AB070E">
        <w:t>%.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ercentage of people who agree that the culture and traditions of the Catholic community/Protestant Community/different minority ethnic groups add to the richness and diversity of Northern Ireland society, Armagh City, Banbridge and Craigavon Borough and Northern Ireland 2018-20"/>
      </w:tblPr>
      <w:tblGrid>
        <w:gridCol w:w="1838"/>
        <w:gridCol w:w="960"/>
        <w:gridCol w:w="1244"/>
        <w:gridCol w:w="1243"/>
        <w:gridCol w:w="1244"/>
        <w:gridCol w:w="1243"/>
        <w:gridCol w:w="1244"/>
      </w:tblGrid>
      <w:tr w:rsidR="00284A71" w14:paraId="4E20B005" w14:textId="77777777" w:rsidTr="000F44CC">
        <w:trPr>
          <w:trHeight w:val="537"/>
          <w:tblHeader/>
        </w:trPr>
        <w:tc>
          <w:tcPr>
            <w:tcW w:w="1838" w:type="dxa"/>
            <w:vMerge w:val="restart"/>
          </w:tcPr>
          <w:p w14:paraId="6F1717E0" w14:textId="77777777" w:rsidR="00284A71" w:rsidRPr="00284A71" w:rsidRDefault="00284A71"/>
        </w:tc>
        <w:tc>
          <w:tcPr>
            <w:tcW w:w="7178" w:type="dxa"/>
            <w:gridSpan w:val="6"/>
          </w:tcPr>
          <w:p w14:paraId="63FBCE28" w14:textId="77777777" w:rsidR="00284A71" w:rsidRPr="006C7C99" w:rsidRDefault="00284A71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 xml:space="preserve">The </w:t>
            </w:r>
            <w:r w:rsidR="00767136" w:rsidRPr="006C7C99">
              <w:rPr>
                <w:b/>
              </w:rPr>
              <w:t>culture and traditions of  . . . . . add to the richness and diversity of Northern Ireland society</w:t>
            </w:r>
          </w:p>
        </w:tc>
      </w:tr>
      <w:tr w:rsidR="00767136" w14:paraId="3246A882" w14:textId="77777777" w:rsidTr="000F44CC">
        <w:trPr>
          <w:trHeight w:val="537"/>
        </w:trPr>
        <w:tc>
          <w:tcPr>
            <w:tcW w:w="1838" w:type="dxa"/>
            <w:vMerge/>
          </w:tcPr>
          <w:p w14:paraId="570D8156" w14:textId="77777777" w:rsidR="00767136" w:rsidRPr="00284A71" w:rsidRDefault="00767136"/>
        </w:tc>
        <w:tc>
          <w:tcPr>
            <w:tcW w:w="2204" w:type="dxa"/>
            <w:gridSpan w:val="2"/>
          </w:tcPr>
          <w:p w14:paraId="3C27B20F" w14:textId="77777777" w:rsidR="00D2477D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 xml:space="preserve">The Catholic </w:t>
            </w:r>
          </w:p>
          <w:p w14:paraId="59E6BFEA" w14:textId="77777777" w:rsidR="00767136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>community</w:t>
            </w:r>
          </w:p>
        </w:tc>
        <w:tc>
          <w:tcPr>
            <w:tcW w:w="2487" w:type="dxa"/>
            <w:gridSpan w:val="2"/>
          </w:tcPr>
          <w:p w14:paraId="045D6561" w14:textId="77777777" w:rsidR="00767136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>The Protestant community</w:t>
            </w:r>
          </w:p>
        </w:tc>
        <w:tc>
          <w:tcPr>
            <w:tcW w:w="2487" w:type="dxa"/>
            <w:gridSpan w:val="2"/>
          </w:tcPr>
          <w:p w14:paraId="0E06E6E6" w14:textId="77777777" w:rsidR="00D2477D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 xml:space="preserve">Different minority </w:t>
            </w:r>
          </w:p>
          <w:p w14:paraId="39D4C2EC" w14:textId="77777777" w:rsidR="00767136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>ethnic groups</w:t>
            </w:r>
          </w:p>
        </w:tc>
      </w:tr>
      <w:tr w:rsidR="00284A71" w14:paraId="3786DC56" w14:textId="77777777" w:rsidTr="000F44CC">
        <w:trPr>
          <w:trHeight w:val="215"/>
        </w:trPr>
        <w:tc>
          <w:tcPr>
            <w:tcW w:w="1838" w:type="dxa"/>
            <w:vMerge/>
          </w:tcPr>
          <w:p w14:paraId="5BBB55B9" w14:textId="77777777" w:rsidR="00284A71" w:rsidRPr="00284A71" w:rsidRDefault="00284A71"/>
        </w:tc>
        <w:tc>
          <w:tcPr>
            <w:tcW w:w="960" w:type="dxa"/>
            <w:vAlign w:val="center"/>
          </w:tcPr>
          <w:p w14:paraId="3CD47386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ABC</w:t>
            </w:r>
          </w:p>
        </w:tc>
        <w:tc>
          <w:tcPr>
            <w:tcW w:w="1244" w:type="dxa"/>
            <w:vAlign w:val="center"/>
          </w:tcPr>
          <w:p w14:paraId="3D60A2F0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NI</w:t>
            </w:r>
          </w:p>
        </w:tc>
        <w:tc>
          <w:tcPr>
            <w:tcW w:w="1243" w:type="dxa"/>
            <w:vAlign w:val="center"/>
          </w:tcPr>
          <w:p w14:paraId="3F57A110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ABC</w:t>
            </w:r>
          </w:p>
        </w:tc>
        <w:tc>
          <w:tcPr>
            <w:tcW w:w="1244" w:type="dxa"/>
            <w:vAlign w:val="center"/>
          </w:tcPr>
          <w:p w14:paraId="1FCAAE6B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NI</w:t>
            </w:r>
          </w:p>
        </w:tc>
        <w:tc>
          <w:tcPr>
            <w:tcW w:w="1243" w:type="dxa"/>
            <w:vAlign w:val="center"/>
          </w:tcPr>
          <w:p w14:paraId="3D91FCEA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ABC</w:t>
            </w:r>
          </w:p>
        </w:tc>
        <w:tc>
          <w:tcPr>
            <w:tcW w:w="1244" w:type="dxa"/>
            <w:vAlign w:val="center"/>
          </w:tcPr>
          <w:p w14:paraId="24A05FC5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NI</w:t>
            </w:r>
          </w:p>
        </w:tc>
      </w:tr>
      <w:tr w:rsidR="00236585" w14:paraId="41AA3235" w14:textId="77777777" w:rsidTr="000F44CC">
        <w:trPr>
          <w:trHeight w:val="205"/>
        </w:trPr>
        <w:tc>
          <w:tcPr>
            <w:tcW w:w="1838" w:type="dxa"/>
            <w:vAlign w:val="center"/>
          </w:tcPr>
          <w:p w14:paraId="4BBFABEE" w14:textId="77777777" w:rsidR="00236585" w:rsidRPr="006C7C99" w:rsidRDefault="00236585" w:rsidP="00236585">
            <w:pPr>
              <w:rPr>
                <w:b/>
              </w:rPr>
            </w:pPr>
            <w:r w:rsidRPr="006C7C99">
              <w:rPr>
                <w:b/>
              </w:rPr>
              <w:t>Strongly agree</w:t>
            </w:r>
          </w:p>
        </w:tc>
        <w:tc>
          <w:tcPr>
            <w:tcW w:w="960" w:type="dxa"/>
            <w:vAlign w:val="bottom"/>
          </w:tcPr>
          <w:p w14:paraId="13339764" w14:textId="1EA2A47A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23.9%</w:t>
            </w:r>
          </w:p>
        </w:tc>
        <w:tc>
          <w:tcPr>
            <w:tcW w:w="1244" w:type="dxa"/>
            <w:vAlign w:val="center"/>
          </w:tcPr>
          <w:p w14:paraId="3D438735" w14:textId="05874281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26.2%</w:t>
            </w:r>
          </w:p>
        </w:tc>
        <w:tc>
          <w:tcPr>
            <w:tcW w:w="1243" w:type="dxa"/>
            <w:vAlign w:val="center"/>
          </w:tcPr>
          <w:p w14:paraId="62A6D8B7" w14:textId="13EABB5B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16.7%</w:t>
            </w:r>
          </w:p>
        </w:tc>
        <w:tc>
          <w:tcPr>
            <w:tcW w:w="1244" w:type="dxa"/>
            <w:vAlign w:val="bottom"/>
          </w:tcPr>
          <w:p w14:paraId="35D4C3DD" w14:textId="79B6933F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20.6%</w:t>
            </w:r>
          </w:p>
        </w:tc>
        <w:tc>
          <w:tcPr>
            <w:tcW w:w="1243" w:type="dxa"/>
            <w:vAlign w:val="bottom"/>
          </w:tcPr>
          <w:p w14:paraId="3E6AD7E4" w14:textId="4F84749A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11.1%</w:t>
            </w:r>
          </w:p>
        </w:tc>
        <w:tc>
          <w:tcPr>
            <w:tcW w:w="1244" w:type="dxa"/>
            <w:vAlign w:val="bottom"/>
          </w:tcPr>
          <w:p w14:paraId="23E9212B" w14:textId="10B2E193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</w:tr>
      <w:tr w:rsidR="00236585" w14:paraId="1E854CAF" w14:textId="77777777" w:rsidTr="000F44CC">
        <w:trPr>
          <w:trHeight w:val="295"/>
        </w:trPr>
        <w:tc>
          <w:tcPr>
            <w:tcW w:w="1838" w:type="dxa"/>
            <w:vAlign w:val="center"/>
          </w:tcPr>
          <w:p w14:paraId="3954EEF3" w14:textId="77777777" w:rsidR="00236585" w:rsidRPr="006C7C99" w:rsidRDefault="00236585" w:rsidP="00236585">
            <w:pPr>
              <w:rPr>
                <w:b/>
              </w:rPr>
            </w:pPr>
            <w:r w:rsidRPr="006C7C99">
              <w:rPr>
                <w:b/>
              </w:rPr>
              <w:t>Agree</w:t>
            </w:r>
          </w:p>
        </w:tc>
        <w:tc>
          <w:tcPr>
            <w:tcW w:w="960" w:type="dxa"/>
            <w:vAlign w:val="bottom"/>
          </w:tcPr>
          <w:p w14:paraId="0A5FB600" w14:textId="2B2E3672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40.7%</w:t>
            </w:r>
          </w:p>
        </w:tc>
        <w:tc>
          <w:tcPr>
            <w:tcW w:w="1244" w:type="dxa"/>
            <w:vAlign w:val="center"/>
          </w:tcPr>
          <w:p w14:paraId="14D5C9B0" w14:textId="78669A0F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43.3%</w:t>
            </w:r>
          </w:p>
        </w:tc>
        <w:tc>
          <w:tcPr>
            <w:tcW w:w="1243" w:type="dxa"/>
            <w:vAlign w:val="center"/>
          </w:tcPr>
          <w:p w14:paraId="68A71471" w14:textId="6D8E3B67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47.8%</w:t>
            </w:r>
          </w:p>
        </w:tc>
        <w:tc>
          <w:tcPr>
            <w:tcW w:w="1244" w:type="dxa"/>
            <w:vAlign w:val="bottom"/>
          </w:tcPr>
          <w:p w14:paraId="6CC81308" w14:textId="16E96590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47.1%</w:t>
            </w:r>
          </w:p>
        </w:tc>
        <w:tc>
          <w:tcPr>
            <w:tcW w:w="1243" w:type="dxa"/>
            <w:vAlign w:val="bottom"/>
          </w:tcPr>
          <w:p w14:paraId="528F0DE5" w14:textId="341FB8E2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43.0%</w:t>
            </w:r>
          </w:p>
        </w:tc>
        <w:tc>
          <w:tcPr>
            <w:tcW w:w="1244" w:type="dxa"/>
            <w:vAlign w:val="bottom"/>
          </w:tcPr>
          <w:p w14:paraId="5514EAEC" w14:textId="0AF31824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44.5%</w:t>
            </w:r>
          </w:p>
        </w:tc>
      </w:tr>
      <w:tr w:rsidR="00236585" w14:paraId="1E0BE852" w14:textId="77777777" w:rsidTr="000F44CC">
        <w:trPr>
          <w:trHeight w:val="537"/>
        </w:trPr>
        <w:tc>
          <w:tcPr>
            <w:tcW w:w="1838" w:type="dxa"/>
            <w:vAlign w:val="center"/>
          </w:tcPr>
          <w:p w14:paraId="7ADB8D18" w14:textId="77777777" w:rsidR="00236585" w:rsidRPr="006C7C99" w:rsidRDefault="00236585" w:rsidP="00236585">
            <w:pPr>
              <w:rPr>
                <w:b/>
              </w:rPr>
            </w:pPr>
            <w:r w:rsidRPr="006C7C99">
              <w:rPr>
                <w:b/>
              </w:rPr>
              <w:t>Neither agree nor disagree</w:t>
            </w:r>
          </w:p>
        </w:tc>
        <w:tc>
          <w:tcPr>
            <w:tcW w:w="960" w:type="dxa"/>
            <w:vAlign w:val="bottom"/>
          </w:tcPr>
          <w:p w14:paraId="53C0C269" w14:textId="179BC320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22.7%</w:t>
            </w:r>
          </w:p>
        </w:tc>
        <w:tc>
          <w:tcPr>
            <w:tcW w:w="1244" w:type="dxa"/>
            <w:vAlign w:val="center"/>
          </w:tcPr>
          <w:p w14:paraId="5B9DFA88" w14:textId="77777777" w:rsidR="000F44CC" w:rsidRDefault="000F44CC" w:rsidP="000F44C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4EF172E" w14:textId="13666E31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20.3%</w:t>
            </w:r>
          </w:p>
        </w:tc>
        <w:tc>
          <w:tcPr>
            <w:tcW w:w="1243" w:type="dxa"/>
            <w:vAlign w:val="center"/>
          </w:tcPr>
          <w:p w14:paraId="016FF641" w14:textId="77777777" w:rsidR="000F44CC" w:rsidRDefault="000F44CC" w:rsidP="000F44CC">
            <w:pPr>
              <w:rPr>
                <w:rFonts w:ascii="Calibri" w:hAnsi="Calibri" w:cs="Calibri"/>
                <w:color w:val="000000"/>
              </w:rPr>
            </w:pPr>
          </w:p>
          <w:p w14:paraId="0358FBCF" w14:textId="65441F41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21.8%</w:t>
            </w:r>
          </w:p>
        </w:tc>
        <w:tc>
          <w:tcPr>
            <w:tcW w:w="1244" w:type="dxa"/>
            <w:vAlign w:val="bottom"/>
          </w:tcPr>
          <w:p w14:paraId="07C0DB3E" w14:textId="5FE8C240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19.4%</w:t>
            </w:r>
          </w:p>
        </w:tc>
        <w:tc>
          <w:tcPr>
            <w:tcW w:w="1243" w:type="dxa"/>
            <w:vAlign w:val="bottom"/>
          </w:tcPr>
          <w:p w14:paraId="0CA77EFE" w14:textId="29C6C53A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26.9%</w:t>
            </w:r>
          </w:p>
        </w:tc>
        <w:tc>
          <w:tcPr>
            <w:tcW w:w="1244" w:type="dxa"/>
            <w:vAlign w:val="bottom"/>
          </w:tcPr>
          <w:p w14:paraId="10BF82DC" w14:textId="2AF2577A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23.1%</w:t>
            </w:r>
          </w:p>
        </w:tc>
      </w:tr>
      <w:tr w:rsidR="00236585" w14:paraId="2DB11BC4" w14:textId="77777777" w:rsidTr="000F44CC">
        <w:trPr>
          <w:trHeight w:val="279"/>
        </w:trPr>
        <w:tc>
          <w:tcPr>
            <w:tcW w:w="1838" w:type="dxa"/>
            <w:vAlign w:val="center"/>
          </w:tcPr>
          <w:p w14:paraId="49DC66AF" w14:textId="77777777" w:rsidR="00236585" w:rsidRPr="006C7C99" w:rsidRDefault="00236585" w:rsidP="00236585">
            <w:pPr>
              <w:rPr>
                <w:b/>
              </w:rPr>
            </w:pPr>
            <w:r w:rsidRPr="006C7C99">
              <w:rPr>
                <w:b/>
              </w:rPr>
              <w:t>Disagree</w:t>
            </w:r>
          </w:p>
        </w:tc>
        <w:tc>
          <w:tcPr>
            <w:tcW w:w="960" w:type="dxa"/>
            <w:vAlign w:val="bottom"/>
          </w:tcPr>
          <w:p w14:paraId="275C19B3" w14:textId="1AAE5C18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6.1%</w:t>
            </w:r>
          </w:p>
        </w:tc>
        <w:tc>
          <w:tcPr>
            <w:tcW w:w="1244" w:type="dxa"/>
            <w:vAlign w:val="center"/>
          </w:tcPr>
          <w:p w14:paraId="13529E81" w14:textId="5191F347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5.4%</w:t>
            </w:r>
          </w:p>
        </w:tc>
        <w:tc>
          <w:tcPr>
            <w:tcW w:w="1243" w:type="dxa"/>
            <w:vAlign w:val="center"/>
          </w:tcPr>
          <w:p w14:paraId="6397705C" w14:textId="4E48E410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9.4%</w:t>
            </w:r>
          </w:p>
        </w:tc>
        <w:tc>
          <w:tcPr>
            <w:tcW w:w="1244" w:type="dxa"/>
            <w:vAlign w:val="bottom"/>
          </w:tcPr>
          <w:p w14:paraId="43BE6DC9" w14:textId="56B138C1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7.9%</w:t>
            </w:r>
          </w:p>
        </w:tc>
        <w:tc>
          <w:tcPr>
            <w:tcW w:w="1243" w:type="dxa"/>
            <w:vAlign w:val="bottom"/>
          </w:tcPr>
          <w:p w14:paraId="7B86953A" w14:textId="60463B34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10.8%</w:t>
            </w:r>
          </w:p>
        </w:tc>
        <w:tc>
          <w:tcPr>
            <w:tcW w:w="1244" w:type="dxa"/>
            <w:vAlign w:val="bottom"/>
          </w:tcPr>
          <w:p w14:paraId="7517D0C5" w14:textId="77DBFCCB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6.0%</w:t>
            </w:r>
          </w:p>
        </w:tc>
      </w:tr>
      <w:tr w:rsidR="00236585" w14:paraId="00C98742" w14:textId="77777777" w:rsidTr="000F44CC">
        <w:trPr>
          <w:trHeight w:val="283"/>
        </w:trPr>
        <w:tc>
          <w:tcPr>
            <w:tcW w:w="1838" w:type="dxa"/>
            <w:vAlign w:val="center"/>
          </w:tcPr>
          <w:p w14:paraId="7E82EDF7" w14:textId="77777777" w:rsidR="00236585" w:rsidRPr="006C7C99" w:rsidRDefault="00236585" w:rsidP="00236585">
            <w:pPr>
              <w:rPr>
                <w:b/>
              </w:rPr>
            </w:pPr>
            <w:r w:rsidRPr="006C7C99">
              <w:rPr>
                <w:b/>
              </w:rPr>
              <w:t>Strongly disagree</w:t>
            </w:r>
          </w:p>
        </w:tc>
        <w:tc>
          <w:tcPr>
            <w:tcW w:w="960" w:type="dxa"/>
            <w:vAlign w:val="bottom"/>
          </w:tcPr>
          <w:p w14:paraId="7FF00CAB" w14:textId="71A724B4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1244" w:type="dxa"/>
            <w:vAlign w:val="center"/>
          </w:tcPr>
          <w:p w14:paraId="37230AB6" w14:textId="6BE52D5F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1.9%</w:t>
            </w:r>
          </w:p>
        </w:tc>
        <w:tc>
          <w:tcPr>
            <w:tcW w:w="1243" w:type="dxa"/>
            <w:vAlign w:val="center"/>
          </w:tcPr>
          <w:p w14:paraId="565EB511" w14:textId="57F2C297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2.1%</w:t>
            </w:r>
          </w:p>
        </w:tc>
        <w:tc>
          <w:tcPr>
            <w:tcW w:w="1244" w:type="dxa"/>
            <w:vAlign w:val="bottom"/>
          </w:tcPr>
          <w:p w14:paraId="0A553BEC" w14:textId="16B26574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2.4%</w:t>
            </w:r>
          </w:p>
        </w:tc>
        <w:tc>
          <w:tcPr>
            <w:tcW w:w="1243" w:type="dxa"/>
            <w:vAlign w:val="bottom"/>
          </w:tcPr>
          <w:p w14:paraId="02E8920C" w14:textId="516A43AF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  <w:tc>
          <w:tcPr>
            <w:tcW w:w="1244" w:type="dxa"/>
            <w:vAlign w:val="bottom"/>
          </w:tcPr>
          <w:p w14:paraId="2F378A83" w14:textId="258CCD93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2.6%</w:t>
            </w:r>
          </w:p>
        </w:tc>
      </w:tr>
      <w:tr w:rsidR="00236585" w14:paraId="346A3E87" w14:textId="77777777" w:rsidTr="000F44CC">
        <w:trPr>
          <w:trHeight w:val="272"/>
        </w:trPr>
        <w:tc>
          <w:tcPr>
            <w:tcW w:w="1838" w:type="dxa"/>
            <w:vAlign w:val="center"/>
          </w:tcPr>
          <w:p w14:paraId="4E5693EA" w14:textId="77777777" w:rsidR="00236585" w:rsidRPr="006C7C99" w:rsidRDefault="00236585" w:rsidP="00236585">
            <w:pPr>
              <w:rPr>
                <w:b/>
              </w:rPr>
            </w:pPr>
            <w:r w:rsidRPr="006C7C99">
              <w:rPr>
                <w:b/>
              </w:rPr>
              <w:t>Don’t know</w:t>
            </w:r>
          </w:p>
        </w:tc>
        <w:tc>
          <w:tcPr>
            <w:tcW w:w="960" w:type="dxa"/>
            <w:vAlign w:val="bottom"/>
          </w:tcPr>
          <w:p w14:paraId="6A7566E7" w14:textId="01C97F58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1.9%</w:t>
            </w:r>
          </w:p>
        </w:tc>
        <w:tc>
          <w:tcPr>
            <w:tcW w:w="1244" w:type="dxa"/>
            <w:vAlign w:val="center"/>
          </w:tcPr>
          <w:p w14:paraId="34F98AA1" w14:textId="47E9437F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2.6%</w:t>
            </w:r>
          </w:p>
        </w:tc>
        <w:tc>
          <w:tcPr>
            <w:tcW w:w="1243" w:type="dxa"/>
            <w:vAlign w:val="center"/>
          </w:tcPr>
          <w:p w14:paraId="64480CBE" w14:textId="1B7359CB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1.6%</w:t>
            </w:r>
          </w:p>
        </w:tc>
        <w:tc>
          <w:tcPr>
            <w:tcW w:w="1244" w:type="dxa"/>
            <w:vAlign w:val="bottom"/>
          </w:tcPr>
          <w:p w14:paraId="3B1DAF16" w14:textId="1D1335F7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2.4%</w:t>
            </w:r>
          </w:p>
        </w:tc>
        <w:tc>
          <w:tcPr>
            <w:tcW w:w="1243" w:type="dxa"/>
            <w:vAlign w:val="bottom"/>
          </w:tcPr>
          <w:p w14:paraId="7CD2C591" w14:textId="6BC2EC91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  <w:tc>
          <w:tcPr>
            <w:tcW w:w="1244" w:type="dxa"/>
            <w:vAlign w:val="bottom"/>
          </w:tcPr>
          <w:p w14:paraId="3CF23F11" w14:textId="370E4325" w:rsidR="00236585" w:rsidRPr="00284A71" w:rsidRDefault="00236585" w:rsidP="000F44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</w:tr>
      <w:tr w:rsidR="00236585" w14:paraId="37F82168" w14:textId="77777777" w:rsidTr="000F44CC">
        <w:trPr>
          <w:trHeight w:val="263"/>
        </w:trPr>
        <w:tc>
          <w:tcPr>
            <w:tcW w:w="1838" w:type="dxa"/>
            <w:vAlign w:val="center"/>
          </w:tcPr>
          <w:p w14:paraId="7556F2B0" w14:textId="7C753F76" w:rsidR="00236585" w:rsidRPr="00236585" w:rsidRDefault="00236585" w:rsidP="00236585">
            <w:pPr>
              <w:rPr>
                <w:rFonts w:ascii="Calibri" w:hAnsi="Calibri" w:cs="Calibri"/>
                <w:b/>
                <w:color w:val="000000"/>
              </w:rPr>
            </w:pPr>
            <w:r w:rsidRPr="00236585">
              <w:rPr>
                <w:rFonts w:ascii="Calibri" w:hAnsi="Calibri" w:cs="Calibri"/>
                <w:b/>
                <w:color w:val="000000"/>
              </w:rPr>
              <w:t xml:space="preserve">Prefer not to say </w:t>
            </w:r>
          </w:p>
        </w:tc>
        <w:tc>
          <w:tcPr>
            <w:tcW w:w="960" w:type="dxa"/>
            <w:vAlign w:val="bottom"/>
          </w:tcPr>
          <w:p w14:paraId="23A935B0" w14:textId="3932A6ED" w:rsidR="00236585" w:rsidRPr="00DA7262" w:rsidRDefault="00236585" w:rsidP="000F44C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0.7%</w:t>
            </w:r>
          </w:p>
        </w:tc>
        <w:tc>
          <w:tcPr>
            <w:tcW w:w="1244" w:type="dxa"/>
            <w:vAlign w:val="center"/>
          </w:tcPr>
          <w:p w14:paraId="2D7D5C35" w14:textId="092968D5" w:rsidR="00236585" w:rsidRPr="00DA7262" w:rsidRDefault="00236585" w:rsidP="000F44C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0.2%</w:t>
            </w:r>
          </w:p>
        </w:tc>
        <w:tc>
          <w:tcPr>
            <w:tcW w:w="1243" w:type="dxa"/>
            <w:vAlign w:val="center"/>
          </w:tcPr>
          <w:p w14:paraId="3D472ABB" w14:textId="69DFB45F" w:rsidR="00236585" w:rsidRPr="00DA7262" w:rsidRDefault="00236585" w:rsidP="000F44C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0.7%</w:t>
            </w:r>
          </w:p>
        </w:tc>
        <w:tc>
          <w:tcPr>
            <w:tcW w:w="1244" w:type="dxa"/>
            <w:vAlign w:val="bottom"/>
          </w:tcPr>
          <w:p w14:paraId="6E3F1ABA" w14:textId="7AA5DF37" w:rsidR="00236585" w:rsidRPr="00DA7262" w:rsidRDefault="00236585" w:rsidP="000F44C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0.2%</w:t>
            </w:r>
          </w:p>
        </w:tc>
        <w:tc>
          <w:tcPr>
            <w:tcW w:w="1243" w:type="dxa"/>
            <w:vAlign w:val="bottom"/>
          </w:tcPr>
          <w:p w14:paraId="05F146C3" w14:textId="48713951" w:rsidR="00236585" w:rsidRPr="00DA7262" w:rsidRDefault="00236585" w:rsidP="000F44C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0.8%</w:t>
            </w:r>
          </w:p>
        </w:tc>
        <w:tc>
          <w:tcPr>
            <w:tcW w:w="1244" w:type="dxa"/>
            <w:vAlign w:val="bottom"/>
          </w:tcPr>
          <w:p w14:paraId="14345D9E" w14:textId="3AB0A77A" w:rsidR="00236585" w:rsidRPr="00DA7262" w:rsidRDefault="00236585" w:rsidP="000F44C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0.2%</w:t>
            </w:r>
          </w:p>
        </w:tc>
      </w:tr>
    </w:tbl>
    <w:p w14:paraId="47A1AEC3" w14:textId="553C6854" w:rsidR="00236585" w:rsidRDefault="004B5004" w:rsidP="0079173A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</w:t>
      </w:r>
      <w:r w:rsidRPr="008C1EDC">
        <w:rPr>
          <w:i/>
          <w:sz w:val="20"/>
          <w:szCs w:val="20"/>
        </w:rPr>
        <w:t xml:space="preserve">: </w:t>
      </w:r>
      <w:r w:rsidR="0098260A">
        <w:rPr>
          <w:i/>
          <w:sz w:val="20"/>
          <w:szCs w:val="20"/>
        </w:rPr>
        <w:t xml:space="preserve">Percentage of people who agree that the culture and traditions of the Catholic community/Protestant Community/different minority ethnic groups add to the richness and diversity of Northern Ireland society, </w:t>
      </w:r>
      <w:r w:rsidR="006F7F80">
        <w:rPr>
          <w:i/>
          <w:sz w:val="20"/>
          <w:szCs w:val="20"/>
        </w:rPr>
        <w:t xml:space="preserve">Armagh City, Banbridge and Craigavon Borough and Northern Ireland </w:t>
      </w:r>
      <w:r w:rsidR="00236585">
        <w:rPr>
          <w:i/>
          <w:sz w:val="20"/>
          <w:szCs w:val="20"/>
        </w:rPr>
        <w:t>2019-21</w:t>
      </w:r>
      <w:r w:rsidRPr="008C1EDC">
        <w:rPr>
          <w:i/>
          <w:sz w:val="20"/>
          <w:szCs w:val="20"/>
        </w:rPr>
        <w:t xml:space="preserve">. Source: </w:t>
      </w:r>
      <w:r w:rsidR="0098260A">
        <w:rPr>
          <w:i/>
          <w:sz w:val="20"/>
          <w:szCs w:val="20"/>
        </w:rPr>
        <w:t>Northern Ireland Life and Times Survey (ARK)</w:t>
      </w:r>
      <w:r w:rsidRPr="008C1EDC">
        <w:rPr>
          <w:i/>
          <w:sz w:val="20"/>
          <w:szCs w:val="20"/>
        </w:rPr>
        <w:t>.</w:t>
      </w:r>
      <w:r w:rsidR="004B5682">
        <w:rPr>
          <w:i/>
          <w:sz w:val="20"/>
          <w:szCs w:val="20"/>
        </w:rPr>
        <w:t xml:space="preserve"> </w:t>
      </w:r>
    </w:p>
    <w:p w14:paraId="34A9EC53" w14:textId="5A4B3E60" w:rsidR="0079173A" w:rsidRPr="002636FF" w:rsidRDefault="00236585" w:rsidP="0079173A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6289F0FE" wp14:editId="6781A055">
            <wp:extent cx="5876925" cy="328612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9173A">
        <w:rPr>
          <w:i/>
          <w:sz w:val="20"/>
          <w:szCs w:val="20"/>
        </w:rPr>
        <w:t>Figure 2</w:t>
      </w:r>
      <w:r w:rsidR="0079173A" w:rsidRPr="008C1EDC">
        <w:rPr>
          <w:i/>
          <w:sz w:val="20"/>
          <w:szCs w:val="20"/>
        </w:rPr>
        <w:t xml:space="preserve">: </w:t>
      </w:r>
      <w:r w:rsidR="006F7F80">
        <w:rPr>
          <w:i/>
          <w:sz w:val="20"/>
          <w:szCs w:val="20"/>
        </w:rPr>
        <w:t>Percentage of people who agree that the culture and traditions of the Catholic community/Protestant Community/different minority ethnic groups add to the richness and diversity of Northern Ireland society, Armagh City, Banbridge and Craigavon Borough and Northern Ireland 201</w:t>
      </w:r>
      <w:r>
        <w:rPr>
          <w:i/>
          <w:sz w:val="20"/>
          <w:szCs w:val="20"/>
        </w:rPr>
        <w:t>9</w:t>
      </w:r>
      <w:r w:rsidR="006F7F80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2021</w:t>
      </w:r>
      <w:r w:rsidR="006F7F80" w:rsidRPr="008C1EDC">
        <w:rPr>
          <w:i/>
          <w:sz w:val="20"/>
          <w:szCs w:val="20"/>
        </w:rPr>
        <w:t xml:space="preserve">. Source: </w:t>
      </w:r>
      <w:r w:rsidR="006F7F80">
        <w:rPr>
          <w:i/>
          <w:sz w:val="20"/>
          <w:szCs w:val="20"/>
        </w:rPr>
        <w:t>Northern Ireland Life and Times Survey (ARK)</w:t>
      </w:r>
      <w:r w:rsidR="006F7F80" w:rsidRPr="008C1EDC">
        <w:rPr>
          <w:i/>
          <w:sz w:val="20"/>
          <w:szCs w:val="20"/>
        </w:rPr>
        <w:t>.</w:t>
      </w:r>
    </w:p>
    <w:p w14:paraId="6C7250B2" w14:textId="0FE3587A" w:rsidR="001464FA" w:rsidRDefault="002636FF" w:rsidP="0079173A">
      <w:r>
        <w:t>Further information on culture and arts</w:t>
      </w:r>
      <w:r w:rsidR="00BC5454">
        <w:t xml:space="preserve"> can be found via the following link</w:t>
      </w:r>
      <w:r>
        <w:t>s</w:t>
      </w:r>
      <w:r w:rsidR="00BC5454">
        <w:t>:</w:t>
      </w:r>
    </w:p>
    <w:p w14:paraId="788EA436" w14:textId="77777777" w:rsidR="002636FF" w:rsidRDefault="00C42B0F" w:rsidP="0079173A">
      <w:hyperlink r:id="rId10" w:history="1">
        <w:r w:rsidR="002636FF">
          <w:rPr>
            <w:rStyle w:val="Hyperlink"/>
          </w:rPr>
          <w:t>https://www.communities-ni.gov.uk/topics/statistics-and-research/sport-museums-and-libraries-statistics</w:t>
        </w:r>
      </w:hyperlink>
    </w:p>
    <w:p w14:paraId="133EAD05" w14:textId="77777777" w:rsidR="002636FF" w:rsidRDefault="00C42B0F" w:rsidP="0079173A">
      <w:pPr>
        <w:rPr>
          <w:i/>
          <w:sz w:val="20"/>
          <w:szCs w:val="20"/>
        </w:rPr>
      </w:pPr>
      <w:hyperlink r:id="rId11" w:history="1">
        <w:r w:rsidR="002636FF">
          <w:rPr>
            <w:rStyle w:val="Hyperlink"/>
          </w:rPr>
          <w:t>https://www.ark.ac.uk/nilt/</w:t>
        </w:r>
      </w:hyperlink>
    </w:p>
    <w:p w14:paraId="66FAFCE0" w14:textId="21C5A71D" w:rsidR="00854301" w:rsidRPr="00D46CBB" w:rsidRDefault="00C42B0F" w:rsidP="0079173A">
      <w:hyperlink r:id="rId12" w:history="1">
        <w:r w:rsidR="00854301">
          <w:rPr>
            <w:rStyle w:val="Hyperlink"/>
          </w:rPr>
          <w:t>https://www.ninis2.nisra.gov.uk/public/Home.aspx</w:t>
        </w:r>
      </w:hyperlink>
      <w:r w:rsidR="00854301">
        <w:t xml:space="preserve">  and type Northern Ireland Life and Times into the search bar.</w:t>
      </w:r>
    </w:p>
    <w:sectPr w:rsidR="00854301" w:rsidRPr="00D46CB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1329C" w14:textId="77777777" w:rsidR="00FD3BCA" w:rsidRDefault="00FD3BCA" w:rsidP="009470B4">
      <w:pPr>
        <w:spacing w:after="0" w:line="240" w:lineRule="auto"/>
      </w:pPr>
      <w:r>
        <w:separator/>
      </w:r>
    </w:p>
  </w:endnote>
  <w:endnote w:type="continuationSeparator" w:id="0">
    <w:p w14:paraId="5C41B486" w14:textId="77777777" w:rsidR="00FD3BCA" w:rsidRDefault="00FD3BCA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BD753" w14:textId="74F06BAB"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C0716D" w14:textId="77777777"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B4545" w14:textId="77777777" w:rsidR="00FD3BCA" w:rsidRDefault="00FD3BCA" w:rsidP="009470B4">
      <w:pPr>
        <w:spacing w:after="0" w:line="240" w:lineRule="auto"/>
      </w:pPr>
      <w:r>
        <w:separator/>
      </w:r>
    </w:p>
  </w:footnote>
  <w:footnote w:type="continuationSeparator" w:id="0">
    <w:p w14:paraId="11335756" w14:textId="77777777" w:rsidR="00FD3BCA" w:rsidRDefault="00FD3BCA" w:rsidP="009470B4">
      <w:pPr>
        <w:spacing w:after="0" w:line="240" w:lineRule="auto"/>
      </w:pPr>
      <w:r>
        <w:continuationSeparator/>
      </w:r>
    </w:p>
  </w:footnote>
  <w:footnote w:id="1">
    <w:p w14:paraId="6CABA638" w14:textId="77777777" w:rsidR="00435F79" w:rsidRDefault="00435F79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1" w:history="1">
        <w:r>
          <w:rPr>
            <w:rStyle w:val="Hyperlink"/>
          </w:rPr>
          <w:t>https://www.nisra.gov.uk/statistics/central-survey-unit/continuous-household-survey</w:t>
        </w:r>
      </w:hyperlink>
    </w:p>
  </w:footnote>
  <w:footnote w:id="2">
    <w:p w14:paraId="10149B79" w14:textId="77777777" w:rsidR="00435F79" w:rsidRDefault="00435F79">
      <w:pPr>
        <w:pStyle w:val="FootnoteText"/>
      </w:pPr>
      <w:r>
        <w:rPr>
          <w:rStyle w:val="FootnoteReference"/>
        </w:rPr>
        <w:footnoteRef/>
      </w:r>
      <w:r>
        <w:t xml:space="preserve"> Northern Ireland Life and Times Survey (ARK) - </w:t>
      </w:r>
      <w:hyperlink r:id="rId2" w:history="1">
        <w:r>
          <w:rPr>
            <w:rStyle w:val="Hyperlink"/>
          </w:rPr>
          <w:t>https://www.ark.ac.uk/nilt/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F3A"/>
    <w:multiLevelType w:val="hybridMultilevel"/>
    <w:tmpl w:val="9B92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5C89"/>
    <w:rsid w:val="000C7CE8"/>
    <w:rsid w:val="000F44CC"/>
    <w:rsid w:val="00142398"/>
    <w:rsid w:val="00144DDE"/>
    <w:rsid w:val="001464FA"/>
    <w:rsid w:val="001530DE"/>
    <w:rsid w:val="00154E71"/>
    <w:rsid w:val="001E18DF"/>
    <w:rsid w:val="0022340B"/>
    <w:rsid w:val="00236585"/>
    <w:rsid w:val="002636FF"/>
    <w:rsid w:val="00265E55"/>
    <w:rsid w:val="00284A71"/>
    <w:rsid w:val="00293E93"/>
    <w:rsid w:val="002B13D9"/>
    <w:rsid w:val="002B5AEA"/>
    <w:rsid w:val="003764F3"/>
    <w:rsid w:val="00381E1E"/>
    <w:rsid w:val="003F362C"/>
    <w:rsid w:val="00435F79"/>
    <w:rsid w:val="00470647"/>
    <w:rsid w:val="00494448"/>
    <w:rsid w:val="004B5004"/>
    <w:rsid w:val="004B5682"/>
    <w:rsid w:val="004E781E"/>
    <w:rsid w:val="005139F7"/>
    <w:rsid w:val="00535EBD"/>
    <w:rsid w:val="00543353"/>
    <w:rsid w:val="00543809"/>
    <w:rsid w:val="00546B94"/>
    <w:rsid w:val="00596090"/>
    <w:rsid w:val="005968A8"/>
    <w:rsid w:val="0062713E"/>
    <w:rsid w:val="0067115F"/>
    <w:rsid w:val="006C7C99"/>
    <w:rsid w:val="006E4145"/>
    <w:rsid w:val="006F7F80"/>
    <w:rsid w:val="00704EA7"/>
    <w:rsid w:val="00767136"/>
    <w:rsid w:val="0079173A"/>
    <w:rsid w:val="007932C0"/>
    <w:rsid w:val="007C7AFB"/>
    <w:rsid w:val="00814542"/>
    <w:rsid w:val="0081757F"/>
    <w:rsid w:val="00820F29"/>
    <w:rsid w:val="00836E9E"/>
    <w:rsid w:val="0084512A"/>
    <w:rsid w:val="00854301"/>
    <w:rsid w:val="00873E0D"/>
    <w:rsid w:val="00895087"/>
    <w:rsid w:val="008C1EDC"/>
    <w:rsid w:val="008C3787"/>
    <w:rsid w:val="0090727E"/>
    <w:rsid w:val="009470B4"/>
    <w:rsid w:val="0098260A"/>
    <w:rsid w:val="00A048A3"/>
    <w:rsid w:val="00A0792D"/>
    <w:rsid w:val="00A47314"/>
    <w:rsid w:val="00A64F03"/>
    <w:rsid w:val="00A70F15"/>
    <w:rsid w:val="00A76810"/>
    <w:rsid w:val="00A9303E"/>
    <w:rsid w:val="00A95C11"/>
    <w:rsid w:val="00AB070E"/>
    <w:rsid w:val="00BC0658"/>
    <w:rsid w:val="00BC5454"/>
    <w:rsid w:val="00C17259"/>
    <w:rsid w:val="00C42B0F"/>
    <w:rsid w:val="00CA73A0"/>
    <w:rsid w:val="00D14FF4"/>
    <w:rsid w:val="00D2477D"/>
    <w:rsid w:val="00D46CBB"/>
    <w:rsid w:val="00D82855"/>
    <w:rsid w:val="00DA7262"/>
    <w:rsid w:val="00DC0E4D"/>
    <w:rsid w:val="00DD1313"/>
    <w:rsid w:val="00E00CE7"/>
    <w:rsid w:val="00E418D1"/>
    <w:rsid w:val="00E41CE3"/>
    <w:rsid w:val="00E45AFE"/>
    <w:rsid w:val="00E67B27"/>
    <w:rsid w:val="00E778A0"/>
    <w:rsid w:val="00EE6727"/>
    <w:rsid w:val="00F008E3"/>
    <w:rsid w:val="00F14B8F"/>
    <w:rsid w:val="00F56A12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76F5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BC54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A71"/>
    <w:pPr>
      <w:ind w:left="720"/>
      <w:contextualSpacing/>
    </w:pPr>
  </w:style>
  <w:style w:type="table" w:styleId="TableGrid">
    <w:name w:val="Table Grid"/>
    <w:basedOn w:val="TableNormal"/>
    <w:uiPriority w:val="39"/>
    <w:rsid w:val="0028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5F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F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F79"/>
    <w:rPr>
      <w:vertAlign w:val="superscript"/>
    </w:rPr>
  </w:style>
  <w:style w:type="table" w:styleId="GridTable1Light">
    <w:name w:val="Grid Table 1 Light"/>
    <w:basedOn w:val="TableNormal"/>
    <w:uiPriority w:val="46"/>
    <w:rsid w:val="00A95C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nis2.nisra.gov.uk/public/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k.ac.uk/nil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mmunities-ni.gov.uk/topics/statistics-and-research/sport-museums-and-libraries-statistic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k.ac.uk/nilt/" TargetMode="External"/><Relationship Id="rId1" Type="http://schemas.openxmlformats.org/officeDocument/2006/relationships/hyperlink" Target="https://www.nisra.gov.uk/statistics/central-survey-unit/continuous-household-surve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Statistics%20for%20Website\Tourism%20and%20Culture\2022%20Updates\engagement-culture-arts-sport-local-government-district-2014-15-to-2019-20%20(2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1.%20Jessica%20Files\Data\1.%20NILT\192021%20Data\DC192021%20-%20Working%20cop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916231220640384E-2"/>
          <c:y val="5.0925925925925923E-2"/>
          <c:w val="0.87927084982750103"/>
          <c:h val="0.63405803441236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Analysis!$D$2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Analysis!$C$3:$C$8</c:f>
              <c:strCache>
                <c:ptCount val="6"/>
                <c:pt idx="0">
                  <c:v>Engaged in culture and arts</c:v>
                </c:pt>
                <c:pt idx="1">
                  <c:v>Participated in arts activities</c:v>
                </c:pt>
                <c:pt idx="2">
                  <c:v>Attended an arts event</c:v>
                </c:pt>
                <c:pt idx="3">
                  <c:v>Used the public library service</c:v>
                </c:pt>
                <c:pt idx="4">
                  <c:v>Visited a museum or science centre</c:v>
                </c:pt>
                <c:pt idx="5">
                  <c:v>Visited PRONI</c:v>
                </c:pt>
              </c:strCache>
            </c:strRef>
          </c:cat>
          <c:val>
            <c:numRef>
              <c:f>Analysis!$D$3:$D$8</c:f>
              <c:numCache>
                <c:formatCode>0</c:formatCode>
                <c:ptCount val="6"/>
                <c:pt idx="0">
                  <c:v>86</c:v>
                </c:pt>
                <c:pt idx="1">
                  <c:v>34</c:v>
                </c:pt>
                <c:pt idx="2">
                  <c:v>77</c:v>
                </c:pt>
                <c:pt idx="3">
                  <c:v>25</c:v>
                </c:pt>
                <c:pt idx="4">
                  <c:v>38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5-4DB8-BA53-14AF5DD242C3}"/>
            </c:ext>
          </c:extLst>
        </c:ser>
        <c:ser>
          <c:idx val="1"/>
          <c:order val="1"/>
          <c:tx>
            <c:strRef>
              <c:f>Analysis!$E$2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Analysis!$C$3:$C$8</c:f>
              <c:strCache>
                <c:ptCount val="6"/>
                <c:pt idx="0">
                  <c:v>Engaged in culture and arts</c:v>
                </c:pt>
                <c:pt idx="1">
                  <c:v>Participated in arts activities</c:v>
                </c:pt>
                <c:pt idx="2">
                  <c:v>Attended an arts event</c:v>
                </c:pt>
                <c:pt idx="3">
                  <c:v>Used the public library service</c:v>
                </c:pt>
                <c:pt idx="4">
                  <c:v>Visited a museum or science centre</c:v>
                </c:pt>
                <c:pt idx="5">
                  <c:v>Visited PRONI</c:v>
                </c:pt>
              </c:strCache>
            </c:strRef>
          </c:cat>
          <c:val>
            <c:numRef>
              <c:f>Analysis!$E$3:$E$8</c:f>
              <c:numCache>
                <c:formatCode>0</c:formatCode>
                <c:ptCount val="6"/>
                <c:pt idx="0">
                  <c:v>87</c:v>
                </c:pt>
                <c:pt idx="1">
                  <c:v>33</c:v>
                </c:pt>
                <c:pt idx="2">
                  <c:v>80</c:v>
                </c:pt>
                <c:pt idx="3">
                  <c:v>23</c:v>
                </c:pt>
                <c:pt idx="4">
                  <c:v>37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E5-4DB8-BA53-14AF5DD24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029664"/>
        <c:axId val="196024672"/>
      </c:barChart>
      <c:catAx>
        <c:axId val="19602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24672"/>
        <c:crosses val="autoZero"/>
        <c:auto val="1"/>
        <c:lblAlgn val="ctr"/>
        <c:lblOffset val="100"/>
        <c:noMultiLvlLbl val="0"/>
      </c:catAx>
      <c:valAx>
        <c:axId val="19602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2966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040839349154144E-2"/>
          <c:y val="4.2512077294685993E-2"/>
          <c:w val="0.88854032760636292"/>
          <c:h val="0.668515348624900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'Culture Charts'!$B$19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'Culture Charts'!$C$17:$H$18</c:f>
              <c:multiLvlStrCache>
                <c:ptCount val="6"/>
                <c:lvl>
                  <c:pt idx="0">
                    <c:v>ABC</c:v>
                  </c:pt>
                  <c:pt idx="1">
                    <c:v>NI</c:v>
                  </c:pt>
                  <c:pt idx="2">
                    <c:v>ABC</c:v>
                  </c:pt>
                  <c:pt idx="3">
                    <c:v>NI</c:v>
                  </c:pt>
                  <c:pt idx="4">
                    <c:v>ABC</c:v>
                  </c:pt>
                  <c:pt idx="5">
                    <c:v>NI</c:v>
                  </c:pt>
                </c:lvl>
                <c:lvl>
                  <c:pt idx="0">
                    <c:v>Catholic Community</c:v>
                  </c:pt>
                  <c:pt idx="2">
                    <c:v>Protestant Community</c:v>
                  </c:pt>
                  <c:pt idx="4">
                    <c:v>Minority Ethnic groups</c:v>
                  </c:pt>
                </c:lvl>
              </c:multiLvlStrCache>
            </c:multiLvlStrRef>
          </c:cat>
          <c:val>
            <c:numRef>
              <c:f>'Culture Charts'!$C$19:$H$19</c:f>
              <c:numCache>
                <c:formatCode>0.0%</c:formatCode>
                <c:ptCount val="6"/>
                <c:pt idx="0">
                  <c:v>0.64579223953660025</c:v>
                </c:pt>
                <c:pt idx="1">
                  <c:v>0.69521964287496452</c:v>
                </c:pt>
                <c:pt idx="2">
                  <c:v>0.64428754737102689</c:v>
                </c:pt>
                <c:pt idx="3">
                  <c:v>0.67681044985380401</c:v>
                </c:pt>
                <c:pt idx="4">
                  <c:v>0.54071538246850415</c:v>
                </c:pt>
                <c:pt idx="5">
                  <c:v>0.64459059181722778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4D-4FA3-AD5D-ED9FA63621CD}"/>
            </c:ext>
          </c:extLst>
        </c:ser>
        <c:ser>
          <c:idx val="1"/>
          <c:order val="1"/>
          <c:tx>
            <c:strRef>
              <c:f>'Culture Charts'!$B$20</c:f>
              <c:strCache>
                <c:ptCount val="1"/>
                <c:pt idx="0">
                  <c:v>Neither agree nor 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'Culture Charts'!$C$17:$H$18</c:f>
              <c:multiLvlStrCache>
                <c:ptCount val="6"/>
                <c:lvl>
                  <c:pt idx="0">
                    <c:v>ABC</c:v>
                  </c:pt>
                  <c:pt idx="1">
                    <c:v>NI</c:v>
                  </c:pt>
                  <c:pt idx="2">
                    <c:v>ABC</c:v>
                  </c:pt>
                  <c:pt idx="3">
                    <c:v>NI</c:v>
                  </c:pt>
                  <c:pt idx="4">
                    <c:v>ABC</c:v>
                  </c:pt>
                  <c:pt idx="5">
                    <c:v>NI</c:v>
                  </c:pt>
                </c:lvl>
                <c:lvl>
                  <c:pt idx="0">
                    <c:v>Catholic Community</c:v>
                  </c:pt>
                  <c:pt idx="2">
                    <c:v>Protestant Community</c:v>
                  </c:pt>
                  <c:pt idx="4">
                    <c:v>Minority Ethnic groups</c:v>
                  </c:pt>
                </c:lvl>
              </c:multiLvlStrCache>
            </c:multiLvlStrRef>
          </c:cat>
          <c:val>
            <c:numRef>
              <c:f>'Culture Charts'!$C$20:$H$20</c:f>
              <c:numCache>
                <c:formatCode>0.0%</c:formatCode>
                <c:ptCount val="6"/>
                <c:pt idx="0">
                  <c:v>0.22729530394824277</c:v>
                </c:pt>
                <c:pt idx="1">
                  <c:v>0.20333669304171886</c:v>
                </c:pt>
                <c:pt idx="2">
                  <c:v>0.21774186377179894</c:v>
                </c:pt>
                <c:pt idx="3">
                  <c:v>0.19439524759256538</c:v>
                </c:pt>
                <c:pt idx="4">
                  <c:v>0.26873845896772319</c:v>
                </c:pt>
                <c:pt idx="5">
                  <c:v>0.2305023553474507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4D-4FA3-AD5D-ED9FA63621CD}"/>
            </c:ext>
          </c:extLst>
        </c:ser>
        <c:ser>
          <c:idx val="2"/>
          <c:order val="2"/>
          <c:tx>
            <c:strRef>
              <c:f>'Culture Charts'!$B$21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'Culture Charts'!$C$17:$H$18</c:f>
              <c:multiLvlStrCache>
                <c:ptCount val="6"/>
                <c:lvl>
                  <c:pt idx="0">
                    <c:v>ABC</c:v>
                  </c:pt>
                  <c:pt idx="1">
                    <c:v>NI</c:v>
                  </c:pt>
                  <c:pt idx="2">
                    <c:v>ABC</c:v>
                  </c:pt>
                  <c:pt idx="3">
                    <c:v>NI</c:v>
                  </c:pt>
                  <c:pt idx="4">
                    <c:v>ABC</c:v>
                  </c:pt>
                  <c:pt idx="5">
                    <c:v>NI</c:v>
                  </c:pt>
                </c:lvl>
                <c:lvl>
                  <c:pt idx="0">
                    <c:v>Catholic Community</c:v>
                  </c:pt>
                  <c:pt idx="2">
                    <c:v>Protestant Community</c:v>
                  </c:pt>
                  <c:pt idx="4">
                    <c:v>Minority Ethnic groups</c:v>
                  </c:pt>
                </c:lvl>
              </c:multiLvlStrCache>
            </c:multiLvlStrRef>
          </c:cat>
          <c:val>
            <c:numRef>
              <c:f>'Culture Charts'!$C$21:$H$21</c:f>
              <c:numCache>
                <c:formatCode>0.0%</c:formatCode>
                <c:ptCount val="6"/>
                <c:pt idx="0">
                  <c:v>0.10033118671930136</c:v>
                </c:pt>
                <c:pt idx="1">
                  <c:v>7.3381416789250087E-2</c:v>
                </c:pt>
                <c:pt idx="2">
                  <c:v>0.11477052048368856</c:v>
                </c:pt>
                <c:pt idx="3">
                  <c:v>0.10329121194164642</c:v>
                </c:pt>
                <c:pt idx="4">
                  <c:v>0.1445809284959636</c:v>
                </c:pt>
                <c:pt idx="5">
                  <c:v>8.6779962165889957E-2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4D-4FA3-AD5D-ED9FA63621CD}"/>
            </c:ext>
          </c:extLst>
        </c:ser>
        <c:ser>
          <c:idx val="3"/>
          <c:order val="3"/>
          <c:tx>
            <c:strRef>
              <c:f>'Culture Charts'!$B$22</c:f>
              <c:strCache>
                <c:ptCount val="1"/>
                <c:pt idx="0">
                  <c:v>I don't know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'Culture Charts'!$C$17:$H$18</c:f>
              <c:multiLvlStrCache>
                <c:ptCount val="6"/>
                <c:lvl>
                  <c:pt idx="0">
                    <c:v>ABC</c:v>
                  </c:pt>
                  <c:pt idx="1">
                    <c:v>NI</c:v>
                  </c:pt>
                  <c:pt idx="2">
                    <c:v>ABC</c:v>
                  </c:pt>
                  <c:pt idx="3">
                    <c:v>NI</c:v>
                  </c:pt>
                  <c:pt idx="4">
                    <c:v>ABC</c:v>
                  </c:pt>
                  <c:pt idx="5">
                    <c:v>NI</c:v>
                  </c:pt>
                </c:lvl>
                <c:lvl>
                  <c:pt idx="0">
                    <c:v>Catholic Community</c:v>
                  </c:pt>
                  <c:pt idx="2">
                    <c:v>Protestant Community</c:v>
                  </c:pt>
                  <c:pt idx="4">
                    <c:v>Minority Ethnic groups</c:v>
                  </c:pt>
                </c:lvl>
              </c:multiLvlStrCache>
            </c:multiLvlStrRef>
          </c:cat>
          <c:val>
            <c:numRef>
              <c:f>'Culture Charts'!$C$22:$H$22</c:f>
              <c:numCache>
                <c:formatCode>0.0%</c:formatCode>
                <c:ptCount val="6"/>
                <c:pt idx="0">
                  <c:v>1.9304044067732718E-2</c:v>
                </c:pt>
                <c:pt idx="1">
                  <c:v>2.5927299021093805E-2</c:v>
                </c:pt>
                <c:pt idx="2">
                  <c:v>1.5922842645362874E-2</c:v>
                </c:pt>
                <c:pt idx="3">
                  <c:v>2.3845161865286683E-2</c:v>
                </c:pt>
                <c:pt idx="4">
                  <c:v>3.7479220240011636E-2</c:v>
                </c:pt>
                <c:pt idx="5">
                  <c:v>3.6142542207776185E-2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4D-4FA3-AD5D-ED9FA63621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628704"/>
        <c:axId val="296624128"/>
      </c:barChart>
      <c:catAx>
        <c:axId val="29662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6624128"/>
        <c:crosses val="autoZero"/>
        <c:auto val="1"/>
        <c:lblAlgn val="ctr"/>
        <c:lblOffset val="100"/>
        <c:noMultiLvlLbl val="0"/>
      </c:catAx>
      <c:valAx>
        <c:axId val="2966241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662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50860865095502"/>
          <c:y val="1.4975388945946938E-2"/>
          <c:w val="0.76888803977492415"/>
          <c:h val="6.5217847769028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0.09722</cdr:y>
    </cdr:from>
    <cdr:to>
      <cdr:x>0.1755</cdr:x>
      <cdr:y>0.43056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0" y="2667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0.11785</cdr:x>
      <cdr:y>0.86087</cdr:y>
    </cdr:from>
    <cdr:to>
      <cdr:x>0.93934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92596" y="2828926"/>
          <a:ext cx="4827835" cy="457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GB" sz="1000" i="1">
              <a:solidFill>
                <a:schemeClr val="bg1">
                  <a:lumMod val="50000"/>
                </a:schemeClr>
              </a:solidFill>
            </a:rPr>
            <a:t>The term agree is combination of both 'strongly agree'</a:t>
          </a:r>
          <a:r>
            <a:rPr lang="en-GB" sz="1000" i="1" baseline="0">
              <a:solidFill>
                <a:schemeClr val="bg1">
                  <a:lumMod val="50000"/>
                </a:schemeClr>
              </a:solidFill>
            </a:rPr>
            <a:t> and 'agree'</a:t>
          </a:r>
        </a:p>
        <a:p xmlns:a="http://schemas.openxmlformats.org/drawingml/2006/main">
          <a:pPr algn="ctr"/>
          <a:r>
            <a:rPr lang="en-GB" sz="1000" i="1" baseline="0">
              <a:solidFill>
                <a:schemeClr val="bg1">
                  <a:lumMod val="50000"/>
                </a:schemeClr>
              </a:solidFill>
            </a:rPr>
            <a:t>The term disagree is a combination of both 'strongly disagree' and 'disagree'</a:t>
          </a:r>
          <a:endParaRPr lang="en-GB" sz="1000" i="1">
            <a:solidFill>
              <a:schemeClr val="bg1">
                <a:lumMod val="50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393D-C4CA-457D-84F5-FF9331A3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6</cp:revision>
  <dcterms:created xsi:type="dcterms:W3CDTF">2023-02-06T14:23:00Z</dcterms:created>
  <dcterms:modified xsi:type="dcterms:W3CDTF">2023-02-06T15:24:00Z</dcterms:modified>
</cp:coreProperties>
</file>