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59" w:rsidRPr="00900955" w:rsidRDefault="00900955">
      <w:pPr>
        <w:rPr>
          <w:b/>
        </w:rPr>
      </w:pPr>
      <w:r>
        <w:rPr>
          <w:b/>
        </w:rPr>
        <w:t>CO</w:t>
      </w:r>
      <w:r w:rsidRPr="00900955">
        <w:rPr>
          <w:b/>
          <w:vertAlign w:val="subscript"/>
        </w:rPr>
        <w:t>2</w:t>
      </w:r>
      <w:r>
        <w:rPr>
          <w:b/>
          <w:vertAlign w:val="subscript"/>
        </w:rPr>
        <w:t xml:space="preserve"> </w:t>
      </w:r>
      <w:r>
        <w:rPr>
          <w:b/>
        </w:rPr>
        <w:t>Emissions</w:t>
      </w:r>
    </w:p>
    <w:p w:rsidR="0063391F" w:rsidRPr="0063391F" w:rsidRDefault="00543077" w:rsidP="00C6515D">
      <w:r>
        <w:t>It is estimated that in Armagh City, Banbrid</w:t>
      </w:r>
      <w:r w:rsidR="005367EC">
        <w:t>ge and Craigavon Borough in 20</w:t>
      </w:r>
      <w:r w:rsidR="009F37F9">
        <w:t>20</w:t>
      </w:r>
      <w:r w:rsidR="005367EC">
        <w:t xml:space="preserve"> there were </w:t>
      </w:r>
      <w:r w:rsidR="009F37F9">
        <w:t>2,423.6</w:t>
      </w:r>
      <w:r>
        <w:t xml:space="preserve"> </w:t>
      </w:r>
      <w:proofErr w:type="spellStart"/>
      <w:r>
        <w:t>kilotonnes</w:t>
      </w:r>
      <w:proofErr w:type="spellEnd"/>
      <w:r>
        <w:t xml:space="preserve"> of CO</w:t>
      </w:r>
      <w:r w:rsidRPr="00543077">
        <w:rPr>
          <w:vertAlign w:val="subscript"/>
        </w:rPr>
        <w:t>2</w:t>
      </w:r>
      <w:r>
        <w:rPr>
          <w:vertAlign w:val="subscript"/>
        </w:rPr>
        <w:t xml:space="preserve"> </w:t>
      </w:r>
      <w:r>
        <w:t>e</w:t>
      </w:r>
      <w:r w:rsidR="00C6515D">
        <w:t>quivalent e</w:t>
      </w:r>
      <w:r>
        <w:t>miss</w:t>
      </w:r>
      <w:r w:rsidR="005367EC">
        <w:t>ions</w:t>
      </w:r>
      <w:r w:rsidR="004F4CC1">
        <w:rPr>
          <w:rStyle w:val="FootnoteReference"/>
        </w:rPr>
        <w:footnoteReference w:id="1"/>
      </w:r>
      <w:r w:rsidR="005367EC">
        <w:t xml:space="preserve">. This is </w:t>
      </w:r>
      <w:r w:rsidR="009F37F9">
        <w:t>an increase</w:t>
      </w:r>
      <w:r w:rsidR="005367EC">
        <w:t xml:space="preserve"> of </w:t>
      </w:r>
      <w:r w:rsidR="009F37F9">
        <w:t>3.6</w:t>
      </w:r>
      <w:r>
        <w:t>%</w:t>
      </w:r>
      <w:r w:rsidR="005367EC">
        <w:t xml:space="preserve"> on 201</w:t>
      </w:r>
      <w:r w:rsidR="009F37F9">
        <w:t xml:space="preserve">9 estimates but a 21% decrease since 2010 which was the </w:t>
      </w:r>
      <w:r w:rsidR="00663F53">
        <w:t>highest level of the</w:t>
      </w:r>
      <w:r w:rsidR="005367EC">
        <w:t xml:space="preserve"> </w:t>
      </w:r>
      <w:r w:rsidR="009A4629">
        <w:t>years</w:t>
      </w:r>
      <w:r w:rsidR="00663F53">
        <w:t xml:space="preserve"> presented below</w:t>
      </w:r>
      <w:r w:rsidR="009A4629">
        <w:t>.</w:t>
      </w:r>
      <w:r w:rsidR="00CB5416">
        <w:t xml:space="preserve"> The decrease in CO</w:t>
      </w:r>
      <w:r w:rsidR="00CB5416" w:rsidRPr="00CB5416">
        <w:rPr>
          <w:vertAlign w:val="subscript"/>
        </w:rPr>
        <w:t>2</w:t>
      </w:r>
      <w:r w:rsidR="00CB5416">
        <w:rPr>
          <w:vertAlign w:val="subscript"/>
        </w:rPr>
        <w:t xml:space="preserve"> </w:t>
      </w:r>
      <w:r w:rsidR="00CB5416">
        <w:t>e</w:t>
      </w:r>
      <w:r w:rsidR="00C6515D">
        <w:t>quivalent e</w:t>
      </w:r>
      <w:r w:rsidR="00CB5416">
        <w:t xml:space="preserve">mission estimates over the same period in Northern Ireland </w:t>
      </w:r>
      <w:r w:rsidR="0063391F">
        <w:t>was even greater</w:t>
      </w:r>
      <w:r w:rsidR="00663F53">
        <w:t xml:space="preserve"> at</w:t>
      </w:r>
      <w:r w:rsidR="00CB5416">
        <w:t xml:space="preserve"> </w:t>
      </w:r>
      <w:r w:rsidR="0063391F">
        <w:t>25.7%.</w:t>
      </w:r>
      <w:r w:rsidR="009D2ED9">
        <w:rPr>
          <w:sz w:val="8"/>
          <w:szCs w:val="8"/>
        </w:rPr>
        <w:tab/>
      </w:r>
      <w:r w:rsidR="00663F53" w:rsidRPr="00663F53">
        <w:rPr>
          <w:b/>
          <w:sz w:val="18"/>
          <w:szCs w:val="18"/>
        </w:rPr>
        <w:t xml:space="preserve"> </w:t>
      </w:r>
      <w:r w:rsidR="008F1AD8">
        <w:rPr>
          <w:b/>
          <w:sz w:val="18"/>
          <w:szCs w:val="18"/>
        </w:rPr>
        <w:t xml:space="preserve">   </w:t>
      </w:r>
    </w:p>
    <w:tbl>
      <w:tblPr>
        <w:tblW w:w="7225" w:type="dxa"/>
        <w:tblLook w:val="04A0" w:firstRow="1" w:lastRow="0" w:firstColumn="1" w:lastColumn="0" w:noHBand="0" w:noVBand="1"/>
      </w:tblPr>
      <w:tblGrid>
        <w:gridCol w:w="1320"/>
        <w:gridCol w:w="2928"/>
        <w:gridCol w:w="2977"/>
      </w:tblGrid>
      <w:tr w:rsidR="0063391F" w:rsidRPr="0063391F" w:rsidTr="0063391F">
        <w:trPr>
          <w:trHeight w:val="36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91F" w:rsidRPr="0063391F" w:rsidRDefault="0063391F" w:rsidP="0063391F">
            <w:pPr>
              <w:spacing w:after="0" w:line="240" w:lineRule="auto"/>
              <w:rPr>
                <w:rFonts w:ascii="Calibri" w:eastAsia="Times New Roman" w:hAnsi="Calibri" w:cs="Calibri"/>
                <w:color w:val="000000"/>
                <w:lang w:eastAsia="en-GB"/>
              </w:rPr>
            </w:pPr>
            <w:r w:rsidRPr="0063391F">
              <w:rPr>
                <w:rFonts w:ascii="Calibri" w:eastAsia="Times New Roman" w:hAnsi="Calibri" w:cs="Calibri"/>
                <w:color w:val="000000"/>
                <w:lang w:eastAsia="en-GB"/>
              </w:rPr>
              <w:t> </w:t>
            </w:r>
          </w:p>
        </w:tc>
        <w:tc>
          <w:tcPr>
            <w:tcW w:w="5905"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center"/>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CO</w:t>
            </w:r>
            <w:r w:rsidRPr="0063391F">
              <w:rPr>
                <w:rFonts w:ascii="Calibri" w:eastAsia="Times New Roman" w:hAnsi="Calibri" w:cs="Calibri"/>
                <w:b/>
                <w:bCs/>
                <w:color w:val="000000"/>
                <w:vertAlign w:val="subscript"/>
                <w:lang w:eastAsia="en-GB"/>
              </w:rPr>
              <w:t xml:space="preserve">2 </w:t>
            </w:r>
            <w:r w:rsidRPr="0063391F">
              <w:rPr>
                <w:rFonts w:ascii="Calibri" w:eastAsia="Times New Roman" w:hAnsi="Calibri" w:cs="Calibri"/>
                <w:b/>
                <w:bCs/>
                <w:color w:val="000000"/>
                <w:lang w:eastAsia="en-GB"/>
              </w:rPr>
              <w:t xml:space="preserve">Emission Estimates </w:t>
            </w:r>
            <w:r w:rsidRPr="0063391F">
              <w:rPr>
                <w:rFonts w:ascii="Calibri" w:eastAsia="Times New Roman" w:hAnsi="Calibri" w:cs="Calibri"/>
                <w:b/>
                <w:color w:val="000000"/>
                <w:lang w:eastAsia="en-GB"/>
              </w:rPr>
              <w:t>(</w:t>
            </w:r>
            <w:proofErr w:type="spellStart"/>
            <w:r w:rsidRPr="0063391F">
              <w:rPr>
                <w:b/>
                <w:i/>
              </w:rPr>
              <w:t>Kilotonnes</w:t>
            </w:r>
            <w:proofErr w:type="spellEnd"/>
            <w:r w:rsidRPr="0063391F">
              <w:rPr>
                <w:b/>
                <w:i/>
              </w:rPr>
              <w:t xml:space="preserve"> (</w:t>
            </w:r>
            <w:proofErr w:type="spellStart"/>
            <w:r w:rsidRPr="0063391F">
              <w:rPr>
                <w:b/>
                <w:i/>
              </w:rPr>
              <w:t>kt</w:t>
            </w:r>
            <w:proofErr w:type="spellEnd"/>
            <w:r w:rsidRPr="0063391F">
              <w:rPr>
                <w:b/>
                <w:i/>
              </w:rPr>
              <w:t xml:space="preserve"> CO</w:t>
            </w:r>
            <w:r w:rsidRPr="0063391F">
              <w:rPr>
                <w:b/>
                <w:i/>
                <w:vertAlign w:val="subscript"/>
              </w:rPr>
              <w:t>2</w:t>
            </w:r>
            <w:r w:rsidRPr="0063391F">
              <w:rPr>
                <w:b/>
                <w:i/>
              </w:rPr>
              <w:t>e)</w:t>
            </w:r>
          </w:p>
        </w:tc>
      </w:tr>
      <w:tr w:rsidR="0063391F" w:rsidRPr="0063391F" w:rsidTr="0063391F">
        <w:trPr>
          <w:trHeight w:val="90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63391F" w:rsidRPr="0063391F" w:rsidRDefault="0063391F" w:rsidP="0063391F">
            <w:pPr>
              <w:spacing w:after="0" w:line="240" w:lineRule="auto"/>
              <w:rPr>
                <w:rFonts w:ascii="Calibri" w:eastAsia="Times New Roman" w:hAnsi="Calibri" w:cs="Calibri"/>
                <w:color w:val="000000"/>
                <w:lang w:eastAsia="en-GB"/>
              </w:rPr>
            </w:pPr>
            <w:r w:rsidRPr="0063391F">
              <w:rPr>
                <w:rFonts w:ascii="Calibri" w:eastAsia="Times New Roman" w:hAnsi="Calibri" w:cs="Calibri"/>
                <w:color w:val="000000"/>
                <w:lang w:eastAsia="en-GB"/>
              </w:rPr>
              <w:t> </w:t>
            </w:r>
          </w:p>
        </w:tc>
        <w:tc>
          <w:tcPr>
            <w:tcW w:w="2928" w:type="dxa"/>
            <w:tcBorders>
              <w:top w:val="nil"/>
              <w:left w:val="nil"/>
              <w:bottom w:val="single" w:sz="4" w:space="0" w:color="auto"/>
              <w:right w:val="single" w:sz="4" w:space="0" w:color="auto"/>
            </w:tcBorders>
            <w:shd w:val="clear" w:color="auto" w:fill="auto"/>
            <w:vAlign w:val="center"/>
            <w:hideMark/>
          </w:tcPr>
          <w:p w:rsidR="0063391F" w:rsidRPr="0063391F" w:rsidRDefault="0063391F" w:rsidP="0063391F">
            <w:pPr>
              <w:spacing w:after="0" w:line="240" w:lineRule="auto"/>
              <w:jc w:val="center"/>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Armagh City, Banbridge and Craigavon</w:t>
            </w:r>
          </w:p>
        </w:tc>
        <w:tc>
          <w:tcPr>
            <w:tcW w:w="2977" w:type="dxa"/>
            <w:tcBorders>
              <w:top w:val="nil"/>
              <w:left w:val="nil"/>
              <w:bottom w:val="single" w:sz="4" w:space="0" w:color="auto"/>
              <w:right w:val="single" w:sz="4" w:space="0" w:color="auto"/>
            </w:tcBorders>
            <w:shd w:val="clear" w:color="auto" w:fill="auto"/>
            <w:vAlign w:val="center"/>
            <w:hideMark/>
          </w:tcPr>
          <w:p w:rsidR="0063391F" w:rsidRPr="0063391F" w:rsidRDefault="0063391F" w:rsidP="0063391F">
            <w:pPr>
              <w:spacing w:after="0" w:line="240" w:lineRule="auto"/>
              <w:jc w:val="center"/>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Northern Ireland</w:t>
            </w:r>
          </w:p>
        </w:tc>
      </w:tr>
      <w:tr w:rsidR="0063391F" w:rsidRPr="0063391F" w:rsidTr="0063391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right"/>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2010</w:t>
            </w:r>
          </w:p>
        </w:tc>
        <w:tc>
          <w:tcPr>
            <w:tcW w:w="2928"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3,056.80</w:t>
            </w:r>
          </w:p>
        </w:tc>
        <w:tc>
          <w:tcPr>
            <w:tcW w:w="2977"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19,506.50</w:t>
            </w:r>
          </w:p>
        </w:tc>
      </w:tr>
      <w:tr w:rsidR="0063391F" w:rsidRPr="0063391F" w:rsidTr="0063391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right"/>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2011</w:t>
            </w:r>
          </w:p>
        </w:tc>
        <w:tc>
          <w:tcPr>
            <w:tcW w:w="2928"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2,758.50</w:t>
            </w:r>
          </w:p>
        </w:tc>
        <w:tc>
          <w:tcPr>
            <w:tcW w:w="2977"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17,898.80</w:t>
            </w:r>
          </w:p>
        </w:tc>
      </w:tr>
      <w:tr w:rsidR="0063391F" w:rsidRPr="0063391F" w:rsidTr="0063391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right"/>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2012</w:t>
            </w:r>
          </w:p>
        </w:tc>
        <w:tc>
          <w:tcPr>
            <w:tcW w:w="2928"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2,606.90</w:t>
            </w:r>
          </w:p>
        </w:tc>
        <w:tc>
          <w:tcPr>
            <w:tcW w:w="2977"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17,794.50</w:t>
            </w:r>
          </w:p>
        </w:tc>
      </w:tr>
      <w:tr w:rsidR="0063391F" w:rsidRPr="0063391F" w:rsidTr="0063391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right"/>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2013</w:t>
            </w:r>
          </w:p>
        </w:tc>
        <w:tc>
          <w:tcPr>
            <w:tcW w:w="2928"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2,571.20</w:t>
            </w:r>
          </w:p>
        </w:tc>
        <w:tc>
          <w:tcPr>
            <w:tcW w:w="2977"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17,635.20</w:t>
            </w:r>
          </w:p>
        </w:tc>
      </w:tr>
      <w:tr w:rsidR="0063391F" w:rsidRPr="0063391F" w:rsidTr="0063391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right"/>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2014</w:t>
            </w:r>
          </w:p>
        </w:tc>
        <w:tc>
          <w:tcPr>
            <w:tcW w:w="2928"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2,593.40</w:t>
            </w:r>
          </w:p>
        </w:tc>
        <w:tc>
          <w:tcPr>
            <w:tcW w:w="2977"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17,111.10</w:t>
            </w:r>
          </w:p>
        </w:tc>
      </w:tr>
      <w:tr w:rsidR="0063391F" w:rsidRPr="0063391F" w:rsidTr="0063391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right"/>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2015</w:t>
            </w:r>
          </w:p>
        </w:tc>
        <w:tc>
          <w:tcPr>
            <w:tcW w:w="2928"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2,578.30</w:t>
            </w:r>
          </w:p>
        </w:tc>
        <w:tc>
          <w:tcPr>
            <w:tcW w:w="2977"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16,530.20</w:t>
            </w:r>
          </w:p>
        </w:tc>
      </w:tr>
      <w:tr w:rsidR="0063391F" w:rsidRPr="0063391F" w:rsidTr="0063391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right"/>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2016</w:t>
            </w:r>
          </w:p>
        </w:tc>
        <w:tc>
          <w:tcPr>
            <w:tcW w:w="2928"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2,567.50</w:t>
            </w:r>
          </w:p>
        </w:tc>
        <w:tc>
          <w:tcPr>
            <w:tcW w:w="2977"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16,204.10</w:t>
            </w:r>
          </w:p>
        </w:tc>
      </w:tr>
      <w:tr w:rsidR="0063391F" w:rsidRPr="0063391F" w:rsidTr="0063391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right"/>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2017</w:t>
            </w:r>
          </w:p>
        </w:tc>
        <w:tc>
          <w:tcPr>
            <w:tcW w:w="2928"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2,559.60</w:t>
            </w:r>
          </w:p>
        </w:tc>
        <w:tc>
          <w:tcPr>
            <w:tcW w:w="2977"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15,916.30</w:t>
            </w:r>
          </w:p>
        </w:tc>
      </w:tr>
      <w:tr w:rsidR="0063391F" w:rsidRPr="0063391F" w:rsidTr="0063391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right"/>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2018</w:t>
            </w:r>
          </w:p>
        </w:tc>
        <w:tc>
          <w:tcPr>
            <w:tcW w:w="2928"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2,513.20</w:t>
            </w:r>
          </w:p>
        </w:tc>
        <w:tc>
          <w:tcPr>
            <w:tcW w:w="2977"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15,648.30</w:t>
            </w:r>
          </w:p>
        </w:tc>
      </w:tr>
      <w:tr w:rsidR="0063391F" w:rsidRPr="0063391F" w:rsidTr="0063391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right"/>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2019</w:t>
            </w:r>
          </w:p>
        </w:tc>
        <w:tc>
          <w:tcPr>
            <w:tcW w:w="2928"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2,339.50</w:t>
            </w:r>
          </w:p>
        </w:tc>
        <w:tc>
          <w:tcPr>
            <w:tcW w:w="2977"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14,864.80</w:t>
            </w:r>
          </w:p>
        </w:tc>
      </w:tr>
      <w:tr w:rsidR="0063391F" w:rsidRPr="0063391F" w:rsidTr="0063391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3391F" w:rsidRPr="0063391F" w:rsidRDefault="0063391F" w:rsidP="0063391F">
            <w:pPr>
              <w:spacing w:after="0" w:line="240" w:lineRule="auto"/>
              <w:jc w:val="right"/>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2020</w:t>
            </w:r>
          </w:p>
        </w:tc>
        <w:tc>
          <w:tcPr>
            <w:tcW w:w="2928"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2,423.60</w:t>
            </w:r>
          </w:p>
        </w:tc>
        <w:tc>
          <w:tcPr>
            <w:tcW w:w="2977" w:type="dxa"/>
            <w:tcBorders>
              <w:top w:val="nil"/>
              <w:left w:val="nil"/>
              <w:bottom w:val="single" w:sz="4" w:space="0" w:color="auto"/>
              <w:right w:val="single" w:sz="4" w:space="0" w:color="auto"/>
            </w:tcBorders>
            <w:shd w:val="clear" w:color="auto" w:fill="auto"/>
            <w:noWrap/>
            <w:vAlign w:val="bottom"/>
            <w:hideMark/>
          </w:tcPr>
          <w:p w:rsidR="0063391F" w:rsidRPr="0063391F" w:rsidRDefault="0063391F" w:rsidP="0063391F">
            <w:pPr>
              <w:spacing w:after="0" w:line="240" w:lineRule="auto"/>
              <w:jc w:val="center"/>
              <w:rPr>
                <w:rFonts w:ascii="Calibri" w:eastAsia="Times New Roman" w:hAnsi="Calibri" w:cs="Calibri"/>
                <w:lang w:eastAsia="en-GB"/>
              </w:rPr>
            </w:pPr>
            <w:r w:rsidRPr="0063391F">
              <w:rPr>
                <w:rFonts w:ascii="Calibri" w:eastAsia="Times New Roman" w:hAnsi="Calibri" w:cs="Calibri"/>
                <w:lang w:eastAsia="en-GB"/>
              </w:rPr>
              <w:t>14,502.70</w:t>
            </w:r>
          </w:p>
        </w:tc>
      </w:tr>
    </w:tbl>
    <w:p w:rsidR="00A93EC0" w:rsidRPr="0063391F" w:rsidRDefault="008C1EDC">
      <w:pPr>
        <w:rPr>
          <w:sz w:val="20"/>
          <w:szCs w:val="20"/>
        </w:rPr>
      </w:pPr>
      <w:r w:rsidRPr="0063391F">
        <w:rPr>
          <w:i/>
          <w:sz w:val="20"/>
          <w:szCs w:val="20"/>
        </w:rPr>
        <w:t xml:space="preserve">Table 1: </w:t>
      </w:r>
      <w:r w:rsidR="009242F4" w:rsidRPr="0063391F">
        <w:rPr>
          <w:i/>
          <w:sz w:val="20"/>
          <w:szCs w:val="20"/>
        </w:rPr>
        <w:t>CO</w:t>
      </w:r>
      <w:r w:rsidR="009242F4" w:rsidRPr="0063391F">
        <w:rPr>
          <w:i/>
          <w:sz w:val="20"/>
          <w:szCs w:val="20"/>
          <w:vertAlign w:val="subscript"/>
        </w:rPr>
        <w:t>2</w:t>
      </w:r>
      <w:r w:rsidR="009242F4" w:rsidRPr="0063391F">
        <w:rPr>
          <w:i/>
          <w:sz w:val="20"/>
          <w:szCs w:val="20"/>
        </w:rPr>
        <w:t xml:space="preserve"> emission estimates for</w:t>
      </w:r>
      <w:r w:rsidR="00900955" w:rsidRPr="0063391F">
        <w:rPr>
          <w:i/>
          <w:sz w:val="20"/>
          <w:szCs w:val="20"/>
        </w:rPr>
        <w:t xml:space="preserve"> Armagh City, </w:t>
      </w:r>
      <w:r w:rsidRPr="0063391F">
        <w:rPr>
          <w:i/>
          <w:sz w:val="20"/>
          <w:szCs w:val="20"/>
        </w:rPr>
        <w:t>Banbridge and Craigavon Borough</w:t>
      </w:r>
      <w:r w:rsidR="009242F4" w:rsidRPr="0063391F">
        <w:rPr>
          <w:i/>
          <w:sz w:val="20"/>
          <w:szCs w:val="20"/>
        </w:rPr>
        <w:t xml:space="preserve"> </w:t>
      </w:r>
      <w:r w:rsidR="00CA03DD" w:rsidRPr="0063391F">
        <w:rPr>
          <w:i/>
          <w:sz w:val="20"/>
          <w:szCs w:val="20"/>
        </w:rPr>
        <w:t xml:space="preserve">and Northern Ireland </w:t>
      </w:r>
      <w:r w:rsidR="009242F4" w:rsidRPr="0063391F">
        <w:rPr>
          <w:i/>
          <w:sz w:val="20"/>
          <w:szCs w:val="20"/>
        </w:rPr>
        <w:t>2010</w:t>
      </w:r>
      <w:r w:rsidR="008C513E" w:rsidRPr="0063391F">
        <w:rPr>
          <w:i/>
          <w:sz w:val="20"/>
          <w:szCs w:val="20"/>
        </w:rPr>
        <w:t xml:space="preserve"> to 20</w:t>
      </w:r>
      <w:r w:rsidR="009F37F9" w:rsidRPr="0063391F">
        <w:rPr>
          <w:i/>
          <w:sz w:val="20"/>
          <w:szCs w:val="20"/>
        </w:rPr>
        <w:t>20</w:t>
      </w:r>
      <w:r w:rsidRPr="0063391F">
        <w:rPr>
          <w:i/>
          <w:sz w:val="20"/>
          <w:szCs w:val="20"/>
        </w:rPr>
        <w:t xml:space="preserve">. Source: </w:t>
      </w:r>
      <w:r w:rsidR="009F37F9" w:rsidRPr="0063391F">
        <w:rPr>
          <w:rFonts w:cstheme="minorHAnsi"/>
          <w:i/>
          <w:sz w:val="20"/>
          <w:szCs w:val="20"/>
          <w:shd w:val="clear" w:color="auto" w:fill="FFFFFF"/>
        </w:rPr>
        <w:t>Local Authority territorial carbon dioxide (CO2) emissions estimates 2005-2020 (</w:t>
      </w:r>
      <w:proofErr w:type="spellStart"/>
      <w:r w:rsidR="009F37F9" w:rsidRPr="0063391F">
        <w:rPr>
          <w:rFonts w:cstheme="minorHAnsi"/>
          <w:i/>
          <w:sz w:val="20"/>
          <w:szCs w:val="20"/>
          <w:shd w:val="clear" w:color="auto" w:fill="FFFFFF"/>
        </w:rPr>
        <w:t>kt</w:t>
      </w:r>
      <w:proofErr w:type="spellEnd"/>
      <w:r w:rsidR="009F37F9" w:rsidRPr="0063391F">
        <w:rPr>
          <w:rFonts w:cstheme="minorHAnsi"/>
          <w:i/>
          <w:sz w:val="20"/>
          <w:szCs w:val="20"/>
          <w:shd w:val="clear" w:color="auto" w:fill="FFFFFF"/>
        </w:rPr>
        <w:t xml:space="preserve"> CO2e)</w:t>
      </w:r>
      <w:r w:rsidR="009242F4" w:rsidRPr="0063391F">
        <w:rPr>
          <w:i/>
          <w:sz w:val="20"/>
          <w:szCs w:val="20"/>
        </w:rPr>
        <w:t>, Department for Business, Energy and Industrial Strategy</w:t>
      </w:r>
      <w:r w:rsidRPr="0063391F">
        <w:rPr>
          <w:i/>
          <w:sz w:val="20"/>
          <w:szCs w:val="20"/>
        </w:rPr>
        <w:t>.</w:t>
      </w:r>
    </w:p>
    <w:p w:rsidR="00C6515D" w:rsidRDefault="009F37F9">
      <w:pPr>
        <w:rPr>
          <w:i/>
          <w:sz w:val="20"/>
          <w:szCs w:val="20"/>
        </w:rPr>
      </w:pPr>
      <w:r>
        <w:rPr>
          <w:noProof/>
          <w:lang w:eastAsia="en-GB"/>
        </w:rPr>
        <w:lastRenderedPageBreak/>
        <w:drawing>
          <wp:inline distT="0" distB="0" distL="0" distR="0" wp14:anchorId="5B7252D8" wp14:editId="6B2E8275">
            <wp:extent cx="5554980" cy="2933700"/>
            <wp:effectExtent l="0" t="0" r="7620" b="0"/>
            <wp:docPr id="1" name="Chart 1" title="Figure 1: CO2 emission estimates for Armagh City, Banbridge and Craigavon Borough and Northern Ireland 2010 to 2020. Source: Local Authority territorial carbon dioxide (CO2) emissions estimates 2005-2020 (kt CO2e), Department for Business, Energy and Industrial Strategy."/>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63391F">
        <w:rPr>
          <w:i/>
          <w:sz w:val="20"/>
          <w:szCs w:val="20"/>
        </w:rPr>
        <w:t>Figure</w:t>
      </w:r>
      <w:r w:rsidR="009242F4" w:rsidRPr="0063391F">
        <w:rPr>
          <w:i/>
          <w:sz w:val="20"/>
          <w:szCs w:val="20"/>
        </w:rPr>
        <w:t xml:space="preserve"> 1: </w:t>
      </w:r>
      <w:r w:rsidR="00C6515D" w:rsidRPr="0063391F">
        <w:rPr>
          <w:i/>
          <w:sz w:val="20"/>
          <w:szCs w:val="20"/>
        </w:rPr>
        <w:t>CO</w:t>
      </w:r>
      <w:r w:rsidR="00C6515D" w:rsidRPr="0063391F">
        <w:rPr>
          <w:i/>
          <w:sz w:val="20"/>
          <w:szCs w:val="20"/>
          <w:vertAlign w:val="subscript"/>
        </w:rPr>
        <w:t>2</w:t>
      </w:r>
      <w:r w:rsidR="00C6515D" w:rsidRPr="0063391F">
        <w:rPr>
          <w:i/>
          <w:sz w:val="20"/>
          <w:szCs w:val="20"/>
        </w:rPr>
        <w:t xml:space="preserve"> emission estimates for Armagh City, Banbridge and Craigavon Borough and Northern Ireland 2010 to 2020. Source: </w:t>
      </w:r>
      <w:r w:rsidR="00C6515D" w:rsidRPr="0063391F">
        <w:rPr>
          <w:rFonts w:cstheme="minorHAnsi"/>
          <w:i/>
          <w:sz w:val="20"/>
          <w:szCs w:val="20"/>
          <w:shd w:val="clear" w:color="auto" w:fill="FFFFFF"/>
        </w:rPr>
        <w:t>Local Authority territorial carbon dioxide (CO2) emissions estimates 2005-2020 (</w:t>
      </w:r>
      <w:proofErr w:type="spellStart"/>
      <w:r w:rsidR="00C6515D" w:rsidRPr="0063391F">
        <w:rPr>
          <w:rFonts w:cstheme="minorHAnsi"/>
          <w:i/>
          <w:sz w:val="20"/>
          <w:szCs w:val="20"/>
          <w:shd w:val="clear" w:color="auto" w:fill="FFFFFF"/>
        </w:rPr>
        <w:t>kt</w:t>
      </w:r>
      <w:proofErr w:type="spellEnd"/>
      <w:r w:rsidR="00C6515D" w:rsidRPr="0063391F">
        <w:rPr>
          <w:rFonts w:cstheme="minorHAnsi"/>
          <w:i/>
          <w:sz w:val="20"/>
          <w:szCs w:val="20"/>
          <w:shd w:val="clear" w:color="auto" w:fill="FFFFFF"/>
        </w:rPr>
        <w:t xml:space="preserve"> CO2e)</w:t>
      </w:r>
      <w:r w:rsidR="00C6515D" w:rsidRPr="0063391F">
        <w:rPr>
          <w:i/>
          <w:sz w:val="20"/>
          <w:szCs w:val="20"/>
        </w:rPr>
        <w:t>, Department for Business, Energy and Industrial Strategy.</w:t>
      </w:r>
    </w:p>
    <w:p w:rsidR="00C6515D" w:rsidRDefault="00C6515D">
      <w:pPr>
        <w:rPr>
          <w:i/>
          <w:sz w:val="20"/>
          <w:szCs w:val="20"/>
        </w:rPr>
      </w:pPr>
    </w:p>
    <w:p w:rsidR="00C6515D" w:rsidRDefault="00445B69">
      <w:pPr>
        <w:rPr>
          <w:i/>
          <w:sz w:val="20"/>
          <w:szCs w:val="20"/>
        </w:rPr>
      </w:pPr>
      <w:r>
        <w:t>The table below shows</w:t>
      </w:r>
      <w:r w:rsidR="00C6515D">
        <w:t xml:space="preserve"> how annual CO</w:t>
      </w:r>
      <w:r w:rsidR="00C6515D" w:rsidRPr="00E4177D">
        <w:rPr>
          <w:vertAlign w:val="subscript"/>
        </w:rPr>
        <w:t>2</w:t>
      </w:r>
      <w:r w:rsidR="00C6515D">
        <w:t xml:space="preserve"> emissions per capita compare between 20</w:t>
      </w:r>
      <w:r>
        <w:t>10</w:t>
      </w:r>
      <w:r w:rsidR="00C6515D">
        <w:t xml:space="preserve"> and 2020 in </w:t>
      </w:r>
      <w:r>
        <w:t>Armagh City, Banbridge and Craigavon Borough and Northern Ireland</w:t>
      </w:r>
      <w:r w:rsidR="00C6515D">
        <w:t xml:space="preserve">. </w:t>
      </w:r>
      <w:r>
        <w:t xml:space="preserve"> </w:t>
      </w:r>
      <w:r w:rsidR="00E4177D">
        <w:t>Per Capita e</w:t>
      </w:r>
      <w:r w:rsidR="00E4177D" w:rsidRPr="00E4177D">
        <w:t>missions have decreased in both the borough and Northern Ireland overall</w:t>
      </w:r>
      <w:r w:rsidR="00E4177D">
        <w:t xml:space="preserve"> however emissions in the borough are still higher in 2020 in per capita terms than they were in Northern Ireland in 2010.  As per Figure 2</w:t>
      </w:r>
      <w:r w:rsidR="00065AA6">
        <w:t xml:space="preserve">, Armagh City, Banbridge and Craigavon Borough Council has one of the highest per capita emission rates of all LGD’s in Northern Ireland while Belfast has the lowest.  </w:t>
      </w:r>
    </w:p>
    <w:tbl>
      <w:tblPr>
        <w:tblStyle w:val="GridTable1Light"/>
        <w:tblW w:w="6941" w:type="dxa"/>
        <w:tblLook w:val="04A0" w:firstRow="1" w:lastRow="0" w:firstColumn="1" w:lastColumn="0" w:noHBand="0" w:noVBand="1"/>
        <w:tblCaption w:val="Table 2: CO2 per capita emission estimates for Armagh City, Banbridge and Craigavon Borough and Northern Ireland 2010 to 2020. Source: Local Authority territorial carbon dioxide (CO2) emissions estimates 2005-2020 (kt CO2e), Department for Business, Energy and Industrial Strategy."/>
      </w:tblPr>
      <w:tblGrid>
        <w:gridCol w:w="1360"/>
        <w:gridCol w:w="2746"/>
        <w:gridCol w:w="2835"/>
      </w:tblGrid>
      <w:tr w:rsidR="00C6515D" w:rsidRPr="00C6515D" w:rsidTr="00540959">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1360" w:type="dxa"/>
            <w:hideMark/>
          </w:tcPr>
          <w:p w:rsidR="00C6515D" w:rsidRPr="00C6515D" w:rsidRDefault="00C6515D" w:rsidP="00C6515D">
            <w:pPr>
              <w:rPr>
                <w:rFonts w:eastAsia="Times New Roman" w:cstheme="minorHAnsi"/>
                <w:color w:val="000000"/>
                <w:lang w:eastAsia="en-GB"/>
              </w:rPr>
            </w:pPr>
            <w:bookmarkStart w:id="0" w:name="_GoBack" w:colFirst="1" w:colLast="1"/>
            <w:r w:rsidRPr="00C6515D">
              <w:rPr>
                <w:rFonts w:eastAsia="Times New Roman" w:cstheme="minorHAnsi"/>
                <w:color w:val="000000"/>
                <w:lang w:eastAsia="en-GB"/>
              </w:rPr>
              <w:t> </w:t>
            </w:r>
          </w:p>
        </w:tc>
        <w:tc>
          <w:tcPr>
            <w:tcW w:w="5581" w:type="dxa"/>
            <w:gridSpan w:val="2"/>
            <w:noWrap/>
            <w:hideMark/>
          </w:tcPr>
          <w:p w:rsidR="00C6515D" w:rsidRPr="00C6515D" w:rsidRDefault="00C6515D" w:rsidP="00C651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C6515D">
              <w:rPr>
                <w:rFonts w:eastAsia="Times New Roman" w:cstheme="minorHAnsi"/>
                <w:color w:val="000000"/>
                <w:lang w:eastAsia="en-GB"/>
              </w:rPr>
              <w:t>CO</w:t>
            </w:r>
            <w:r w:rsidRPr="00C6515D">
              <w:rPr>
                <w:rFonts w:eastAsia="Times New Roman" w:cstheme="minorHAnsi"/>
                <w:color w:val="000000"/>
                <w:vertAlign w:val="subscript"/>
                <w:lang w:eastAsia="en-GB"/>
              </w:rPr>
              <w:t xml:space="preserve">2 </w:t>
            </w:r>
            <w:r w:rsidRPr="00C6515D">
              <w:rPr>
                <w:rFonts w:eastAsia="Times New Roman" w:cstheme="minorHAnsi"/>
                <w:color w:val="000000"/>
                <w:lang w:eastAsia="en-GB"/>
              </w:rPr>
              <w:t>Per Capita Emission Estimates (tCO2e)</w:t>
            </w:r>
          </w:p>
        </w:tc>
      </w:tr>
      <w:bookmarkEnd w:id="0"/>
      <w:tr w:rsidR="00C6515D" w:rsidRPr="00C6515D" w:rsidTr="00E4177D">
        <w:trPr>
          <w:trHeight w:val="576"/>
        </w:trPr>
        <w:tc>
          <w:tcPr>
            <w:cnfStyle w:val="001000000000" w:firstRow="0" w:lastRow="0" w:firstColumn="1" w:lastColumn="0" w:oddVBand="0" w:evenVBand="0" w:oddHBand="0" w:evenHBand="0" w:firstRowFirstColumn="0" w:firstRowLastColumn="0" w:lastRowFirstColumn="0" w:lastRowLastColumn="0"/>
            <w:tcW w:w="1360" w:type="dxa"/>
            <w:hideMark/>
          </w:tcPr>
          <w:p w:rsidR="00C6515D" w:rsidRPr="00C6515D" w:rsidRDefault="00C6515D" w:rsidP="00C6515D">
            <w:pPr>
              <w:rPr>
                <w:rFonts w:eastAsia="Times New Roman" w:cstheme="minorHAnsi"/>
                <w:color w:val="000000"/>
                <w:lang w:eastAsia="en-GB"/>
              </w:rPr>
            </w:pPr>
            <w:r w:rsidRPr="00C6515D">
              <w:rPr>
                <w:rFonts w:eastAsia="Times New Roman" w:cstheme="minorHAnsi"/>
                <w:color w:val="000000"/>
                <w:lang w:eastAsia="en-GB"/>
              </w:rPr>
              <w:t> </w:t>
            </w:r>
          </w:p>
        </w:tc>
        <w:tc>
          <w:tcPr>
            <w:tcW w:w="2746" w:type="dxa"/>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n-GB"/>
              </w:rPr>
            </w:pPr>
            <w:r w:rsidRPr="00C6515D">
              <w:rPr>
                <w:rFonts w:eastAsia="Times New Roman" w:cstheme="minorHAnsi"/>
                <w:b/>
                <w:bCs/>
                <w:color w:val="000000"/>
                <w:lang w:eastAsia="en-GB"/>
              </w:rPr>
              <w:t>Armagh City, Banbridge and Craigavon</w:t>
            </w:r>
          </w:p>
        </w:tc>
        <w:tc>
          <w:tcPr>
            <w:tcW w:w="2835" w:type="dxa"/>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n-GB"/>
              </w:rPr>
            </w:pPr>
            <w:r w:rsidRPr="00C6515D">
              <w:rPr>
                <w:rFonts w:eastAsia="Times New Roman" w:cstheme="minorHAnsi"/>
                <w:b/>
                <w:bCs/>
                <w:color w:val="000000"/>
                <w:lang w:eastAsia="en-GB"/>
              </w:rPr>
              <w:t>Northern Ireland</w:t>
            </w:r>
          </w:p>
        </w:tc>
      </w:tr>
      <w:tr w:rsidR="00C6515D" w:rsidRPr="00C6515D" w:rsidTr="00E4177D">
        <w:trPr>
          <w:trHeight w:val="312"/>
        </w:trPr>
        <w:tc>
          <w:tcPr>
            <w:cnfStyle w:val="001000000000" w:firstRow="0" w:lastRow="0" w:firstColumn="1" w:lastColumn="0" w:oddVBand="0" w:evenVBand="0" w:oddHBand="0" w:evenHBand="0" w:firstRowFirstColumn="0" w:firstRowLastColumn="0" w:lastRowFirstColumn="0" w:lastRowLastColumn="0"/>
            <w:tcW w:w="1360" w:type="dxa"/>
            <w:noWrap/>
            <w:hideMark/>
          </w:tcPr>
          <w:p w:rsidR="00C6515D" w:rsidRPr="00C6515D" w:rsidRDefault="00C6515D" w:rsidP="00C6515D">
            <w:pPr>
              <w:jc w:val="right"/>
              <w:rPr>
                <w:rFonts w:eastAsia="Times New Roman" w:cstheme="minorHAnsi"/>
                <w:color w:val="000000"/>
                <w:lang w:eastAsia="en-GB"/>
              </w:rPr>
            </w:pPr>
            <w:r w:rsidRPr="00C6515D">
              <w:rPr>
                <w:rFonts w:eastAsia="Times New Roman" w:cstheme="minorHAnsi"/>
                <w:color w:val="000000"/>
                <w:lang w:eastAsia="en-GB"/>
              </w:rPr>
              <w:t>2010</w:t>
            </w:r>
          </w:p>
        </w:tc>
        <w:tc>
          <w:tcPr>
            <w:tcW w:w="2746"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15.4</w:t>
            </w:r>
          </w:p>
        </w:tc>
        <w:tc>
          <w:tcPr>
            <w:tcW w:w="2835"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10.8</w:t>
            </w:r>
          </w:p>
        </w:tc>
      </w:tr>
      <w:tr w:rsidR="00C6515D" w:rsidRPr="00C6515D" w:rsidTr="00E4177D">
        <w:trPr>
          <w:trHeight w:val="312"/>
        </w:trPr>
        <w:tc>
          <w:tcPr>
            <w:cnfStyle w:val="001000000000" w:firstRow="0" w:lastRow="0" w:firstColumn="1" w:lastColumn="0" w:oddVBand="0" w:evenVBand="0" w:oddHBand="0" w:evenHBand="0" w:firstRowFirstColumn="0" w:firstRowLastColumn="0" w:lastRowFirstColumn="0" w:lastRowLastColumn="0"/>
            <w:tcW w:w="1360" w:type="dxa"/>
            <w:noWrap/>
            <w:hideMark/>
          </w:tcPr>
          <w:p w:rsidR="00C6515D" w:rsidRPr="00C6515D" w:rsidRDefault="00C6515D" w:rsidP="00C6515D">
            <w:pPr>
              <w:jc w:val="right"/>
              <w:rPr>
                <w:rFonts w:eastAsia="Times New Roman" w:cstheme="minorHAnsi"/>
                <w:color w:val="000000"/>
                <w:lang w:eastAsia="en-GB"/>
              </w:rPr>
            </w:pPr>
            <w:r w:rsidRPr="00C6515D">
              <w:rPr>
                <w:rFonts w:eastAsia="Times New Roman" w:cstheme="minorHAnsi"/>
                <w:color w:val="000000"/>
                <w:lang w:eastAsia="en-GB"/>
              </w:rPr>
              <w:t>2011</w:t>
            </w:r>
          </w:p>
        </w:tc>
        <w:tc>
          <w:tcPr>
            <w:tcW w:w="2746"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13.8</w:t>
            </w:r>
          </w:p>
        </w:tc>
        <w:tc>
          <w:tcPr>
            <w:tcW w:w="2835"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9.9</w:t>
            </w:r>
          </w:p>
        </w:tc>
      </w:tr>
      <w:tr w:rsidR="00C6515D" w:rsidRPr="00C6515D" w:rsidTr="00E4177D">
        <w:trPr>
          <w:trHeight w:val="312"/>
        </w:trPr>
        <w:tc>
          <w:tcPr>
            <w:cnfStyle w:val="001000000000" w:firstRow="0" w:lastRow="0" w:firstColumn="1" w:lastColumn="0" w:oddVBand="0" w:evenVBand="0" w:oddHBand="0" w:evenHBand="0" w:firstRowFirstColumn="0" w:firstRowLastColumn="0" w:lastRowFirstColumn="0" w:lastRowLastColumn="0"/>
            <w:tcW w:w="1360" w:type="dxa"/>
            <w:noWrap/>
            <w:hideMark/>
          </w:tcPr>
          <w:p w:rsidR="00C6515D" w:rsidRPr="00C6515D" w:rsidRDefault="00C6515D" w:rsidP="00C6515D">
            <w:pPr>
              <w:jc w:val="right"/>
              <w:rPr>
                <w:rFonts w:eastAsia="Times New Roman" w:cstheme="minorHAnsi"/>
                <w:color w:val="000000"/>
                <w:lang w:eastAsia="en-GB"/>
              </w:rPr>
            </w:pPr>
            <w:r w:rsidRPr="00C6515D">
              <w:rPr>
                <w:rFonts w:eastAsia="Times New Roman" w:cstheme="minorHAnsi"/>
                <w:color w:val="000000"/>
                <w:lang w:eastAsia="en-GB"/>
              </w:rPr>
              <w:t>2012</w:t>
            </w:r>
          </w:p>
        </w:tc>
        <w:tc>
          <w:tcPr>
            <w:tcW w:w="2746"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12.9</w:t>
            </w:r>
          </w:p>
        </w:tc>
        <w:tc>
          <w:tcPr>
            <w:tcW w:w="2835"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9.8</w:t>
            </w:r>
          </w:p>
        </w:tc>
      </w:tr>
      <w:tr w:rsidR="00C6515D" w:rsidRPr="00C6515D" w:rsidTr="00E4177D">
        <w:trPr>
          <w:trHeight w:val="312"/>
        </w:trPr>
        <w:tc>
          <w:tcPr>
            <w:cnfStyle w:val="001000000000" w:firstRow="0" w:lastRow="0" w:firstColumn="1" w:lastColumn="0" w:oddVBand="0" w:evenVBand="0" w:oddHBand="0" w:evenHBand="0" w:firstRowFirstColumn="0" w:firstRowLastColumn="0" w:lastRowFirstColumn="0" w:lastRowLastColumn="0"/>
            <w:tcW w:w="1360" w:type="dxa"/>
            <w:noWrap/>
            <w:hideMark/>
          </w:tcPr>
          <w:p w:rsidR="00C6515D" w:rsidRPr="00C6515D" w:rsidRDefault="00C6515D" w:rsidP="00C6515D">
            <w:pPr>
              <w:jc w:val="right"/>
              <w:rPr>
                <w:rFonts w:eastAsia="Times New Roman" w:cstheme="minorHAnsi"/>
                <w:color w:val="000000"/>
                <w:lang w:eastAsia="en-GB"/>
              </w:rPr>
            </w:pPr>
            <w:r w:rsidRPr="00C6515D">
              <w:rPr>
                <w:rFonts w:eastAsia="Times New Roman" w:cstheme="minorHAnsi"/>
                <w:color w:val="000000"/>
                <w:lang w:eastAsia="en-GB"/>
              </w:rPr>
              <w:t>2013</w:t>
            </w:r>
          </w:p>
        </w:tc>
        <w:tc>
          <w:tcPr>
            <w:tcW w:w="2746"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12.6</w:t>
            </w:r>
          </w:p>
        </w:tc>
        <w:tc>
          <w:tcPr>
            <w:tcW w:w="2835"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9.6</w:t>
            </w:r>
          </w:p>
        </w:tc>
      </w:tr>
      <w:tr w:rsidR="00C6515D" w:rsidRPr="00C6515D" w:rsidTr="00E4177D">
        <w:trPr>
          <w:trHeight w:val="312"/>
        </w:trPr>
        <w:tc>
          <w:tcPr>
            <w:cnfStyle w:val="001000000000" w:firstRow="0" w:lastRow="0" w:firstColumn="1" w:lastColumn="0" w:oddVBand="0" w:evenVBand="0" w:oddHBand="0" w:evenHBand="0" w:firstRowFirstColumn="0" w:firstRowLastColumn="0" w:lastRowFirstColumn="0" w:lastRowLastColumn="0"/>
            <w:tcW w:w="1360" w:type="dxa"/>
            <w:noWrap/>
            <w:hideMark/>
          </w:tcPr>
          <w:p w:rsidR="00C6515D" w:rsidRPr="00C6515D" w:rsidRDefault="00C6515D" w:rsidP="00C6515D">
            <w:pPr>
              <w:jc w:val="right"/>
              <w:rPr>
                <w:rFonts w:eastAsia="Times New Roman" w:cstheme="minorHAnsi"/>
                <w:color w:val="000000"/>
                <w:lang w:eastAsia="en-GB"/>
              </w:rPr>
            </w:pPr>
            <w:r w:rsidRPr="00C6515D">
              <w:rPr>
                <w:rFonts w:eastAsia="Times New Roman" w:cstheme="minorHAnsi"/>
                <w:color w:val="000000"/>
                <w:lang w:eastAsia="en-GB"/>
              </w:rPr>
              <w:t>2014</w:t>
            </w:r>
          </w:p>
        </w:tc>
        <w:tc>
          <w:tcPr>
            <w:tcW w:w="2746"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12.6</w:t>
            </w:r>
          </w:p>
        </w:tc>
        <w:tc>
          <w:tcPr>
            <w:tcW w:w="2835"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9.3</w:t>
            </w:r>
          </w:p>
        </w:tc>
      </w:tr>
      <w:tr w:rsidR="00C6515D" w:rsidRPr="00C6515D" w:rsidTr="00E4177D">
        <w:trPr>
          <w:trHeight w:val="312"/>
        </w:trPr>
        <w:tc>
          <w:tcPr>
            <w:cnfStyle w:val="001000000000" w:firstRow="0" w:lastRow="0" w:firstColumn="1" w:lastColumn="0" w:oddVBand="0" w:evenVBand="0" w:oddHBand="0" w:evenHBand="0" w:firstRowFirstColumn="0" w:firstRowLastColumn="0" w:lastRowFirstColumn="0" w:lastRowLastColumn="0"/>
            <w:tcW w:w="1360" w:type="dxa"/>
            <w:noWrap/>
            <w:hideMark/>
          </w:tcPr>
          <w:p w:rsidR="00C6515D" w:rsidRPr="00C6515D" w:rsidRDefault="00C6515D" w:rsidP="00C6515D">
            <w:pPr>
              <w:jc w:val="right"/>
              <w:rPr>
                <w:rFonts w:eastAsia="Times New Roman" w:cstheme="minorHAnsi"/>
                <w:color w:val="000000"/>
                <w:lang w:eastAsia="en-GB"/>
              </w:rPr>
            </w:pPr>
            <w:r w:rsidRPr="00C6515D">
              <w:rPr>
                <w:rFonts w:eastAsia="Times New Roman" w:cstheme="minorHAnsi"/>
                <w:color w:val="000000"/>
                <w:lang w:eastAsia="en-GB"/>
              </w:rPr>
              <w:t>2015</w:t>
            </w:r>
          </w:p>
        </w:tc>
        <w:tc>
          <w:tcPr>
            <w:tcW w:w="2746"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12.4</w:t>
            </w:r>
          </w:p>
        </w:tc>
        <w:tc>
          <w:tcPr>
            <w:tcW w:w="2835"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8.9</w:t>
            </w:r>
          </w:p>
        </w:tc>
      </w:tr>
      <w:tr w:rsidR="00C6515D" w:rsidRPr="00C6515D" w:rsidTr="00E4177D">
        <w:trPr>
          <w:trHeight w:val="312"/>
        </w:trPr>
        <w:tc>
          <w:tcPr>
            <w:cnfStyle w:val="001000000000" w:firstRow="0" w:lastRow="0" w:firstColumn="1" w:lastColumn="0" w:oddVBand="0" w:evenVBand="0" w:oddHBand="0" w:evenHBand="0" w:firstRowFirstColumn="0" w:firstRowLastColumn="0" w:lastRowFirstColumn="0" w:lastRowLastColumn="0"/>
            <w:tcW w:w="1360" w:type="dxa"/>
            <w:noWrap/>
            <w:hideMark/>
          </w:tcPr>
          <w:p w:rsidR="00C6515D" w:rsidRPr="00C6515D" w:rsidRDefault="00C6515D" w:rsidP="00C6515D">
            <w:pPr>
              <w:jc w:val="right"/>
              <w:rPr>
                <w:rFonts w:eastAsia="Times New Roman" w:cstheme="minorHAnsi"/>
                <w:color w:val="000000"/>
                <w:lang w:eastAsia="en-GB"/>
              </w:rPr>
            </w:pPr>
            <w:r w:rsidRPr="00C6515D">
              <w:rPr>
                <w:rFonts w:eastAsia="Times New Roman" w:cstheme="minorHAnsi"/>
                <w:color w:val="000000"/>
                <w:lang w:eastAsia="en-GB"/>
              </w:rPr>
              <w:t>2016</w:t>
            </w:r>
          </w:p>
        </w:tc>
        <w:tc>
          <w:tcPr>
            <w:tcW w:w="2746"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12.2</w:t>
            </w:r>
          </w:p>
        </w:tc>
        <w:tc>
          <w:tcPr>
            <w:tcW w:w="2835"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8.7</w:t>
            </w:r>
          </w:p>
        </w:tc>
      </w:tr>
      <w:tr w:rsidR="00C6515D" w:rsidRPr="00C6515D" w:rsidTr="00E4177D">
        <w:trPr>
          <w:trHeight w:val="288"/>
        </w:trPr>
        <w:tc>
          <w:tcPr>
            <w:cnfStyle w:val="001000000000" w:firstRow="0" w:lastRow="0" w:firstColumn="1" w:lastColumn="0" w:oddVBand="0" w:evenVBand="0" w:oddHBand="0" w:evenHBand="0" w:firstRowFirstColumn="0" w:firstRowLastColumn="0" w:lastRowFirstColumn="0" w:lastRowLastColumn="0"/>
            <w:tcW w:w="1360" w:type="dxa"/>
            <w:noWrap/>
            <w:hideMark/>
          </w:tcPr>
          <w:p w:rsidR="00C6515D" w:rsidRPr="00C6515D" w:rsidRDefault="00C6515D" w:rsidP="00C6515D">
            <w:pPr>
              <w:jc w:val="right"/>
              <w:rPr>
                <w:rFonts w:eastAsia="Times New Roman" w:cstheme="minorHAnsi"/>
                <w:color w:val="000000"/>
                <w:lang w:eastAsia="en-GB"/>
              </w:rPr>
            </w:pPr>
            <w:r w:rsidRPr="00C6515D">
              <w:rPr>
                <w:rFonts w:eastAsia="Times New Roman" w:cstheme="minorHAnsi"/>
                <w:color w:val="000000"/>
                <w:lang w:eastAsia="en-GB"/>
              </w:rPr>
              <w:t>2017</w:t>
            </w:r>
          </w:p>
        </w:tc>
        <w:tc>
          <w:tcPr>
            <w:tcW w:w="2746"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12.1</w:t>
            </w:r>
          </w:p>
        </w:tc>
        <w:tc>
          <w:tcPr>
            <w:tcW w:w="2835"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8.5</w:t>
            </w:r>
          </w:p>
        </w:tc>
      </w:tr>
      <w:tr w:rsidR="00C6515D" w:rsidRPr="00C6515D" w:rsidTr="00E4177D">
        <w:trPr>
          <w:trHeight w:val="288"/>
        </w:trPr>
        <w:tc>
          <w:tcPr>
            <w:cnfStyle w:val="001000000000" w:firstRow="0" w:lastRow="0" w:firstColumn="1" w:lastColumn="0" w:oddVBand="0" w:evenVBand="0" w:oddHBand="0" w:evenHBand="0" w:firstRowFirstColumn="0" w:firstRowLastColumn="0" w:lastRowFirstColumn="0" w:lastRowLastColumn="0"/>
            <w:tcW w:w="1360" w:type="dxa"/>
            <w:noWrap/>
            <w:hideMark/>
          </w:tcPr>
          <w:p w:rsidR="00C6515D" w:rsidRPr="00C6515D" w:rsidRDefault="00C6515D" w:rsidP="00C6515D">
            <w:pPr>
              <w:jc w:val="right"/>
              <w:rPr>
                <w:rFonts w:eastAsia="Times New Roman" w:cstheme="minorHAnsi"/>
                <w:color w:val="000000"/>
                <w:lang w:eastAsia="en-GB"/>
              </w:rPr>
            </w:pPr>
            <w:r w:rsidRPr="00C6515D">
              <w:rPr>
                <w:rFonts w:eastAsia="Times New Roman" w:cstheme="minorHAnsi"/>
                <w:color w:val="000000"/>
                <w:lang w:eastAsia="en-GB"/>
              </w:rPr>
              <w:t>2018</w:t>
            </w:r>
          </w:p>
        </w:tc>
        <w:tc>
          <w:tcPr>
            <w:tcW w:w="2746"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11.7</w:t>
            </w:r>
          </w:p>
        </w:tc>
        <w:tc>
          <w:tcPr>
            <w:tcW w:w="2835"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8.3</w:t>
            </w:r>
          </w:p>
        </w:tc>
      </w:tr>
      <w:tr w:rsidR="00C6515D" w:rsidRPr="00C6515D" w:rsidTr="00E4177D">
        <w:trPr>
          <w:trHeight w:val="288"/>
        </w:trPr>
        <w:tc>
          <w:tcPr>
            <w:cnfStyle w:val="001000000000" w:firstRow="0" w:lastRow="0" w:firstColumn="1" w:lastColumn="0" w:oddVBand="0" w:evenVBand="0" w:oddHBand="0" w:evenHBand="0" w:firstRowFirstColumn="0" w:firstRowLastColumn="0" w:lastRowFirstColumn="0" w:lastRowLastColumn="0"/>
            <w:tcW w:w="1360" w:type="dxa"/>
            <w:noWrap/>
            <w:hideMark/>
          </w:tcPr>
          <w:p w:rsidR="00C6515D" w:rsidRPr="00C6515D" w:rsidRDefault="00C6515D" w:rsidP="00C6515D">
            <w:pPr>
              <w:jc w:val="right"/>
              <w:rPr>
                <w:rFonts w:eastAsia="Times New Roman" w:cstheme="minorHAnsi"/>
                <w:color w:val="000000"/>
                <w:lang w:eastAsia="en-GB"/>
              </w:rPr>
            </w:pPr>
            <w:r w:rsidRPr="00C6515D">
              <w:rPr>
                <w:rFonts w:eastAsia="Times New Roman" w:cstheme="minorHAnsi"/>
                <w:color w:val="000000"/>
                <w:lang w:eastAsia="en-GB"/>
              </w:rPr>
              <w:t>2019</w:t>
            </w:r>
          </w:p>
        </w:tc>
        <w:tc>
          <w:tcPr>
            <w:tcW w:w="2746"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10.8</w:t>
            </w:r>
          </w:p>
        </w:tc>
        <w:tc>
          <w:tcPr>
            <w:tcW w:w="2835"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7.8</w:t>
            </w:r>
          </w:p>
        </w:tc>
      </w:tr>
      <w:tr w:rsidR="00C6515D" w:rsidRPr="00C6515D" w:rsidTr="00E4177D">
        <w:trPr>
          <w:trHeight w:val="288"/>
        </w:trPr>
        <w:tc>
          <w:tcPr>
            <w:cnfStyle w:val="001000000000" w:firstRow="0" w:lastRow="0" w:firstColumn="1" w:lastColumn="0" w:oddVBand="0" w:evenVBand="0" w:oddHBand="0" w:evenHBand="0" w:firstRowFirstColumn="0" w:firstRowLastColumn="0" w:lastRowFirstColumn="0" w:lastRowLastColumn="0"/>
            <w:tcW w:w="1360" w:type="dxa"/>
            <w:noWrap/>
            <w:hideMark/>
          </w:tcPr>
          <w:p w:rsidR="00C6515D" w:rsidRPr="00C6515D" w:rsidRDefault="00C6515D" w:rsidP="00C6515D">
            <w:pPr>
              <w:jc w:val="right"/>
              <w:rPr>
                <w:rFonts w:eastAsia="Times New Roman" w:cstheme="minorHAnsi"/>
                <w:color w:val="000000"/>
                <w:lang w:eastAsia="en-GB"/>
              </w:rPr>
            </w:pPr>
            <w:r w:rsidRPr="00C6515D">
              <w:rPr>
                <w:rFonts w:eastAsia="Times New Roman" w:cstheme="minorHAnsi"/>
                <w:color w:val="000000"/>
                <w:lang w:eastAsia="en-GB"/>
              </w:rPr>
              <w:t>2020</w:t>
            </w:r>
          </w:p>
        </w:tc>
        <w:tc>
          <w:tcPr>
            <w:tcW w:w="2746"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11.2</w:t>
            </w:r>
          </w:p>
        </w:tc>
        <w:tc>
          <w:tcPr>
            <w:tcW w:w="2835" w:type="dxa"/>
            <w:noWrap/>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6515D">
              <w:rPr>
                <w:rFonts w:eastAsia="Times New Roman" w:cstheme="minorHAnsi"/>
                <w:lang w:eastAsia="en-GB"/>
              </w:rPr>
              <w:t>7.7</w:t>
            </w:r>
          </w:p>
        </w:tc>
      </w:tr>
    </w:tbl>
    <w:p w:rsidR="00065AA6" w:rsidRDefault="00C6515D" w:rsidP="00C6515D">
      <w:pPr>
        <w:rPr>
          <w:i/>
          <w:sz w:val="20"/>
          <w:szCs w:val="20"/>
        </w:rPr>
      </w:pPr>
      <w:r w:rsidRPr="0063391F">
        <w:rPr>
          <w:i/>
          <w:sz w:val="20"/>
          <w:szCs w:val="20"/>
        </w:rPr>
        <w:t>Table 2: CO</w:t>
      </w:r>
      <w:r w:rsidRPr="0063391F">
        <w:rPr>
          <w:i/>
          <w:sz w:val="20"/>
          <w:szCs w:val="20"/>
          <w:vertAlign w:val="subscript"/>
        </w:rPr>
        <w:t>2</w:t>
      </w:r>
      <w:r w:rsidRPr="0063391F">
        <w:rPr>
          <w:i/>
          <w:sz w:val="20"/>
          <w:szCs w:val="20"/>
        </w:rPr>
        <w:t xml:space="preserve"> per capita emission estimates for Armagh City, Banbridge and Craigavon Borough and Northern Ireland 2010 to 2020. Source: </w:t>
      </w:r>
      <w:r w:rsidRPr="0063391F">
        <w:rPr>
          <w:rFonts w:cstheme="minorHAnsi"/>
          <w:i/>
          <w:sz w:val="20"/>
          <w:szCs w:val="20"/>
          <w:shd w:val="clear" w:color="auto" w:fill="FFFFFF"/>
        </w:rPr>
        <w:t>Local Authority territorial carbon dioxide (CO2) emissions estimates 2005-2020 (</w:t>
      </w:r>
      <w:proofErr w:type="spellStart"/>
      <w:r w:rsidRPr="0063391F">
        <w:rPr>
          <w:rFonts w:cstheme="minorHAnsi"/>
          <w:i/>
          <w:sz w:val="20"/>
          <w:szCs w:val="20"/>
          <w:shd w:val="clear" w:color="auto" w:fill="FFFFFF"/>
        </w:rPr>
        <w:t>kt</w:t>
      </w:r>
      <w:proofErr w:type="spellEnd"/>
      <w:r w:rsidRPr="0063391F">
        <w:rPr>
          <w:rFonts w:cstheme="minorHAnsi"/>
          <w:i/>
          <w:sz w:val="20"/>
          <w:szCs w:val="20"/>
          <w:shd w:val="clear" w:color="auto" w:fill="FFFFFF"/>
        </w:rPr>
        <w:t xml:space="preserve"> CO2e)</w:t>
      </w:r>
      <w:r w:rsidRPr="0063391F">
        <w:rPr>
          <w:i/>
          <w:sz w:val="20"/>
          <w:szCs w:val="20"/>
        </w:rPr>
        <w:t>, Department for Business, Energy and Industrial Strategy.</w:t>
      </w:r>
    </w:p>
    <w:p w:rsidR="0063391F" w:rsidRDefault="0063391F" w:rsidP="00C6515D">
      <w:pPr>
        <w:rPr>
          <w:i/>
          <w:sz w:val="20"/>
          <w:szCs w:val="20"/>
        </w:rPr>
      </w:pPr>
    </w:p>
    <w:p w:rsidR="00445B69" w:rsidRDefault="00065AA6" w:rsidP="00445B69">
      <w:pPr>
        <w:rPr>
          <w:i/>
          <w:sz w:val="20"/>
          <w:szCs w:val="20"/>
        </w:rPr>
      </w:pPr>
      <w:r>
        <w:rPr>
          <w:noProof/>
          <w:lang w:eastAsia="en-GB"/>
        </w:rPr>
        <w:lastRenderedPageBreak/>
        <w:drawing>
          <wp:inline distT="0" distB="0" distL="0" distR="0" wp14:anchorId="75B3A8D0" wp14:editId="08601845">
            <wp:extent cx="5562600" cy="3059430"/>
            <wp:effectExtent l="0" t="0" r="0" b="7620"/>
            <wp:docPr id="4" name="Chart 4" title="Figure 2: CO2 per capita emission estimates by LGD and Northern Ireland 2010 to 2020. Source: Local Authority territorial carbon dioxide (CO2) emissions estimates 2005-2020 (kt CO2e), Department for Business, Energy and Industrial Strategy."/>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45B69" w:rsidRPr="0063391F">
        <w:rPr>
          <w:i/>
          <w:sz w:val="20"/>
          <w:szCs w:val="20"/>
        </w:rPr>
        <w:t>Figure 2: CO</w:t>
      </w:r>
      <w:r w:rsidR="00445B69" w:rsidRPr="0063391F">
        <w:rPr>
          <w:i/>
          <w:sz w:val="20"/>
          <w:szCs w:val="20"/>
          <w:vertAlign w:val="subscript"/>
        </w:rPr>
        <w:t>2</w:t>
      </w:r>
      <w:r w:rsidR="00445B69" w:rsidRPr="0063391F">
        <w:rPr>
          <w:i/>
          <w:sz w:val="20"/>
          <w:szCs w:val="20"/>
        </w:rPr>
        <w:t xml:space="preserve"> per capita emission estimates </w:t>
      </w:r>
      <w:r w:rsidRPr="0063391F">
        <w:rPr>
          <w:i/>
          <w:sz w:val="20"/>
          <w:szCs w:val="20"/>
        </w:rPr>
        <w:t>by LGD</w:t>
      </w:r>
      <w:r w:rsidR="00445B69" w:rsidRPr="0063391F">
        <w:rPr>
          <w:i/>
          <w:sz w:val="20"/>
          <w:szCs w:val="20"/>
        </w:rPr>
        <w:t xml:space="preserve"> and Northern Ireland 2010 to 2020. Source: </w:t>
      </w:r>
      <w:r w:rsidR="00445B69" w:rsidRPr="0063391F">
        <w:rPr>
          <w:rFonts w:cstheme="minorHAnsi"/>
          <w:i/>
          <w:sz w:val="20"/>
          <w:szCs w:val="20"/>
          <w:shd w:val="clear" w:color="auto" w:fill="FFFFFF"/>
        </w:rPr>
        <w:t>Local Authority territorial carbon dioxide (CO2) emissions estimates 2005-2020 (</w:t>
      </w:r>
      <w:proofErr w:type="spellStart"/>
      <w:r w:rsidR="00445B69" w:rsidRPr="0063391F">
        <w:rPr>
          <w:rFonts w:cstheme="minorHAnsi"/>
          <w:i/>
          <w:sz w:val="20"/>
          <w:szCs w:val="20"/>
          <w:shd w:val="clear" w:color="auto" w:fill="FFFFFF"/>
        </w:rPr>
        <w:t>kt</w:t>
      </w:r>
      <w:proofErr w:type="spellEnd"/>
      <w:r w:rsidR="00445B69" w:rsidRPr="0063391F">
        <w:rPr>
          <w:rFonts w:cstheme="minorHAnsi"/>
          <w:i/>
          <w:sz w:val="20"/>
          <w:szCs w:val="20"/>
          <w:shd w:val="clear" w:color="auto" w:fill="FFFFFF"/>
        </w:rPr>
        <w:t xml:space="preserve"> CO2e)</w:t>
      </w:r>
      <w:r w:rsidR="00445B69" w:rsidRPr="0063391F">
        <w:rPr>
          <w:i/>
          <w:sz w:val="20"/>
          <w:szCs w:val="20"/>
        </w:rPr>
        <w:t>, Department for Business, Energy and Industrial Strategy.</w:t>
      </w:r>
    </w:p>
    <w:p w:rsidR="0063391F" w:rsidRDefault="0063391F">
      <w:pPr>
        <w:rPr>
          <w:i/>
          <w:sz w:val="20"/>
          <w:szCs w:val="20"/>
        </w:rPr>
      </w:pPr>
    </w:p>
    <w:p w:rsidR="009D2ED9" w:rsidRPr="00002A8E" w:rsidRDefault="00002A8E">
      <w:pPr>
        <w:rPr>
          <w:i/>
          <w:sz w:val="20"/>
          <w:szCs w:val="20"/>
        </w:rPr>
      </w:pPr>
      <w:r>
        <w:t>Furthe</w:t>
      </w:r>
      <w:r w:rsidR="009242F4">
        <w:t>r information on CO</w:t>
      </w:r>
      <w:r w:rsidR="009242F4" w:rsidRPr="009242F4">
        <w:rPr>
          <w:vertAlign w:val="subscript"/>
        </w:rPr>
        <w:t>2</w:t>
      </w:r>
      <w:r>
        <w:t xml:space="preserve"> </w:t>
      </w:r>
      <w:r w:rsidR="009242F4">
        <w:t xml:space="preserve">emission estimates </w:t>
      </w:r>
      <w:r>
        <w:t>can be found via the following link:</w:t>
      </w:r>
    </w:p>
    <w:p w:rsidR="00A70F15" w:rsidRDefault="00540959" w:rsidP="009242F4">
      <w:pPr>
        <w:rPr>
          <w:i/>
          <w:sz w:val="20"/>
          <w:szCs w:val="20"/>
        </w:rPr>
      </w:pPr>
      <w:hyperlink r:id="rId9" w:history="1">
        <w:r w:rsidR="009242F4">
          <w:rPr>
            <w:rStyle w:val="Hyperlink"/>
          </w:rPr>
          <w:t>https://www.gov.uk/government/collections/uk-local-authority-and-regional-carbon-dioxide-emissions-national-statistics</w:t>
        </w:r>
      </w:hyperlink>
    </w:p>
    <w:sectPr w:rsidR="00A70F1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5FF" w:rsidRDefault="009265FF" w:rsidP="009470B4">
      <w:pPr>
        <w:spacing w:after="0" w:line="240" w:lineRule="auto"/>
      </w:pPr>
      <w:r>
        <w:separator/>
      </w:r>
    </w:p>
  </w:endnote>
  <w:endnote w:type="continuationSeparator" w:id="0">
    <w:p w:rsidR="009265FF" w:rsidRDefault="009265FF"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684376"/>
      <w:docPartObj>
        <w:docPartGallery w:val="Page Numbers (Bottom of Page)"/>
        <w:docPartUnique/>
      </w:docPartObj>
    </w:sdtPr>
    <w:sdtEndPr>
      <w:rPr>
        <w:noProof/>
      </w:rPr>
    </w:sdtEndPr>
    <w:sdtContent>
      <w:p w:rsidR="009470B4" w:rsidRDefault="009470B4">
        <w:pPr>
          <w:pStyle w:val="Footer"/>
          <w:jc w:val="right"/>
        </w:pPr>
        <w:r>
          <w:fldChar w:fldCharType="begin"/>
        </w:r>
        <w:r>
          <w:instrText xml:space="preserve"> PAGE   \* MERGEFORMAT </w:instrText>
        </w:r>
        <w:r>
          <w:fldChar w:fldCharType="separate"/>
        </w:r>
        <w:r w:rsidR="00540959">
          <w:rPr>
            <w:noProof/>
          </w:rPr>
          <w:t>1</w:t>
        </w:r>
        <w:r>
          <w:rPr>
            <w:noProof/>
          </w:rPr>
          <w:fldChar w:fldCharType="end"/>
        </w:r>
      </w:p>
    </w:sdtContent>
  </w:sdt>
  <w:p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5FF" w:rsidRDefault="009265FF" w:rsidP="009470B4">
      <w:pPr>
        <w:spacing w:after="0" w:line="240" w:lineRule="auto"/>
      </w:pPr>
      <w:r>
        <w:separator/>
      </w:r>
    </w:p>
  </w:footnote>
  <w:footnote w:type="continuationSeparator" w:id="0">
    <w:p w:rsidR="009265FF" w:rsidRDefault="009265FF" w:rsidP="009470B4">
      <w:pPr>
        <w:spacing w:after="0" w:line="240" w:lineRule="auto"/>
      </w:pPr>
      <w:r>
        <w:continuationSeparator/>
      </w:r>
    </w:p>
  </w:footnote>
  <w:footnote w:id="1">
    <w:p w:rsidR="004F4CC1" w:rsidRDefault="004F4CC1">
      <w:pPr>
        <w:pStyle w:val="FootnoteText"/>
      </w:pPr>
      <w:r>
        <w:rPr>
          <w:rStyle w:val="FootnoteReference"/>
        </w:rPr>
        <w:footnoteRef/>
      </w:r>
      <w:r>
        <w:t xml:space="preserve"> In accordance with international reporting and carbon trading protocols, emissions from each of the gases is weighted by its global warming potential (GWP), so that total greenhouse gas emissions can be reported on a consistent basis. The GWP for each gas is defined as its warming influence relation to that of carbon dioxide over a 100-year period and presented in carbon dioxide equivalent units (CO2e). (</w:t>
      </w:r>
      <w:hyperlink r:id="rId1" w:history="1">
        <w:r>
          <w:rPr>
            <w:rStyle w:val="Hyperlink"/>
          </w:rPr>
          <w:t>UK local authority greenhouse gas emissions estimates 2020 (publishing.service.gov.uk)</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87"/>
    <w:rsid w:val="00002A8E"/>
    <w:rsid w:val="00015C89"/>
    <w:rsid w:val="00065AA6"/>
    <w:rsid w:val="000C7CE8"/>
    <w:rsid w:val="0010425E"/>
    <w:rsid w:val="001464FA"/>
    <w:rsid w:val="00154E71"/>
    <w:rsid w:val="0018519D"/>
    <w:rsid w:val="00265E55"/>
    <w:rsid w:val="002B13D9"/>
    <w:rsid w:val="00333FE6"/>
    <w:rsid w:val="00381E1E"/>
    <w:rsid w:val="00445B69"/>
    <w:rsid w:val="00470647"/>
    <w:rsid w:val="00494448"/>
    <w:rsid w:val="004B5004"/>
    <w:rsid w:val="004B5682"/>
    <w:rsid w:val="004D22DB"/>
    <w:rsid w:val="004F4CC1"/>
    <w:rsid w:val="00505DD9"/>
    <w:rsid w:val="005367EC"/>
    <w:rsid w:val="00540959"/>
    <w:rsid w:val="00543077"/>
    <w:rsid w:val="00543809"/>
    <w:rsid w:val="00546B94"/>
    <w:rsid w:val="005F612B"/>
    <w:rsid w:val="0063391F"/>
    <w:rsid w:val="00663F53"/>
    <w:rsid w:val="006E4145"/>
    <w:rsid w:val="0079173A"/>
    <w:rsid w:val="007C1C25"/>
    <w:rsid w:val="007C7AFB"/>
    <w:rsid w:val="007F2EBB"/>
    <w:rsid w:val="00820F29"/>
    <w:rsid w:val="008353FB"/>
    <w:rsid w:val="00836E9E"/>
    <w:rsid w:val="0084512A"/>
    <w:rsid w:val="008C1EDC"/>
    <w:rsid w:val="008C3787"/>
    <w:rsid w:val="008C513E"/>
    <w:rsid w:val="008F0059"/>
    <w:rsid w:val="008F1AD8"/>
    <w:rsid w:val="00900955"/>
    <w:rsid w:val="009242F4"/>
    <w:rsid w:val="009265FF"/>
    <w:rsid w:val="009470B4"/>
    <w:rsid w:val="0098101A"/>
    <w:rsid w:val="009A4629"/>
    <w:rsid w:val="009D2ED9"/>
    <w:rsid w:val="009F37F9"/>
    <w:rsid w:val="00A00B0F"/>
    <w:rsid w:val="00A0792D"/>
    <w:rsid w:val="00A64F03"/>
    <w:rsid w:val="00A70F15"/>
    <w:rsid w:val="00A76810"/>
    <w:rsid w:val="00A93EC0"/>
    <w:rsid w:val="00C17259"/>
    <w:rsid w:val="00C6515D"/>
    <w:rsid w:val="00CA03DD"/>
    <w:rsid w:val="00CA73A0"/>
    <w:rsid w:val="00CB5416"/>
    <w:rsid w:val="00D10A1C"/>
    <w:rsid w:val="00D14FF4"/>
    <w:rsid w:val="00D82855"/>
    <w:rsid w:val="00DC0E4D"/>
    <w:rsid w:val="00E00CE7"/>
    <w:rsid w:val="00E4177D"/>
    <w:rsid w:val="00F14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unhideWhenUsed/>
    <w:rsid w:val="009D2ED9"/>
    <w:rPr>
      <w:color w:val="0000FF"/>
      <w:u w:val="single"/>
    </w:rPr>
  </w:style>
  <w:style w:type="character" w:styleId="FollowedHyperlink">
    <w:name w:val="FollowedHyperlink"/>
    <w:basedOn w:val="DefaultParagraphFont"/>
    <w:uiPriority w:val="99"/>
    <w:semiHidden/>
    <w:unhideWhenUsed/>
    <w:rsid w:val="00A00B0F"/>
    <w:rPr>
      <w:color w:val="954F72" w:themeColor="followedHyperlink"/>
      <w:u w:val="single"/>
    </w:rPr>
  </w:style>
  <w:style w:type="table" w:styleId="GridTable1Light">
    <w:name w:val="Grid Table 1 Light"/>
    <w:basedOn w:val="TableNormal"/>
    <w:uiPriority w:val="46"/>
    <w:rsid w:val="00663F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33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91F"/>
    <w:rPr>
      <w:rFonts w:ascii="Segoe UI" w:hAnsi="Segoe UI" w:cs="Segoe UI"/>
      <w:sz w:val="18"/>
      <w:szCs w:val="18"/>
    </w:rPr>
  </w:style>
  <w:style w:type="paragraph" w:styleId="FootnoteText">
    <w:name w:val="footnote text"/>
    <w:basedOn w:val="Normal"/>
    <w:link w:val="FootnoteTextChar"/>
    <w:uiPriority w:val="99"/>
    <w:semiHidden/>
    <w:unhideWhenUsed/>
    <w:rsid w:val="004F4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CC1"/>
    <w:rPr>
      <w:sz w:val="20"/>
      <w:szCs w:val="20"/>
    </w:rPr>
  </w:style>
  <w:style w:type="character" w:styleId="FootnoteReference">
    <w:name w:val="footnote reference"/>
    <w:basedOn w:val="DefaultParagraphFont"/>
    <w:uiPriority w:val="99"/>
    <w:semiHidden/>
    <w:unhideWhenUsed/>
    <w:rsid w:val="004F4C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740444110">
      <w:bodyDiv w:val="1"/>
      <w:marLeft w:val="0"/>
      <w:marRight w:val="0"/>
      <w:marTop w:val="0"/>
      <w:marBottom w:val="0"/>
      <w:divBdr>
        <w:top w:val="none" w:sz="0" w:space="0" w:color="auto"/>
        <w:left w:val="none" w:sz="0" w:space="0" w:color="auto"/>
        <w:bottom w:val="none" w:sz="0" w:space="0" w:color="auto"/>
        <w:right w:val="none" w:sz="0" w:space="0" w:color="auto"/>
      </w:divBdr>
    </w:div>
    <w:div w:id="813108904">
      <w:bodyDiv w:val="1"/>
      <w:marLeft w:val="0"/>
      <w:marRight w:val="0"/>
      <w:marTop w:val="0"/>
      <w:marBottom w:val="0"/>
      <w:divBdr>
        <w:top w:val="none" w:sz="0" w:space="0" w:color="auto"/>
        <w:left w:val="none" w:sz="0" w:space="0" w:color="auto"/>
        <w:bottom w:val="none" w:sz="0" w:space="0" w:color="auto"/>
        <w:right w:val="none" w:sz="0" w:space="0" w:color="auto"/>
      </w:divBdr>
      <w:divsChild>
        <w:div w:id="1308321507">
          <w:marLeft w:val="0"/>
          <w:marRight w:val="0"/>
          <w:marTop w:val="0"/>
          <w:marBottom w:val="0"/>
          <w:divBdr>
            <w:top w:val="none" w:sz="0" w:space="0" w:color="auto"/>
            <w:left w:val="none" w:sz="0" w:space="0" w:color="auto"/>
            <w:bottom w:val="none" w:sz="0" w:space="0" w:color="auto"/>
            <w:right w:val="none" w:sz="0" w:space="0" w:color="auto"/>
          </w:divBdr>
        </w:div>
        <w:div w:id="975841327">
          <w:marLeft w:val="0"/>
          <w:marRight w:val="0"/>
          <w:marTop w:val="0"/>
          <w:marBottom w:val="0"/>
          <w:divBdr>
            <w:top w:val="none" w:sz="0" w:space="0" w:color="auto"/>
            <w:left w:val="none" w:sz="0" w:space="0" w:color="auto"/>
            <w:bottom w:val="none" w:sz="0" w:space="0" w:color="auto"/>
            <w:right w:val="none" w:sz="0" w:space="0" w:color="auto"/>
          </w:divBdr>
        </w:div>
      </w:divsChild>
    </w:div>
    <w:div w:id="1262565899">
      <w:bodyDiv w:val="1"/>
      <w:marLeft w:val="0"/>
      <w:marRight w:val="0"/>
      <w:marTop w:val="0"/>
      <w:marBottom w:val="0"/>
      <w:divBdr>
        <w:top w:val="none" w:sz="0" w:space="0" w:color="auto"/>
        <w:left w:val="none" w:sz="0" w:space="0" w:color="auto"/>
        <w:bottom w:val="none" w:sz="0" w:space="0" w:color="auto"/>
        <w:right w:val="none" w:sz="0" w:space="0" w:color="auto"/>
      </w:divBdr>
      <w:divsChild>
        <w:div w:id="1032726579">
          <w:marLeft w:val="0"/>
          <w:marRight w:val="0"/>
          <w:marTop w:val="0"/>
          <w:marBottom w:val="0"/>
          <w:divBdr>
            <w:top w:val="none" w:sz="0" w:space="0" w:color="auto"/>
            <w:left w:val="none" w:sz="0" w:space="0" w:color="auto"/>
            <w:bottom w:val="none" w:sz="0" w:space="0" w:color="auto"/>
            <w:right w:val="none" w:sz="0" w:space="0" w:color="auto"/>
          </w:divBdr>
        </w:div>
        <w:div w:id="1243374791">
          <w:marLeft w:val="0"/>
          <w:marRight w:val="0"/>
          <w:marTop w:val="0"/>
          <w:marBottom w:val="0"/>
          <w:divBdr>
            <w:top w:val="none" w:sz="0" w:space="0" w:color="auto"/>
            <w:left w:val="none" w:sz="0" w:space="0" w:color="auto"/>
            <w:bottom w:val="none" w:sz="0" w:space="0" w:color="auto"/>
            <w:right w:val="none" w:sz="0" w:space="0" w:color="auto"/>
          </w:divBdr>
        </w:div>
      </w:divsChild>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collections/uk-local-authority-and-regional-carbon-dioxide-emissions-national-statisti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1086967/uk-local-regional-greenhouse-gas-emissions-2005-2020-release.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cnsfilesvr2\groups$\community_planning\2.%20Community%20&amp;%20Strategic%20Planning%20JD\NISRA%20Statistician\Statistics%20for%20Website\Environment%20and%20Heritage\2022%20Updates\Co2%20emissions%20update%20Nov%2022.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Statistics%20for%20Website\Environment%20and%20Heritage\2022%20Updates\Co2%20emissions%20update%20Nov%2022.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5754483648574"/>
          <c:y val="4.6005855290673359E-2"/>
          <c:w val="0.83982252597787932"/>
          <c:h val="0.85697085856739674"/>
        </c:manualLayout>
      </c:layout>
      <c:lineChart>
        <c:grouping val="standard"/>
        <c:varyColors val="0"/>
        <c:ser>
          <c:idx val="0"/>
          <c:order val="0"/>
          <c:tx>
            <c:strRef>
              <c:f>Sheet1!$C$4</c:f>
              <c:strCache>
                <c:ptCount val="1"/>
                <c:pt idx="0">
                  <c:v>Armagh City, Banbridge and Craigavon</c:v>
                </c:pt>
              </c:strCache>
            </c:strRef>
          </c:tx>
          <c:spPr>
            <a:ln w="28575" cap="rnd">
              <a:solidFill>
                <a:schemeClr val="accent1"/>
              </a:solidFill>
              <a:round/>
            </a:ln>
            <a:effectLst/>
          </c:spPr>
          <c:marker>
            <c:symbol val="diamond"/>
            <c:size val="10"/>
            <c:spPr>
              <a:solidFill>
                <a:schemeClr val="accent1"/>
              </a:solidFill>
              <a:ln w="9525">
                <a:solidFill>
                  <a:schemeClr val="accent1"/>
                </a:solidFill>
              </a:ln>
              <a:effectLst/>
            </c:spPr>
          </c:marker>
          <c:cat>
            <c:numRef>
              <c:f>Sheet1!$B$5:$B$15</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Sheet1!$C$5:$C$15</c:f>
              <c:numCache>
                <c:formatCode>#,##0.00</c:formatCode>
                <c:ptCount val="11"/>
                <c:pt idx="0">
                  <c:v>3056.8</c:v>
                </c:pt>
                <c:pt idx="1">
                  <c:v>2758.5</c:v>
                </c:pt>
                <c:pt idx="2">
                  <c:v>2606.9</c:v>
                </c:pt>
                <c:pt idx="3">
                  <c:v>2571.1999999999998</c:v>
                </c:pt>
                <c:pt idx="4">
                  <c:v>2593.4</c:v>
                </c:pt>
                <c:pt idx="5">
                  <c:v>2578.3000000000002</c:v>
                </c:pt>
                <c:pt idx="6">
                  <c:v>2567.5</c:v>
                </c:pt>
                <c:pt idx="7">
                  <c:v>2559.6</c:v>
                </c:pt>
                <c:pt idx="8">
                  <c:v>2513.1999999999998</c:v>
                </c:pt>
                <c:pt idx="9">
                  <c:v>2339.5</c:v>
                </c:pt>
                <c:pt idx="10">
                  <c:v>2423.6</c:v>
                </c:pt>
              </c:numCache>
            </c:numRef>
          </c:val>
          <c:smooth val="0"/>
          <c:extLst>
            <c:ext xmlns:c16="http://schemas.microsoft.com/office/drawing/2014/chart" uri="{C3380CC4-5D6E-409C-BE32-E72D297353CC}">
              <c16:uniqueId val="{00000000-E232-4F9A-AC21-801C59C5F945}"/>
            </c:ext>
          </c:extLst>
        </c:ser>
        <c:dLbls>
          <c:showLegendKey val="0"/>
          <c:showVal val="0"/>
          <c:showCatName val="0"/>
          <c:showSerName val="0"/>
          <c:showPercent val="0"/>
          <c:showBubbleSize val="0"/>
        </c:dLbls>
        <c:marker val="1"/>
        <c:smooth val="0"/>
        <c:axId val="1642476640"/>
        <c:axId val="1"/>
      </c:lineChart>
      <c:catAx>
        <c:axId val="164247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47664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082234577400825"/>
          <c:y val="4.5662100456621002E-2"/>
          <c:w val="0.58106842081918308"/>
          <c:h val="0.78331976871508746"/>
        </c:manualLayout>
      </c:layout>
      <c:barChart>
        <c:barDir val="bar"/>
        <c:grouping val="clustered"/>
        <c:varyColors val="0"/>
        <c:ser>
          <c:idx val="0"/>
          <c:order val="0"/>
          <c:tx>
            <c:strRef>
              <c:f>Sheet1!$D$41</c:f>
              <c:strCache>
                <c:ptCount val="1"/>
                <c:pt idx="0">
                  <c:v>Per Capita Emissions (tCO2e)</c:v>
                </c:pt>
              </c:strCache>
            </c:strRef>
          </c:tx>
          <c:spPr>
            <a:solidFill>
              <a:schemeClr val="accent1"/>
            </a:solidFill>
            <a:ln>
              <a:noFill/>
            </a:ln>
            <a:effectLst/>
          </c:spPr>
          <c:invertIfNegative val="0"/>
          <c:dPt>
            <c:idx val="4"/>
            <c:invertIfNegative val="0"/>
            <c:bubble3D val="0"/>
            <c:spPr>
              <a:solidFill>
                <a:schemeClr val="accent2"/>
              </a:solidFill>
              <a:ln>
                <a:noFill/>
              </a:ln>
              <a:effectLst/>
            </c:spPr>
            <c:extLst>
              <c:ext xmlns:c16="http://schemas.microsoft.com/office/drawing/2014/chart" uri="{C3380CC4-5D6E-409C-BE32-E72D297353CC}">
                <c16:uniqueId val="{00000001-2F3E-46E4-822D-CC365A930158}"/>
              </c:ext>
            </c:extLst>
          </c:dPt>
          <c:dPt>
            <c:idx val="9"/>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2F3E-46E4-822D-CC365A930158}"/>
              </c:ext>
            </c:extLst>
          </c:dPt>
          <c:cat>
            <c:strRef>
              <c:f>Sheet1!$C$42:$C$53</c:f>
              <c:strCache>
                <c:ptCount val="12"/>
                <c:pt idx="0">
                  <c:v>Belfast</c:v>
                </c:pt>
                <c:pt idx="1">
                  <c:v>Ards and North Down</c:v>
                </c:pt>
                <c:pt idx="2">
                  <c:v>Lisburn and Castlereagh</c:v>
                </c:pt>
                <c:pt idx="3">
                  <c:v>Newry, Mourne and Down</c:v>
                </c:pt>
                <c:pt idx="4">
                  <c:v>Northern Ireland Total</c:v>
                </c:pt>
                <c:pt idx="5">
                  <c:v>Mid and East Antrim</c:v>
                </c:pt>
                <c:pt idx="6">
                  <c:v>Derry City and Strabane</c:v>
                </c:pt>
                <c:pt idx="7">
                  <c:v>Causeway Coast and Glens</c:v>
                </c:pt>
                <c:pt idx="8">
                  <c:v>Antrim and Newtownabbey</c:v>
                </c:pt>
                <c:pt idx="9">
                  <c:v>Armagh City, Banbridge and Craigavon</c:v>
                </c:pt>
                <c:pt idx="10">
                  <c:v>Mid Ulster</c:v>
                </c:pt>
                <c:pt idx="11">
                  <c:v>Fermanagh and Omagh</c:v>
                </c:pt>
              </c:strCache>
            </c:strRef>
          </c:cat>
          <c:val>
            <c:numRef>
              <c:f>Sheet1!$D$42:$D$53</c:f>
              <c:numCache>
                <c:formatCode>General</c:formatCode>
                <c:ptCount val="12"/>
                <c:pt idx="0">
                  <c:v>4.2</c:v>
                </c:pt>
                <c:pt idx="1">
                  <c:v>4.3</c:v>
                </c:pt>
                <c:pt idx="2">
                  <c:v>5.6</c:v>
                </c:pt>
                <c:pt idx="3">
                  <c:v>6.5</c:v>
                </c:pt>
                <c:pt idx="4">
                  <c:v>7.7</c:v>
                </c:pt>
                <c:pt idx="5">
                  <c:v>8.1</c:v>
                </c:pt>
                <c:pt idx="6">
                  <c:v>8.1999999999999993</c:v>
                </c:pt>
                <c:pt idx="7">
                  <c:v>8.4</c:v>
                </c:pt>
                <c:pt idx="8">
                  <c:v>8.8000000000000007</c:v>
                </c:pt>
                <c:pt idx="9">
                  <c:v>11.2</c:v>
                </c:pt>
                <c:pt idx="10">
                  <c:v>11.2</c:v>
                </c:pt>
                <c:pt idx="11">
                  <c:v>12.2</c:v>
                </c:pt>
              </c:numCache>
            </c:numRef>
          </c:val>
          <c:extLst>
            <c:ext xmlns:c16="http://schemas.microsoft.com/office/drawing/2014/chart" uri="{C3380CC4-5D6E-409C-BE32-E72D297353CC}">
              <c16:uniqueId val="{00000004-2F3E-46E4-822D-CC365A930158}"/>
            </c:ext>
          </c:extLst>
        </c:ser>
        <c:dLbls>
          <c:showLegendKey val="0"/>
          <c:showVal val="0"/>
          <c:showCatName val="0"/>
          <c:showSerName val="0"/>
          <c:showPercent val="0"/>
          <c:showBubbleSize val="0"/>
        </c:dLbls>
        <c:gapWidth val="182"/>
        <c:axId val="2016744800"/>
        <c:axId val="2016752704"/>
      </c:barChart>
      <c:catAx>
        <c:axId val="2016744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6752704"/>
        <c:crosses val="autoZero"/>
        <c:auto val="1"/>
        <c:lblAlgn val="ctr"/>
        <c:lblOffset val="100"/>
        <c:noMultiLvlLbl val="0"/>
      </c:catAx>
      <c:valAx>
        <c:axId val="2016752704"/>
        <c:scaling>
          <c:orientation val="minMax"/>
        </c:scaling>
        <c:delete val="0"/>
        <c:axPos val="b"/>
        <c:majorGridlines>
          <c:spPr>
            <a:ln w="9525" cap="flat" cmpd="sng" algn="ctr">
              <a:solidFill>
                <a:schemeClr val="tx1">
                  <a:lumMod val="15000"/>
                  <a:lumOff val="85000"/>
                </a:schemeClr>
              </a:solidFill>
              <a:prstDash val="lg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6744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0.01973</cdr:x>
      <cdr:y>0.45295</cdr:y>
    </cdr:from>
    <cdr:to>
      <cdr:x>0.20182</cdr:x>
      <cdr:y>0.75408</cdr:y>
    </cdr:to>
    <cdr:sp macro="" textlink="">
      <cdr:nvSpPr>
        <cdr:cNvPr id="2" name="TextBox 1"/>
        <cdr:cNvSpPr txBox="1"/>
      </cdr:nvSpPr>
      <cdr:spPr>
        <a:xfrm xmlns:a="http://schemas.openxmlformats.org/drawingml/2006/main">
          <a:off x="99060" y="137541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a:p>
      </cdr:txBody>
    </cdr:sp>
  </cdr:relSizeAnchor>
  <cdr:relSizeAnchor xmlns:cdr="http://schemas.openxmlformats.org/drawingml/2006/chartDrawing">
    <cdr:from>
      <cdr:x>2.78797E-6</cdr:x>
      <cdr:y>0.22265</cdr:y>
    </cdr:from>
    <cdr:to>
      <cdr:x>0.06221</cdr:x>
      <cdr:y>0.65678</cdr:y>
    </cdr:to>
    <cdr:sp macro="" textlink="">
      <cdr:nvSpPr>
        <cdr:cNvPr id="3" name="TextBox 2"/>
        <cdr:cNvSpPr txBox="1"/>
      </cdr:nvSpPr>
      <cdr:spPr>
        <a:xfrm xmlns:a="http://schemas.openxmlformats.org/drawingml/2006/main" rot="16200000">
          <a:off x="-480594" y="1133794"/>
          <a:ext cx="1273607" cy="3123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100">
              <a:effectLst/>
              <a:latin typeface="+mn-lt"/>
              <a:ea typeface="+mn-ea"/>
              <a:cs typeface="+mn-cs"/>
            </a:rPr>
            <a:t>Kilotonnes</a:t>
          </a:r>
          <a:r>
            <a:rPr lang="en-GB" sz="1100" baseline="0">
              <a:effectLst/>
              <a:latin typeface="+mn-lt"/>
              <a:ea typeface="+mn-ea"/>
              <a:cs typeface="+mn-cs"/>
            </a:rPr>
            <a:t> (Kt CO</a:t>
          </a:r>
          <a:r>
            <a:rPr lang="en-GB" sz="1100" baseline="-25000">
              <a:effectLst/>
              <a:latin typeface="+mn-lt"/>
              <a:ea typeface="+mn-ea"/>
              <a:cs typeface="+mn-cs"/>
            </a:rPr>
            <a:t>2</a:t>
          </a:r>
          <a:r>
            <a:rPr lang="en-GB" sz="1100" baseline="0">
              <a:effectLst/>
              <a:latin typeface="+mn-lt"/>
              <a:ea typeface="+mn-ea"/>
              <a:cs typeface="+mn-cs"/>
            </a:rPr>
            <a:t>e)</a:t>
          </a:r>
          <a:endParaRPr lang="en-GB">
            <a:effectLst/>
          </a:endParaRPr>
        </a:p>
        <a:p xmlns:a="http://schemas.openxmlformats.org/drawingml/2006/main">
          <a:r>
            <a:rPr lang="en-GB" sz="1100" baseline="0"/>
            <a:t> </a:t>
          </a:r>
          <a:endParaRPr lang="en-GB" sz="1100"/>
        </a:p>
      </cdr:txBody>
    </cdr:sp>
  </cdr:relSizeAnchor>
</c:userShapes>
</file>

<file path=word/drawings/drawing2.xml><?xml version="1.0" encoding="utf-8"?>
<c:userShapes xmlns:c="http://schemas.openxmlformats.org/drawingml/2006/chart">
  <cdr:relSizeAnchor xmlns:cdr="http://schemas.openxmlformats.org/drawingml/2006/chartDrawing">
    <cdr:from>
      <cdr:x>0.518</cdr:x>
      <cdr:y>0.90037</cdr:y>
    </cdr:from>
    <cdr:to>
      <cdr:x>0.86921</cdr:x>
      <cdr:y>0.97509</cdr:y>
    </cdr:to>
    <cdr:sp macro="" textlink="">
      <cdr:nvSpPr>
        <cdr:cNvPr id="2" name="TextBox 1"/>
        <cdr:cNvSpPr txBox="1"/>
      </cdr:nvSpPr>
      <cdr:spPr>
        <a:xfrm xmlns:a="http://schemas.openxmlformats.org/drawingml/2006/main">
          <a:off x="2686050" y="2754630"/>
          <a:ext cx="182118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bg2">
                  <a:lumMod val="50000"/>
                </a:schemeClr>
              </a:solidFill>
            </a:rPr>
            <a:t>Per Capita Emissions (tCO</a:t>
          </a:r>
          <a:r>
            <a:rPr lang="en-GB" sz="1100" baseline="-25000">
              <a:solidFill>
                <a:schemeClr val="bg2">
                  <a:lumMod val="50000"/>
                </a:schemeClr>
              </a:solidFill>
            </a:rPr>
            <a:t>2</a:t>
          </a:r>
          <a:r>
            <a:rPr lang="en-GB" sz="1100">
              <a:solidFill>
                <a:schemeClr val="bg2">
                  <a:lumMod val="50000"/>
                </a:schemeClr>
              </a:solidFill>
            </a:rPr>
            <a: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CA16-09D0-42F7-911B-38F84EC4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7</cp:revision>
  <cp:lastPrinted>2022-11-07T16:04:00Z</cp:lastPrinted>
  <dcterms:created xsi:type="dcterms:W3CDTF">2022-11-01T11:45:00Z</dcterms:created>
  <dcterms:modified xsi:type="dcterms:W3CDTF">2022-11-17T16:14:00Z</dcterms:modified>
</cp:coreProperties>
</file>