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59" w:rsidRPr="008C3787" w:rsidRDefault="003517D3">
      <w:pPr>
        <w:rPr>
          <w:b/>
        </w:rPr>
      </w:pPr>
      <w:r>
        <w:rPr>
          <w:b/>
        </w:rPr>
        <w:t>Good</w:t>
      </w:r>
      <w:r w:rsidR="000E6157">
        <w:rPr>
          <w:b/>
        </w:rPr>
        <w:t xml:space="preserve"> Relations</w:t>
      </w:r>
    </w:p>
    <w:p w:rsidR="008C3787" w:rsidRDefault="008C3787" w:rsidP="008C513E">
      <w:r>
        <w:t xml:space="preserve">The </w:t>
      </w:r>
      <w:r w:rsidR="000E6157">
        <w:t>Northern Ireland Life and Times Survey (NILT)</w:t>
      </w:r>
      <w:r w:rsidR="000E6157">
        <w:rPr>
          <w:rStyle w:val="FootnoteReference"/>
        </w:rPr>
        <w:footnoteReference w:id="1"/>
      </w:r>
      <w:r>
        <w:t xml:space="preserve"> </w:t>
      </w:r>
      <w:r w:rsidR="000E6157">
        <w:t>deals with the attitudes, values and beliefs of the people in Northern Ireland on a wide r</w:t>
      </w:r>
      <w:r w:rsidR="00F07C44">
        <w:t xml:space="preserve">ange of issues, including </w:t>
      </w:r>
      <w:r w:rsidR="000E6157">
        <w:t>relations between Protestant and Catholics.</w:t>
      </w:r>
    </w:p>
    <w:p w:rsidR="000E6157" w:rsidRDefault="000E6157" w:rsidP="008C513E">
      <w:r>
        <w:t>The NILT survey asks respondents:</w:t>
      </w:r>
    </w:p>
    <w:p w:rsidR="000E6157" w:rsidRDefault="000E6157" w:rsidP="000E6157">
      <w:pPr>
        <w:pStyle w:val="ListParagraph"/>
        <w:numPr>
          <w:ilvl w:val="0"/>
          <w:numId w:val="1"/>
        </w:numPr>
      </w:pPr>
      <w:r>
        <w:t>What about relations between Protestants and Catholics? Would you say they are better than they were 5 years ago, worse, or about the same now as then?</w:t>
      </w:r>
    </w:p>
    <w:p w:rsidR="000E6157" w:rsidRDefault="000E6157" w:rsidP="000E6157">
      <w:pPr>
        <w:pStyle w:val="ListParagraph"/>
        <w:numPr>
          <w:ilvl w:val="0"/>
          <w:numId w:val="1"/>
        </w:numPr>
      </w:pPr>
      <w:r>
        <w:t xml:space="preserve">And what about in 5 </w:t>
      </w:r>
      <w:proofErr w:type="spellStart"/>
      <w:r>
        <w:t>years time</w:t>
      </w:r>
      <w:proofErr w:type="spellEnd"/>
      <w:r>
        <w:t>? Do you think relations between Protestants and Catholics will be better than now, worse than now, or about the same as now?</w:t>
      </w:r>
    </w:p>
    <w:p w:rsidR="004B4B37" w:rsidRPr="00D713DB" w:rsidRDefault="004B4B37" w:rsidP="004B4B37">
      <w:r w:rsidRPr="00D713DB">
        <w:t xml:space="preserve">For the combined years of </w:t>
      </w:r>
      <w:r w:rsidR="007C6851" w:rsidRPr="00D713DB">
        <w:t>201</w:t>
      </w:r>
      <w:r w:rsidR="00066FB8" w:rsidRPr="00D713DB">
        <w:t>9, 2020</w:t>
      </w:r>
      <w:r w:rsidR="007C6851" w:rsidRPr="00D713DB">
        <w:t xml:space="preserve"> and 20</w:t>
      </w:r>
      <w:r w:rsidR="00066FB8" w:rsidRPr="00D713DB">
        <w:t>21</w:t>
      </w:r>
      <w:r w:rsidR="00D73F69" w:rsidRPr="00D713DB">
        <w:t xml:space="preserve">, just over 80% of </w:t>
      </w:r>
      <w:r w:rsidR="007C6851" w:rsidRPr="00D713DB">
        <w:t>respondents</w:t>
      </w:r>
      <w:r w:rsidR="00F779E7" w:rsidRPr="00D713DB">
        <w:t xml:space="preserve"> </w:t>
      </w:r>
      <w:r w:rsidR="007C6851" w:rsidRPr="00D713DB">
        <w:t>in Armag</w:t>
      </w:r>
      <w:r w:rsidR="00D326BC" w:rsidRPr="00D713DB">
        <w:t>h City, Banbridge and Craigavon</w:t>
      </w:r>
      <w:r w:rsidR="00F07C44" w:rsidRPr="00D713DB">
        <w:t xml:space="preserve"> Borough</w:t>
      </w:r>
      <w:r w:rsidR="007C6851" w:rsidRPr="00D713DB">
        <w:t xml:space="preserve"> believe that relations between Protestants and Catholics are better </w:t>
      </w:r>
      <w:r w:rsidR="00D73F69" w:rsidRPr="00D713DB">
        <w:t>(</w:t>
      </w:r>
      <w:r w:rsidR="00066FB8" w:rsidRPr="00D713DB">
        <w:t>39.8</w:t>
      </w:r>
      <w:r w:rsidR="00D73F69" w:rsidRPr="00D713DB">
        <w:t>%) or about the same (</w:t>
      </w:r>
      <w:r w:rsidR="00066FB8" w:rsidRPr="00D713DB">
        <w:t>40.7</w:t>
      </w:r>
      <w:r w:rsidR="00D73F69" w:rsidRPr="00D713DB">
        <w:t>%) as th</w:t>
      </w:r>
      <w:r w:rsidR="007C6851" w:rsidRPr="00D713DB">
        <w:t xml:space="preserve">ey were </w:t>
      </w:r>
      <w:r w:rsidR="000F7E5D" w:rsidRPr="00D713DB">
        <w:t>5</w:t>
      </w:r>
      <w:r w:rsidR="00F779E7" w:rsidRPr="00D713DB">
        <w:t xml:space="preserve"> years ago. </w:t>
      </w:r>
      <w:r w:rsidR="00066FB8" w:rsidRPr="00D713DB">
        <w:t>Approximately 12</w:t>
      </w:r>
      <w:r w:rsidR="00D73F69" w:rsidRPr="00D713DB">
        <w:t xml:space="preserve">% of respondents believed that relations were worse now than they were 5 years ago.  </w:t>
      </w:r>
      <w:r w:rsidR="00066FB8" w:rsidRPr="00D713DB">
        <w:t>Although this figure has fallen slightly from the previous</w:t>
      </w:r>
      <w:r w:rsidR="00D713DB" w:rsidRPr="00D713DB">
        <w:t xml:space="preserve"> combined</w:t>
      </w:r>
      <w:r w:rsidR="00066FB8" w:rsidRPr="00D713DB">
        <w:t xml:space="preserve"> year</w:t>
      </w:r>
      <w:r w:rsidR="00D713DB" w:rsidRPr="00D713DB">
        <w:t>s</w:t>
      </w:r>
      <w:r w:rsidR="00066FB8" w:rsidRPr="00D713DB">
        <w:t>, it still remains significantly higher than</w:t>
      </w:r>
      <w:r w:rsidR="00D713DB" w:rsidRPr="00D713DB">
        <w:t xml:space="preserve"> 2016-2018 </w:t>
      </w:r>
      <w:r w:rsidR="00D73F69" w:rsidRPr="00D713DB">
        <w:t xml:space="preserve">results when just 3.3% of respondents believed that relations were worse now than they were 5 years ago.   </w:t>
      </w:r>
      <w:r w:rsidR="000F7E5D" w:rsidRPr="00D713DB">
        <w:t xml:space="preserve">In Northern Ireland </w:t>
      </w:r>
      <w:r w:rsidR="00D73F69" w:rsidRPr="00D713DB">
        <w:t xml:space="preserve">overall, </w:t>
      </w:r>
      <w:r w:rsidR="00D713DB" w:rsidRPr="00D713DB">
        <w:t>38</w:t>
      </w:r>
      <w:r w:rsidR="00D73F69" w:rsidRPr="00D713DB">
        <w:t>%</w:t>
      </w:r>
      <w:r w:rsidR="000F7E5D" w:rsidRPr="00D713DB">
        <w:t xml:space="preserve"> </w:t>
      </w:r>
      <w:r w:rsidR="00D73F69" w:rsidRPr="00D713DB">
        <w:t xml:space="preserve">of respondents </w:t>
      </w:r>
      <w:r w:rsidR="000F7E5D" w:rsidRPr="00D713DB">
        <w:t>believe that relations between Protestant</w:t>
      </w:r>
      <w:r w:rsidR="005A36CA" w:rsidRPr="00D713DB">
        <w:t>s</w:t>
      </w:r>
      <w:r w:rsidR="000F7E5D" w:rsidRPr="00D713DB">
        <w:t xml:space="preserve"> and Catholics are better now than they were 5 years ago, slightly lower than Armagh City, Banbridge and Craigavon</w:t>
      </w:r>
      <w:r w:rsidR="00F07C44" w:rsidRPr="00D713DB">
        <w:t xml:space="preserve"> Borough</w:t>
      </w:r>
      <w:r w:rsidR="000F7E5D" w:rsidRPr="00D713DB">
        <w:t xml:space="preserve">. </w:t>
      </w:r>
      <w:r w:rsidR="00D713DB" w:rsidRPr="00D713DB">
        <w:t>A higher proportion of respondents in Northern Ireland overall, 44.1</w:t>
      </w:r>
      <w:r w:rsidR="000F7E5D" w:rsidRPr="00D713DB">
        <w:t>%</w:t>
      </w:r>
      <w:r w:rsidR="00D713DB" w:rsidRPr="00D713DB">
        <w:t>,</w:t>
      </w:r>
      <w:r w:rsidR="000F7E5D" w:rsidRPr="00D713DB">
        <w:t xml:space="preserve"> believe relations are about the same as 5 years ago. </w:t>
      </w:r>
      <w:r w:rsidR="00D713DB" w:rsidRPr="00D713DB">
        <w:t>The</w:t>
      </w:r>
      <w:r w:rsidR="000F7E5D" w:rsidRPr="00D713DB">
        <w:t xml:space="preserve"> proportion of respondents </w:t>
      </w:r>
      <w:r w:rsidR="00D713DB" w:rsidRPr="00D713DB">
        <w:t xml:space="preserve">who believe relations are worse now than 5 years ago is the same </w:t>
      </w:r>
      <w:r w:rsidR="000F7E5D" w:rsidRPr="00D713DB">
        <w:t>in Northern Irel</w:t>
      </w:r>
      <w:r w:rsidR="00F779E7" w:rsidRPr="00D713DB">
        <w:t xml:space="preserve">and </w:t>
      </w:r>
      <w:r w:rsidR="00D713DB" w:rsidRPr="00D713DB">
        <w:t xml:space="preserve">and the borough at 12.3%.  </w:t>
      </w:r>
    </w:p>
    <w:p w:rsidR="004B4B37" w:rsidRPr="00D713DB" w:rsidRDefault="00D326BC" w:rsidP="004B4B37">
      <w:r w:rsidRPr="00D713DB">
        <w:t xml:space="preserve">For the combined years of </w:t>
      </w:r>
      <w:r w:rsidR="00D713DB" w:rsidRPr="00D713DB">
        <w:t>2019, 2020 and 2021</w:t>
      </w:r>
      <w:r w:rsidRPr="00D713DB">
        <w:t xml:space="preserve"> the largest proportion of respondents (</w:t>
      </w:r>
      <w:r w:rsidR="005A36CA" w:rsidRPr="00D713DB">
        <w:t>3</w:t>
      </w:r>
      <w:r w:rsidR="00D713DB" w:rsidRPr="00D713DB">
        <w:t>5.4</w:t>
      </w:r>
      <w:r w:rsidRPr="00D713DB">
        <w:t xml:space="preserve">%) in Armagh City, Banbridge and Craigavon </w:t>
      </w:r>
      <w:r w:rsidR="00F07C44" w:rsidRPr="00D713DB">
        <w:t xml:space="preserve">Borough </w:t>
      </w:r>
      <w:r w:rsidRPr="00D713DB">
        <w:t>believe that relations between Protestants and Catholics wi</w:t>
      </w:r>
      <w:r w:rsidR="00F07C44" w:rsidRPr="00D713DB">
        <w:t>ll</w:t>
      </w:r>
      <w:r w:rsidR="00D713DB" w:rsidRPr="00D713DB">
        <w:t xml:space="preserve"> be about the same in 5</w:t>
      </w:r>
      <w:r w:rsidRPr="00D713DB">
        <w:t xml:space="preserve"> </w:t>
      </w:r>
      <w:proofErr w:type="spellStart"/>
      <w:r w:rsidRPr="00D713DB">
        <w:t>years time</w:t>
      </w:r>
      <w:proofErr w:type="spellEnd"/>
      <w:r w:rsidRPr="00D713DB">
        <w:t xml:space="preserve">. </w:t>
      </w:r>
      <w:r w:rsidR="00D713DB" w:rsidRPr="00D713DB">
        <w:t>33.8</w:t>
      </w:r>
      <w:r w:rsidRPr="00D713DB">
        <w:t xml:space="preserve">% of respondents in the borough believe relations will be </w:t>
      </w:r>
      <w:r w:rsidR="00D713DB" w:rsidRPr="00D713DB">
        <w:t>better</w:t>
      </w:r>
      <w:r w:rsidR="005D57A2" w:rsidRPr="00D713DB">
        <w:t xml:space="preserve"> while </w:t>
      </w:r>
      <w:r w:rsidR="005A36CA" w:rsidRPr="00D713DB">
        <w:t>14</w:t>
      </w:r>
      <w:r w:rsidR="00D713DB" w:rsidRPr="00D713DB">
        <w:t>.8</w:t>
      </w:r>
      <w:r w:rsidRPr="00D713DB">
        <w:t xml:space="preserve">% believe that relations will be worse in 5 </w:t>
      </w:r>
      <w:proofErr w:type="spellStart"/>
      <w:r w:rsidRPr="00D713DB">
        <w:t>yea</w:t>
      </w:r>
      <w:bookmarkStart w:id="0" w:name="_GoBack"/>
      <w:bookmarkEnd w:id="0"/>
      <w:r w:rsidRPr="00D713DB">
        <w:t>rs time</w:t>
      </w:r>
      <w:proofErr w:type="spellEnd"/>
      <w:r w:rsidRPr="00D713DB">
        <w:t xml:space="preserve">. </w:t>
      </w:r>
      <w:r w:rsidR="005A36CA" w:rsidRPr="00D713DB">
        <w:t xml:space="preserve">Over </w:t>
      </w:r>
      <w:r w:rsidR="00D713DB" w:rsidRPr="00D713DB">
        <w:t xml:space="preserve">15% of respondents </w:t>
      </w:r>
      <w:r w:rsidRPr="00D713DB">
        <w:t>in the borough respo</w:t>
      </w:r>
      <w:r w:rsidR="00A11CC9" w:rsidRPr="00D713DB">
        <w:t>n</w:t>
      </w:r>
      <w:r w:rsidR="00F07C44" w:rsidRPr="00D713DB">
        <w:t>ded don’t know to this question</w:t>
      </w:r>
      <w:r w:rsidR="00A11CC9" w:rsidRPr="00D713DB">
        <w:t>.</w:t>
      </w:r>
      <w:r w:rsidR="00D713DB" w:rsidRPr="00D713DB">
        <w:t xml:space="preserve"> </w:t>
      </w:r>
      <w:r w:rsidR="00A11CC9" w:rsidRPr="00D713DB">
        <w:t xml:space="preserve"> In Northern Ireland overall </w:t>
      </w:r>
      <w:r w:rsidR="005A36CA" w:rsidRPr="00D713DB">
        <w:t>31.</w:t>
      </w:r>
      <w:r w:rsidR="00D713DB" w:rsidRPr="00D713DB">
        <w:t>7</w:t>
      </w:r>
      <w:r w:rsidR="00A11CC9" w:rsidRPr="00D713DB">
        <w:t>% of respondents believe relations between Protestants and Cath</w:t>
      </w:r>
      <w:r w:rsidR="00871FF4">
        <w:t xml:space="preserve">olics will be better in 5 </w:t>
      </w:r>
      <w:proofErr w:type="spellStart"/>
      <w:r w:rsidR="00871FF4">
        <w:t xml:space="preserve">years </w:t>
      </w:r>
      <w:r w:rsidR="00A11CC9" w:rsidRPr="00D713DB">
        <w:t>time</w:t>
      </w:r>
      <w:proofErr w:type="spellEnd"/>
      <w:r w:rsidR="00A11CC9" w:rsidRPr="00D713DB">
        <w:t xml:space="preserve">, </w:t>
      </w:r>
      <w:r w:rsidR="00D713DB" w:rsidRPr="00D713DB">
        <w:t>slightly less than</w:t>
      </w:r>
      <w:r w:rsidR="00A11CC9" w:rsidRPr="00D713DB">
        <w:t xml:space="preserve"> the borough.  A higher proportion of respondents in Northern Ireland (</w:t>
      </w:r>
      <w:r w:rsidR="00D713DB" w:rsidRPr="00D713DB">
        <w:t>39</w:t>
      </w:r>
      <w:r w:rsidR="00A11CC9" w:rsidRPr="00D713DB">
        <w:t xml:space="preserve">%) than the borough believe relations will be about the same 5 years from now while </w:t>
      </w:r>
      <w:r w:rsidR="00D713DB" w:rsidRPr="00D713DB">
        <w:t>14.4</w:t>
      </w:r>
      <w:r w:rsidR="00A11CC9" w:rsidRPr="00D713DB">
        <w:t xml:space="preserve">% believe relations will be worse. </w:t>
      </w:r>
      <w:r w:rsidR="00D713DB" w:rsidRPr="00D713DB">
        <w:t>13</w:t>
      </w:r>
      <w:r w:rsidR="005A36CA" w:rsidRPr="00D713DB">
        <w:t>.3</w:t>
      </w:r>
      <w:r w:rsidR="00A11CC9" w:rsidRPr="00D713DB">
        <w:t>% of Northern Ireland respondents answered don’t know.</w:t>
      </w:r>
    </w:p>
    <w:tbl>
      <w:tblPr>
        <w:tblStyle w:val="GridTable1Light"/>
        <w:tblW w:w="7655" w:type="dxa"/>
        <w:tblLook w:val="04A0" w:firstRow="1" w:lastRow="0" w:firstColumn="1" w:lastColumn="0" w:noHBand="0" w:noVBand="1"/>
        <w:tblCaption w:val="Percentage of people who think relations between Protestants and Catholics are better, worse, or about the same as 5 years ago and 5 years from now in Armagh City, Banbridge and Craigavon Borough and Northern Ireland 2018-2020."/>
      </w:tblPr>
      <w:tblGrid>
        <w:gridCol w:w="1843"/>
        <w:gridCol w:w="1418"/>
        <w:gridCol w:w="1417"/>
        <w:gridCol w:w="1418"/>
        <w:gridCol w:w="1559"/>
      </w:tblGrid>
      <w:tr w:rsidR="005A36CA"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B52D4F" w:rsidRPr="00066FB8" w:rsidRDefault="00B52D4F" w:rsidP="00B52D4F">
            <w:pPr>
              <w:rPr>
                <w:rFonts w:ascii="Calibri" w:eastAsia="Times New Roman" w:hAnsi="Calibri" w:cs="Calibri"/>
                <w:lang w:eastAsia="en-GB"/>
              </w:rPr>
            </w:pPr>
            <w:r w:rsidRPr="00066FB8">
              <w:rPr>
                <w:rFonts w:ascii="Calibri" w:eastAsia="Times New Roman" w:hAnsi="Calibri" w:cs="Calibri"/>
                <w:lang w:eastAsia="en-GB"/>
              </w:rPr>
              <w:t> </w:t>
            </w:r>
          </w:p>
        </w:tc>
        <w:tc>
          <w:tcPr>
            <w:tcW w:w="5812" w:type="dxa"/>
            <w:gridSpan w:val="4"/>
            <w:noWrap/>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Relations between Protestants and Catholics</w:t>
            </w:r>
          </w:p>
        </w:tc>
      </w:tr>
      <w:tr w:rsidR="005A36CA"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vMerge w:val="restart"/>
            <w:hideMark/>
          </w:tcPr>
          <w:p w:rsidR="00B52D4F" w:rsidRPr="00066FB8" w:rsidRDefault="00B52D4F" w:rsidP="00B52D4F">
            <w:pPr>
              <w:rPr>
                <w:rFonts w:ascii="Calibri" w:eastAsia="Times New Roman" w:hAnsi="Calibri" w:cs="Calibri"/>
                <w:lang w:eastAsia="en-GB"/>
              </w:rPr>
            </w:pPr>
            <w:r w:rsidRPr="00066FB8">
              <w:rPr>
                <w:rFonts w:ascii="Calibri" w:eastAsia="Times New Roman" w:hAnsi="Calibri" w:cs="Calibri"/>
                <w:lang w:eastAsia="en-GB"/>
              </w:rPr>
              <w:t> </w:t>
            </w:r>
          </w:p>
        </w:tc>
        <w:tc>
          <w:tcPr>
            <w:tcW w:w="2835" w:type="dxa"/>
            <w:gridSpan w:val="2"/>
            <w:noWrap/>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5 years ago</w:t>
            </w:r>
          </w:p>
        </w:tc>
        <w:tc>
          <w:tcPr>
            <w:tcW w:w="2977" w:type="dxa"/>
            <w:gridSpan w:val="2"/>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 xml:space="preserve">In 5 </w:t>
            </w:r>
            <w:proofErr w:type="spellStart"/>
            <w:r w:rsidRPr="00066FB8">
              <w:rPr>
                <w:rFonts w:ascii="Calibri" w:eastAsia="Times New Roman" w:hAnsi="Calibri" w:cs="Calibri"/>
                <w:lang w:eastAsia="en-GB"/>
              </w:rPr>
              <w:t>years time</w:t>
            </w:r>
            <w:proofErr w:type="spellEnd"/>
          </w:p>
        </w:tc>
      </w:tr>
      <w:tr w:rsidR="005A36CA"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vMerge/>
            <w:hideMark/>
          </w:tcPr>
          <w:p w:rsidR="00B52D4F" w:rsidRPr="00066FB8" w:rsidRDefault="00B52D4F" w:rsidP="00B52D4F">
            <w:pPr>
              <w:rPr>
                <w:rFonts w:ascii="Calibri" w:eastAsia="Times New Roman" w:hAnsi="Calibri" w:cs="Calibri"/>
                <w:lang w:eastAsia="en-GB"/>
              </w:rPr>
            </w:pPr>
          </w:p>
        </w:tc>
        <w:tc>
          <w:tcPr>
            <w:tcW w:w="1418" w:type="dxa"/>
            <w:noWrap/>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ABC</w:t>
            </w:r>
          </w:p>
        </w:tc>
        <w:tc>
          <w:tcPr>
            <w:tcW w:w="1417" w:type="dxa"/>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NI</w:t>
            </w:r>
          </w:p>
        </w:tc>
        <w:tc>
          <w:tcPr>
            <w:tcW w:w="1418" w:type="dxa"/>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ABC</w:t>
            </w:r>
          </w:p>
        </w:tc>
        <w:tc>
          <w:tcPr>
            <w:tcW w:w="1559" w:type="dxa"/>
            <w:hideMark/>
          </w:tcPr>
          <w:p w:rsidR="00B52D4F" w:rsidRPr="00066FB8" w:rsidRDefault="00B52D4F" w:rsidP="00B52D4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066FB8">
              <w:rPr>
                <w:rFonts w:ascii="Calibri" w:eastAsia="Times New Roman" w:hAnsi="Calibri" w:cs="Calibri"/>
                <w:lang w:eastAsia="en-GB"/>
              </w:rPr>
              <w:t>NI</w:t>
            </w:r>
          </w:p>
        </w:tc>
      </w:tr>
      <w:tr w:rsidR="00066FB8"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066FB8" w:rsidRPr="00066FB8" w:rsidRDefault="00066FB8" w:rsidP="00066FB8">
            <w:pPr>
              <w:rPr>
                <w:rFonts w:ascii="Calibri" w:eastAsia="Times New Roman" w:hAnsi="Calibri" w:cs="Calibri"/>
                <w:b w:val="0"/>
                <w:bCs w:val="0"/>
                <w:lang w:eastAsia="en-GB"/>
              </w:rPr>
            </w:pPr>
            <w:r w:rsidRPr="00066FB8">
              <w:rPr>
                <w:rFonts w:ascii="Calibri" w:eastAsia="Times New Roman" w:hAnsi="Calibri" w:cs="Calibri"/>
                <w:lang w:eastAsia="en-GB"/>
              </w:rPr>
              <w:t>Better</w:t>
            </w:r>
          </w:p>
        </w:tc>
        <w:tc>
          <w:tcPr>
            <w:tcW w:w="1418" w:type="dxa"/>
            <w:noWrap/>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39.8%</w:t>
            </w:r>
          </w:p>
        </w:tc>
        <w:tc>
          <w:tcPr>
            <w:tcW w:w="1417"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38.0%</w:t>
            </w:r>
          </w:p>
        </w:tc>
        <w:tc>
          <w:tcPr>
            <w:tcW w:w="1418"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33.8%</w:t>
            </w:r>
          </w:p>
        </w:tc>
        <w:tc>
          <w:tcPr>
            <w:tcW w:w="1559"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31.7%</w:t>
            </w:r>
          </w:p>
        </w:tc>
      </w:tr>
      <w:tr w:rsidR="00066FB8"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066FB8" w:rsidRPr="00066FB8" w:rsidRDefault="00066FB8" w:rsidP="00066FB8">
            <w:pPr>
              <w:rPr>
                <w:rFonts w:ascii="Calibri" w:eastAsia="Times New Roman" w:hAnsi="Calibri" w:cs="Calibri"/>
                <w:b w:val="0"/>
                <w:bCs w:val="0"/>
                <w:lang w:eastAsia="en-GB"/>
              </w:rPr>
            </w:pPr>
            <w:r w:rsidRPr="00066FB8">
              <w:rPr>
                <w:rFonts w:ascii="Calibri" w:eastAsia="Times New Roman" w:hAnsi="Calibri" w:cs="Calibri"/>
                <w:lang w:eastAsia="en-GB"/>
              </w:rPr>
              <w:t>Worse</w:t>
            </w:r>
          </w:p>
        </w:tc>
        <w:tc>
          <w:tcPr>
            <w:tcW w:w="1418" w:type="dxa"/>
            <w:noWrap/>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12.3%</w:t>
            </w:r>
          </w:p>
        </w:tc>
        <w:tc>
          <w:tcPr>
            <w:tcW w:w="1417"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12.3%</w:t>
            </w:r>
          </w:p>
        </w:tc>
        <w:tc>
          <w:tcPr>
            <w:tcW w:w="1418"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14.8%</w:t>
            </w:r>
          </w:p>
        </w:tc>
        <w:tc>
          <w:tcPr>
            <w:tcW w:w="1559"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14.4%</w:t>
            </w:r>
          </w:p>
        </w:tc>
      </w:tr>
      <w:tr w:rsidR="00066FB8"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066FB8" w:rsidRPr="00066FB8" w:rsidRDefault="00066FB8" w:rsidP="00066FB8">
            <w:pPr>
              <w:rPr>
                <w:rFonts w:ascii="Calibri" w:eastAsia="Times New Roman" w:hAnsi="Calibri" w:cs="Calibri"/>
                <w:b w:val="0"/>
                <w:bCs w:val="0"/>
                <w:lang w:eastAsia="en-GB"/>
              </w:rPr>
            </w:pPr>
            <w:r w:rsidRPr="00066FB8">
              <w:rPr>
                <w:rFonts w:ascii="Calibri" w:eastAsia="Times New Roman" w:hAnsi="Calibri" w:cs="Calibri"/>
                <w:lang w:eastAsia="en-GB"/>
              </w:rPr>
              <w:t>About the same</w:t>
            </w:r>
          </w:p>
        </w:tc>
        <w:tc>
          <w:tcPr>
            <w:tcW w:w="1418" w:type="dxa"/>
            <w:noWrap/>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40.7%</w:t>
            </w:r>
          </w:p>
        </w:tc>
        <w:tc>
          <w:tcPr>
            <w:tcW w:w="1417"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44.1%</w:t>
            </w:r>
          </w:p>
        </w:tc>
        <w:tc>
          <w:tcPr>
            <w:tcW w:w="1418"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35.4%</w:t>
            </w:r>
          </w:p>
        </w:tc>
        <w:tc>
          <w:tcPr>
            <w:tcW w:w="1559"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39.0%</w:t>
            </w:r>
          </w:p>
        </w:tc>
      </w:tr>
      <w:tr w:rsidR="00066FB8"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066FB8" w:rsidRPr="00066FB8" w:rsidRDefault="00066FB8" w:rsidP="00066FB8">
            <w:pPr>
              <w:rPr>
                <w:rFonts w:ascii="Calibri" w:eastAsia="Times New Roman" w:hAnsi="Calibri" w:cs="Calibri"/>
                <w:b w:val="0"/>
                <w:bCs w:val="0"/>
                <w:lang w:eastAsia="en-GB"/>
              </w:rPr>
            </w:pPr>
            <w:r w:rsidRPr="00066FB8">
              <w:rPr>
                <w:rFonts w:ascii="Calibri" w:eastAsia="Times New Roman" w:hAnsi="Calibri" w:cs="Calibri"/>
                <w:lang w:eastAsia="en-GB"/>
              </w:rPr>
              <w:t>Other</w:t>
            </w:r>
          </w:p>
        </w:tc>
        <w:tc>
          <w:tcPr>
            <w:tcW w:w="1418" w:type="dxa"/>
            <w:noWrap/>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0.4%</w:t>
            </w:r>
          </w:p>
        </w:tc>
        <w:tc>
          <w:tcPr>
            <w:tcW w:w="1417"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0.6%</w:t>
            </w:r>
          </w:p>
        </w:tc>
        <w:tc>
          <w:tcPr>
            <w:tcW w:w="1418"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0.8%</w:t>
            </w:r>
          </w:p>
        </w:tc>
        <w:tc>
          <w:tcPr>
            <w:tcW w:w="1559"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1.6%</w:t>
            </w:r>
          </w:p>
        </w:tc>
      </w:tr>
      <w:tr w:rsidR="00066FB8" w:rsidRPr="00066FB8" w:rsidTr="00066FB8">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066FB8" w:rsidRPr="00066FB8" w:rsidRDefault="00066FB8" w:rsidP="00066FB8">
            <w:pPr>
              <w:rPr>
                <w:rFonts w:ascii="Calibri" w:eastAsia="Times New Roman" w:hAnsi="Calibri" w:cs="Calibri"/>
                <w:b w:val="0"/>
                <w:bCs w:val="0"/>
                <w:lang w:eastAsia="en-GB"/>
              </w:rPr>
            </w:pPr>
            <w:r w:rsidRPr="00066FB8">
              <w:rPr>
                <w:rFonts w:ascii="Calibri" w:eastAsia="Times New Roman" w:hAnsi="Calibri" w:cs="Calibri"/>
                <w:lang w:eastAsia="en-GB"/>
              </w:rPr>
              <w:t>Don’t know</w:t>
            </w:r>
          </w:p>
        </w:tc>
        <w:tc>
          <w:tcPr>
            <w:tcW w:w="1418" w:type="dxa"/>
            <w:noWrap/>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6.6%</w:t>
            </w:r>
          </w:p>
        </w:tc>
        <w:tc>
          <w:tcPr>
            <w:tcW w:w="1417"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4.8%</w:t>
            </w:r>
          </w:p>
        </w:tc>
        <w:tc>
          <w:tcPr>
            <w:tcW w:w="1418"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15.2%</w:t>
            </w:r>
          </w:p>
        </w:tc>
        <w:tc>
          <w:tcPr>
            <w:tcW w:w="1559" w:type="dxa"/>
            <w:vAlign w:val="bottom"/>
            <w:hideMark/>
          </w:tcPr>
          <w:p w:rsidR="00066FB8" w:rsidRPr="00066FB8" w:rsidRDefault="00066FB8" w:rsidP="00066F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066FB8">
              <w:rPr>
                <w:rFonts w:ascii="Calibri" w:hAnsi="Calibri" w:cs="Calibri"/>
                <w:color w:val="000000"/>
              </w:rPr>
              <w:t>13.3%</w:t>
            </w:r>
          </w:p>
        </w:tc>
      </w:tr>
    </w:tbl>
    <w:p w:rsidR="00B52D4F" w:rsidRPr="00066FB8" w:rsidRDefault="00B52D4F" w:rsidP="00B52D4F">
      <w:pPr>
        <w:rPr>
          <w:i/>
          <w:sz w:val="20"/>
          <w:szCs w:val="20"/>
        </w:rPr>
      </w:pPr>
      <w:r w:rsidRPr="00066FB8">
        <w:rPr>
          <w:i/>
          <w:sz w:val="20"/>
          <w:szCs w:val="20"/>
        </w:rPr>
        <w:t>Table 1: Percentage of people who think relations between Protestants and Catholics are better, worse, or about the same as 5 years ago and 5 years from now in Armagh City, Banbridge and Craigavon Borough and Northern Ireland 201</w:t>
      </w:r>
      <w:r w:rsidR="00066FB8" w:rsidRPr="00066FB8">
        <w:rPr>
          <w:i/>
          <w:sz w:val="20"/>
          <w:szCs w:val="20"/>
        </w:rPr>
        <w:t>9</w:t>
      </w:r>
      <w:r w:rsidRPr="00066FB8">
        <w:rPr>
          <w:i/>
          <w:sz w:val="20"/>
          <w:szCs w:val="20"/>
        </w:rPr>
        <w:t xml:space="preserve"> - 20</w:t>
      </w:r>
      <w:r w:rsidR="00066FB8" w:rsidRPr="00066FB8">
        <w:rPr>
          <w:i/>
          <w:sz w:val="20"/>
          <w:szCs w:val="20"/>
        </w:rPr>
        <w:t>21</w:t>
      </w:r>
      <w:r w:rsidRPr="00066FB8">
        <w:rPr>
          <w:i/>
          <w:sz w:val="20"/>
          <w:szCs w:val="20"/>
        </w:rPr>
        <w:t>. Source: Northern Ireland Life and Times Survey (ARK).</w:t>
      </w:r>
    </w:p>
    <w:p w:rsidR="009A4057" w:rsidRPr="0080749D" w:rsidRDefault="00D713DB">
      <w:pPr>
        <w:rPr>
          <w:color w:val="FF0000"/>
          <w:sz w:val="8"/>
          <w:szCs w:val="8"/>
          <w:highlight w:val="yellow"/>
        </w:rPr>
      </w:pPr>
      <w:r>
        <w:rPr>
          <w:noProof/>
          <w:lang w:eastAsia="en-GB"/>
        </w:rPr>
        <w:lastRenderedPageBreak/>
        <w:drawing>
          <wp:inline distT="0" distB="0" distL="0" distR="0" wp14:anchorId="40E67FFB" wp14:editId="5890AEF8">
            <wp:extent cx="5448300" cy="3067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A4057" w:rsidRPr="0080749D">
        <w:rPr>
          <w:i/>
          <w:sz w:val="20"/>
          <w:szCs w:val="20"/>
        </w:rPr>
        <w:t>Figure 1: Percentage of people who think relations between Protestants and Catholics are better, worse, or about the same as 5 years ago and 5 years from now in Armagh City, Banbridge and Craigavon B</w:t>
      </w:r>
      <w:r w:rsidR="0080749D" w:rsidRPr="0080749D">
        <w:rPr>
          <w:i/>
          <w:sz w:val="20"/>
          <w:szCs w:val="20"/>
        </w:rPr>
        <w:t>orough and Northern Ireland 2019 to 2021</w:t>
      </w:r>
      <w:r w:rsidR="009A4057" w:rsidRPr="0080749D">
        <w:rPr>
          <w:i/>
          <w:sz w:val="20"/>
          <w:szCs w:val="20"/>
        </w:rPr>
        <w:t>. Source: Northern Ireland Life and Times Survey (ARK).</w:t>
      </w:r>
    </w:p>
    <w:p w:rsidR="009A4057" w:rsidRPr="00066FB8" w:rsidRDefault="009A4057">
      <w:pPr>
        <w:rPr>
          <w:color w:val="FF0000"/>
          <w:sz w:val="8"/>
          <w:szCs w:val="8"/>
          <w:highlight w:val="yellow"/>
        </w:rPr>
      </w:pPr>
    </w:p>
    <w:p w:rsidR="00A70F15" w:rsidRPr="0080749D" w:rsidRDefault="001D5FFB">
      <w:r w:rsidRPr="0080749D">
        <w:t>The NILT survey also asks:</w:t>
      </w:r>
    </w:p>
    <w:p w:rsidR="001D5FFB" w:rsidRPr="005353C2" w:rsidRDefault="001D5FFB" w:rsidP="005353C2">
      <w:pPr>
        <w:pStyle w:val="ListParagraph"/>
        <w:numPr>
          <w:ilvl w:val="0"/>
          <w:numId w:val="5"/>
        </w:numPr>
        <w:rPr>
          <w:i/>
          <w:sz w:val="20"/>
          <w:szCs w:val="20"/>
        </w:rPr>
      </w:pPr>
      <w:r w:rsidRPr="0080749D">
        <w:t>In some areas the communities are divided and Protestant and Catholics tend to go to different local shops or use different GP surgeries and other services. Thinking about this area, would you say this happens a lot, a little or not at all?</w:t>
      </w:r>
    </w:p>
    <w:p w:rsidR="00E127FE" w:rsidRPr="00433F1E" w:rsidRDefault="00C82132" w:rsidP="001D5FFB">
      <w:r w:rsidRPr="00433F1E">
        <w:t>Respondents to the survey in</w:t>
      </w:r>
      <w:r w:rsidR="00F07C44" w:rsidRPr="00433F1E">
        <w:t xml:space="preserve"> the combined years of</w:t>
      </w:r>
      <w:r w:rsidRPr="00433F1E">
        <w:t xml:space="preserve"> 201</w:t>
      </w:r>
      <w:r w:rsidR="0080749D" w:rsidRPr="00433F1E">
        <w:t>9, 2020</w:t>
      </w:r>
      <w:r w:rsidRPr="00433F1E">
        <w:t xml:space="preserve"> and 20</w:t>
      </w:r>
      <w:r w:rsidR="0080749D" w:rsidRPr="00433F1E">
        <w:t>21</w:t>
      </w:r>
      <w:r w:rsidRPr="00433F1E">
        <w:t xml:space="preserve"> in Armagh City, Banbridge and Craigavon</w:t>
      </w:r>
      <w:r w:rsidR="00F07C44" w:rsidRPr="00433F1E">
        <w:t xml:space="preserve"> Borough</w:t>
      </w:r>
      <w:r w:rsidRPr="00433F1E">
        <w:t xml:space="preserve"> </w:t>
      </w:r>
      <w:r w:rsidR="00E109C7" w:rsidRPr="00433F1E">
        <w:t>believe that Protestants and Catholics tend to go to different local shops, GP surgeries and other services</w:t>
      </w:r>
      <w:r w:rsidR="00BD294B" w:rsidRPr="00433F1E">
        <w:t xml:space="preserve"> a lot (</w:t>
      </w:r>
      <w:r w:rsidR="0080749D" w:rsidRPr="00433F1E">
        <w:t>24.2</w:t>
      </w:r>
      <w:r w:rsidR="00BD294B" w:rsidRPr="00433F1E">
        <w:t>%) or a little (</w:t>
      </w:r>
      <w:r w:rsidR="0080749D" w:rsidRPr="00433F1E">
        <w:t>28</w:t>
      </w:r>
      <w:r w:rsidR="00E127FE" w:rsidRPr="00433F1E">
        <w:t>.</w:t>
      </w:r>
      <w:r w:rsidR="0080749D" w:rsidRPr="00433F1E">
        <w:t xml:space="preserve">3%).  This has increased from the previous reported results for the combined years 2018-20 where 18% of respondents said this happened a lot and 26.2% said this happened a little.  The proportion who felt this does not happen at all has </w:t>
      </w:r>
      <w:r w:rsidR="00433F1E" w:rsidRPr="00433F1E">
        <w:t>fallen</w:t>
      </w:r>
      <w:r w:rsidR="0080749D" w:rsidRPr="00433F1E">
        <w:t xml:space="preserve"> from 44.7% in 2018-20 to 32</w:t>
      </w:r>
      <w:r w:rsidR="00E109C7" w:rsidRPr="00433F1E">
        <w:t xml:space="preserve">% </w:t>
      </w:r>
      <w:r w:rsidR="00433F1E" w:rsidRPr="00433F1E">
        <w:t xml:space="preserve">in 2019-21.  </w:t>
      </w:r>
      <w:r w:rsidR="00BD294B" w:rsidRPr="00433F1E">
        <w:t xml:space="preserve"> </w:t>
      </w:r>
      <w:r w:rsidR="00433F1E" w:rsidRPr="00433F1E">
        <w:t>In Northern Ireland overall, a higher portion of respondents reported that this does not happen at all (38.7%) while 19.1% believe it happens a lot and 28.8% a little.</w:t>
      </w:r>
      <w:r w:rsidR="00E109C7" w:rsidRPr="00433F1E">
        <w:t xml:space="preserve"> </w:t>
      </w:r>
    </w:p>
    <w:tbl>
      <w:tblPr>
        <w:tblStyle w:val="GridTable1Light"/>
        <w:tblW w:w="4678" w:type="dxa"/>
        <w:tblLook w:val="04A0" w:firstRow="1" w:lastRow="0" w:firstColumn="1" w:lastColumn="0" w:noHBand="0" w:noVBand="1"/>
        <w:tblCaption w:val="Percentage of people who think Protestants and Catholics use different local shops, GP surgeries and other services in Armagh City, Banbridge and Craigavon Borough and Northern Ireland 2018-2020."/>
      </w:tblPr>
      <w:tblGrid>
        <w:gridCol w:w="1843"/>
        <w:gridCol w:w="1417"/>
        <w:gridCol w:w="1418"/>
      </w:tblGrid>
      <w:tr w:rsidR="00E127FE" w:rsidRPr="0080749D" w:rsidTr="00187DB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E127FE" w:rsidRPr="0080749D" w:rsidRDefault="00E127FE" w:rsidP="00E127FE">
            <w:pPr>
              <w:rPr>
                <w:rFonts w:ascii="Calibri" w:eastAsia="Times New Roman" w:hAnsi="Calibri" w:cs="Calibri"/>
                <w:lang w:eastAsia="en-GB"/>
              </w:rPr>
            </w:pPr>
            <w:r w:rsidRPr="0080749D">
              <w:rPr>
                <w:rFonts w:ascii="Calibri" w:eastAsia="Times New Roman" w:hAnsi="Calibri" w:cs="Calibri"/>
                <w:lang w:eastAsia="en-GB"/>
              </w:rPr>
              <w:t> </w:t>
            </w:r>
          </w:p>
        </w:tc>
        <w:tc>
          <w:tcPr>
            <w:tcW w:w="1417" w:type="dxa"/>
            <w:noWrap/>
            <w:hideMark/>
          </w:tcPr>
          <w:p w:rsidR="00E127FE" w:rsidRPr="0080749D" w:rsidRDefault="00E127FE" w:rsidP="00E127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80749D">
              <w:rPr>
                <w:rFonts w:ascii="Calibri" w:eastAsia="Times New Roman" w:hAnsi="Calibri" w:cs="Calibri"/>
                <w:lang w:eastAsia="en-GB"/>
              </w:rPr>
              <w:t>ABC</w:t>
            </w:r>
          </w:p>
        </w:tc>
        <w:tc>
          <w:tcPr>
            <w:tcW w:w="1418" w:type="dxa"/>
            <w:hideMark/>
          </w:tcPr>
          <w:p w:rsidR="00E127FE" w:rsidRPr="0080749D" w:rsidRDefault="00E127FE" w:rsidP="00E127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eastAsia="en-GB"/>
              </w:rPr>
            </w:pPr>
            <w:r w:rsidRPr="0080749D">
              <w:rPr>
                <w:rFonts w:ascii="Calibri" w:eastAsia="Times New Roman" w:hAnsi="Calibri" w:cs="Calibri"/>
                <w:lang w:eastAsia="en-GB"/>
              </w:rPr>
              <w:t>NI</w:t>
            </w:r>
          </w:p>
        </w:tc>
      </w:tr>
      <w:tr w:rsidR="0080749D" w:rsidRPr="0080749D" w:rsidTr="000234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80749D" w:rsidRPr="0080749D" w:rsidRDefault="0080749D" w:rsidP="0080749D">
            <w:pPr>
              <w:rPr>
                <w:rFonts w:ascii="Calibri" w:eastAsia="Times New Roman" w:hAnsi="Calibri" w:cs="Calibri"/>
                <w:b w:val="0"/>
                <w:bCs w:val="0"/>
                <w:lang w:eastAsia="en-GB"/>
              </w:rPr>
            </w:pPr>
            <w:r w:rsidRPr="0080749D">
              <w:rPr>
                <w:rFonts w:ascii="Calibri" w:eastAsia="Times New Roman" w:hAnsi="Calibri" w:cs="Calibri"/>
                <w:lang w:eastAsia="en-GB"/>
              </w:rPr>
              <w:t>A lot</w:t>
            </w:r>
          </w:p>
        </w:tc>
        <w:tc>
          <w:tcPr>
            <w:tcW w:w="1417" w:type="dxa"/>
            <w:noWrap/>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24.2%</w:t>
            </w:r>
          </w:p>
        </w:tc>
        <w:tc>
          <w:tcPr>
            <w:tcW w:w="1418" w:type="dxa"/>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19.1%</w:t>
            </w:r>
          </w:p>
        </w:tc>
      </w:tr>
      <w:tr w:rsidR="0080749D" w:rsidRPr="0080749D" w:rsidTr="000234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80749D" w:rsidRPr="0080749D" w:rsidRDefault="0080749D" w:rsidP="0080749D">
            <w:pPr>
              <w:rPr>
                <w:rFonts w:ascii="Calibri" w:eastAsia="Times New Roman" w:hAnsi="Calibri" w:cs="Calibri"/>
                <w:b w:val="0"/>
                <w:bCs w:val="0"/>
                <w:lang w:eastAsia="en-GB"/>
              </w:rPr>
            </w:pPr>
            <w:r w:rsidRPr="0080749D">
              <w:rPr>
                <w:rFonts w:ascii="Calibri" w:eastAsia="Times New Roman" w:hAnsi="Calibri" w:cs="Calibri"/>
                <w:lang w:eastAsia="en-GB"/>
              </w:rPr>
              <w:t>A little</w:t>
            </w:r>
          </w:p>
        </w:tc>
        <w:tc>
          <w:tcPr>
            <w:tcW w:w="1417" w:type="dxa"/>
            <w:noWrap/>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28.3%</w:t>
            </w:r>
          </w:p>
        </w:tc>
        <w:tc>
          <w:tcPr>
            <w:tcW w:w="1418" w:type="dxa"/>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28.8%</w:t>
            </w:r>
          </w:p>
        </w:tc>
      </w:tr>
      <w:tr w:rsidR="0080749D" w:rsidRPr="0080749D" w:rsidTr="000234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80749D" w:rsidRPr="0080749D" w:rsidRDefault="0080749D" w:rsidP="0080749D">
            <w:pPr>
              <w:rPr>
                <w:rFonts w:ascii="Calibri" w:eastAsia="Times New Roman" w:hAnsi="Calibri" w:cs="Calibri"/>
                <w:b w:val="0"/>
                <w:bCs w:val="0"/>
                <w:lang w:eastAsia="en-GB"/>
              </w:rPr>
            </w:pPr>
            <w:r w:rsidRPr="0080749D">
              <w:rPr>
                <w:rFonts w:ascii="Calibri" w:eastAsia="Times New Roman" w:hAnsi="Calibri" w:cs="Calibri"/>
                <w:lang w:eastAsia="en-GB"/>
              </w:rPr>
              <w:t>Not at all</w:t>
            </w:r>
          </w:p>
        </w:tc>
        <w:tc>
          <w:tcPr>
            <w:tcW w:w="1417" w:type="dxa"/>
            <w:noWrap/>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32.0%</w:t>
            </w:r>
          </w:p>
        </w:tc>
        <w:tc>
          <w:tcPr>
            <w:tcW w:w="1418" w:type="dxa"/>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38.7%</w:t>
            </w:r>
          </w:p>
        </w:tc>
      </w:tr>
      <w:tr w:rsidR="0080749D" w:rsidRPr="0080749D" w:rsidTr="000234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dxa"/>
            <w:noWrap/>
            <w:hideMark/>
          </w:tcPr>
          <w:p w:rsidR="0080749D" w:rsidRPr="0080749D" w:rsidRDefault="0080749D" w:rsidP="0080749D">
            <w:pPr>
              <w:rPr>
                <w:rFonts w:ascii="Calibri" w:eastAsia="Times New Roman" w:hAnsi="Calibri" w:cs="Calibri"/>
                <w:b w:val="0"/>
                <w:bCs w:val="0"/>
                <w:lang w:eastAsia="en-GB"/>
              </w:rPr>
            </w:pPr>
            <w:r w:rsidRPr="0080749D">
              <w:rPr>
                <w:rFonts w:ascii="Calibri" w:eastAsia="Times New Roman" w:hAnsi="Calibri" w:cs="Calibri"/>
                <w:lang w:eastAsia="en-GB"/>
              </w:rPr>
              <w:t>Don’t know</w:t>
            </w:r>
          </w:p>
        </w:tc>
        <w:tc>
          <w:tcPr>
            <w:tcW w:w="1417" w:type="dxa"/>
            <w:noWrap/>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15.0%</w:t>
            </w:r>
          </w:p>
        </w:tc>
        <w:tc>
          <w:tcPr>
            <w:tcW w:w="1418" w:type="dxa"/>
            <w:vAlign w:val="bottom"/>
            <w:hideMark/>
          </w:tcPr>
          <w:p w:rsidR="0080749D" w:rsidRPr="0080749D" w:rsidRDefault="0080749D" w:rsidP="0080749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80749D">
              <w:rPr>
                <w:rFonts w:ascii="Calibri" w:hAnsi="Calibri" w:cs="Calibri"/>
                <w:color w:val="000000"/>
              </w:rPr>
              <w:t>13.3%</w:t>
            </w:r>
          </w:p>
        </w:tc>
      </w:tr>
    </w:tbl>
    <w:p w:rsidR="001D5FFB" w:rsidRDefault="00C82132" w:rsidP="001D5FFB">
      <w:pPr>
        <w:rPr>
          <w:i/>
          <w:sz w:val="20"/>
          <w:szCs w:val="20"/>
        </w:rPr>
      </w:pPr>
      <w:r w:rsidRPr="0080749D">
        <w:rPr>
          <w:i/>
          <w:sz w:val="20"/>
          <w:szCs w:val="20"/>
        </w:rPr>
        <w:t xml:space="preserve">Table 2: Percentage of people who think Protestants and Catholics use different local shops, GP surgeries and other services in Armagh City, Banbridge and Craigavon Borough </w:t>
      </w:r>
      <w:r w:rsidR="00F07C44" w:rsidRPr="0080749D">
        <w:rPr>
          <w:i/>
          <w:sz w:val="20"/>
          <w:szCs w:val="20"/>
        </w:rPr>
        <w:t xml:space="preserve">and Northern Ireland </w:t>
      </w:r>
      <w:r w:rsidR="0080749D" w:rsidRPr="0080749D">
        <w:rPr>
          <w:i/>
          <w:sz w:val="20"/>
          <w:szCs w:val="20"/>
        </w:rPr>
        <w:t>2019-2021</w:t>
      </w:r>
      <w:r w:rsidRPr="0080749D">
        <w:rPr>
          <w:i/>
          <w:sz w:val="20"/>
          <w:szCs w:val="20"/>
        </w:rPr>
        <w:t>. Source: Northern Ireland Life and Times Survey (ARK).</w:t>
      </w:r>
    </w:p>
    <w:p w:rsidR="00433F1E" w:rsidRDefault="00433F1E" w:rsidP="001D5FFB">
      <w:pPr>
        <w:rPr>
          <w:i/>
          <w:sz w:val="20"/>
          <w:szCs w:val="20"/>
        </w:rPr>
      </w:pPr>
    </w:p>
    <w:p w:rsidR="00433F1E" w:rsidRDefault="00433F1E" w:rsidP="001D5FFB">
      <w:pPr>
        <w:rPr>
          <w:i/>
          <w:sz w:val="20"/>
          <w:szCs w:val="20"/>
        </w:rPr>
      </w:pPr>
    </w:p>
    <w:p w:rsidR="00433F1E" w:rsidRDefault="00433F1E" w:rsidP="001D5FFB">
      <w:pPr>
        <w:rPr>
          <w:i/>
          <w:sz w:val="20"/>
          <w:szCs w:val="20"/>
        </w:rPr>
      </w:pPr>
    </w:p>
    <w:p w:rsidR="00E109C7" w:rsidRPr="00433F1E" w:rsidRDefault="00433F1E" w:rsidP="00E109C7">
      <w:pPr>
        <w:rPr>
          <w:i/>
          <w:sz w:val="20"/>
          <w:szCs w:val="20"/>
        </w:rPr>
      </w:pPr>
      <w:r>
        <w:rPr>
          <w:noProof/>
          <w:lang w:eastAsia="en-GB"/>
        </w:rPr>
        <w:lastRenderedPageBreak/>
        <w:drawing>
          <wp:inline distT="0" distB="0" distL="0" distR="0" wp14:anchorId="09EDF580" wp14:editId="2360885B">
            <wp:extent cx="5753100" cy="31908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109C7" w:rsidRPr="00433F1E">
        <w:rPr>
          <w:i/>
          <w:sz w:val="20"/>
          <w:szCs w:val="20"/>
        </w:rPr>
        <w:t xml:space="preserve">Figure 2: Percentage of people who think Protestants and Catholics use different local shops, GP surgeries and other services in Armagh City, Banbridge and Craigavon Borough </w:t>
      </w:r>
      <w:r w:rsidR="00F07C44" w:rsidRPr="00433F1E">
        <w:rPr>
          <w:i/>
          <w:sz w:val="20"/>
          <w:szCs w:val="20"/>
        </w:rPr>
        <w:t xml:space="preserve">and Northern Ireland </w:t>
      </w:r>
      <w:r w:rsidRPr="00433F1E">
        <w:rPr>
          <w:i/>
          <w:sz w:val="20"/>
          <w:szCs w:val="20"/>
        </w:rPr>
        <w:t>2019-2021</w:t>
      </w:r>
      <w:r w:rsidR="00E109C7" w:rsidRPr="00433F1E">
        <w:rPr>
          <w:i/>
          <w:sz w:val="20"/>
          <w:szCs w:val="20"/>
        </w:rPr>
        <w:t>. Source: Northern Ireland Life and Times Survey (ARK).</w:t>
      </w:r>
    </w:p>
    <w:p w:rsidR="00D41DF5" w:rsidRPr="00433F1E" w:rsidRDefault="00D41DF5" w:rsidP="00E109C7">
      <w:r w:rsidRPr="00433F1E">
        <w:t>The NILT survey further asks:</w:t>
      </w:r>
    </w:p>
    <w:p w:rsidR="00D41DF5" w:rsidRPr="00433F1E" w:rsidRDefault="00D41DF5" w:rsidP="005353C2">
      <w:pPr>
        <w:pStyle w:val="ListParagraph"/>
        <w:numPr>
          <w:ilvl w:val="0"/>
          <w:numId w:val="4"/>
        </w:numPr>
      </w:pPr>
      <w:r w:rsidRPr="00433F1E">
        <w:t>Do you think leisure centres in this area are ‘shared and open’ to both Protestants and Catholics?</w:t>
      </w:r>
    </w:p>
    <w:p w:rsidR="00D41DF5" w:rsidRPr="00433F1E" w:rsidRDefault="00D41DF5" w:rsidP="005353C2">
      <w:pPr>
        <w:pStyle w:val="ListParagraph"/>
        <w:numPr>
          <w:ilvl w:val="0"/>
          <w:numId w:val="4"/>
        </w:numPr>
      </w:pPr>
      <w:r w:rsidRPr="00433F1E">
        <w:t>Do you think that parks in this area are ‘shared and open’ to both Protestants and Catholics?</w:t>
      </w:r>
    </w:p>
    <w:p w:rsidR="00D41DF5" w:rsidRPr="00433F1E" w:rsidRDefault="00D41DF5" w:rsidP="005353C2">
      <w:pPr>
        <w:pStyle w:val="ListParagraph"/>
        <w:numPr>
          <w:ilvl w:val="0"/>
          <w:numId w:val="4"/>
        </w:numPr>
      </w:pPr>
      <w:r w:rsidRPr="00433F1E">
        <w:t>Do you think that libraries in this area are ‘shared and open’ to both Protestants and Catholics?</w:t>
      </w:r>
    </w:p>
    <w:p w:rsidR="00D41DF5" w:rsidRPr="00433F1E" w:rsidRDefault="00D41DF5" w:rsidP="005353C2">
      <w:pPr>
        <w:pStyle w:val="ListParagraph"/>
        <w:numPr>
          <w:ilvl w:val="0"/>
          <w:numId w:val="4"/>
        </w:numPr>
      </w:pPr>
      <w:r w:rsidRPr="00433F1E">
        <w:t>Do you think that shopping centres in this area are ‘shared and open’ to both Protestants and Catholics?</w:t>
      </w:r>
    </w:p>
    <w:p w:rsidR="00E31146" w:rsidRPr="00066FB8" w:rsidRDefault="00E31146" w:rsidP="00E31146">
      <w:pPr>
        <w:pStyle w:val="ListParagraph"/>
        <w:rPr>
          <w:color w:val="FF0000"/>
          <w:highlight w:val="yellow"/>
        </w:rPr>
      </w:pPr>
    </w:p>
    <w:p w:rsidR="00D41DF5" w:rsidRPr="00E5426A" w:rsidRDefault="00D5057C" w:rsidP="00D41DF5">
      <w:r w:rsidRPr="00E5426A">
        <w:t xml:space="preserve">In Armagh City, Banbridge and Craigavon Borough </w:t>
      </w:r>
      <w:r w:rsidR="00E5426A" w:rsidRPr="00E5426A">
        <w:t>73</w:t>
      </w:r>
      <w:r w:rsidR="000062C3" w:rsidRPr="00E5426A">
        <w:t xml:space="preserve">% of </w:t>
      </w:r>
      <w:r w:rsidRPr="00E5426A">
        <w:t xml:space="preserve">respondents to the </w:t>
      </w:r>
      <w:r w:rsidR="000062C3" w:rsidRPr="00E5426A">
        <w:t xml:space="preserve">combined years of the </w:t>
      </w:r>
      <w:r w:rsidRPr="00E5426A">
        <w:t>201</w:t>
      </w:r>
      <w:r w:rsidR="00433F1E" w:rsidRPr="00E5426A">
        <w:t>9, 2020</w:t>
      </w:r>
      <w:r w:rsidRPr="00E5426A">
        <w:t xml:space="preserve"> and 20</w:t>
      </w:r>
      <w:r w:rsidR="00433F1E" w:rsidRPr="00E5426A">
        <w:t>21</w:t>
      </w:r>
      <w:r w:rsidRPr="00E5426A">
        <w:t xml:space="preserve"> </w:t>
      </w:r>
      <w:r w:rsidR="000062C3" w:rsidRPr="00E5426A">
        <w:t xml:space="preserve">survey </w:t>
      </w:r>
      <w:r w:rsidR="0015593E" w:rsidRPr="00E5426A">
        <w:t>think that leisure centres are definit</w:t>
      </w:r>
      <w:r w:rsidR="00BD294B" w:rsidRPr="00E5426A">
        <w:t xml:space="preserve">ely ‘shared and open’ while </w:t>
      </w:r>
      <w:r w:rsidR="00005696" w:rsidRPr="00E5426A">
        <w:t>1</w:t>
      </w:r>
      <w:r w:rsidR="00E5426A" w:rsidRPr="00E5426A">
        <w:t>3.5</w:t>
      </w:r>
      <w:r w:rsidR="0015593E" w:rsidRPr="00E5426A">
        <w:t xml:space="preserve">% think they are probably ‘shared </w:t>
      </w:r>
      <w:r w:rsidR="00BD294B" w:rsidRPr="00E5426A">
        <w:t xml:space="preserve">and open’. This compared to </w:t>
      </w:r>
      <w:r w:rsidR="00E5426A" w:rsidRPr="00E5426A">
        <w:t>61.8</w:t>
      </w:r>
      <w:r w:rsidR="0015593E" w:rsidRPr="00E5426A">
        <w:t>% of respondents in Northern Ireland overall answering that leisure centres are definit</w:t>
      </w:r>
      <w:r w:rsidR="00BD294B" w:rsidRPr="00E5426A">
        <w:t xml:space="preserve">ely ‘shared and open’ while </w:t>
      </w:r>
      <w:r w:rsidR="00E5426A" w:rsidRPr="00E5426A">
        <w:t>22.7</w:t>
      </w:r>
      <w:r w:rsidR="0015593E" w:rsidRPr="00E5426A">
        <w:t>% think they are probably ‘shared and open’.</w:t>
      </w:r>
    </w:p>
    <w:p w:rsidR="0015593E" w:rsidRPr="00E5426A" w:rsidRDefault="00993B54" w:rsidP="00D41DF5">
      <w:r w:rsidRPr="00E5426A">
        <w:t xml:space="preserve">When </w:t>
      </w:r>
      <w:r w:rsidR="0015593E" w:rsidRPr="00E5426A">
        <w:t>respondents in the boroug</w:t>
      </w:r>
      <w:r w:rsidRPr="00E5426A">
        <w:t xml:space="preserve">h were asked about parks, </w:t>
      </w:r>
      <w:r w:rsidR="00E5426A" w:rsidRPr="00E5426A">
        <w:t>70.3</w:t>
      </w:r>
      <w:r w:rsidRPr="00E5426A">
        <w:t>% answered</w:t>
      </w:r>
      <w:r w:rsidR="0015593E" w:rsidRPr="00E5426A">
        <w:t xml:space="preserve"> t</w:t>
      </w:r>
      <w:r w:rsidRPr="00E5426A">
        <w:t xml:space="preserve">hat they are definitely and </w:t>
      </w:r>
      <w:r w:rsidR="00E5426A" w:rsidRPr="00E5426A">
        <w:t>16.5</w:t>
      </w:r>
      <w:r w:rsidR="0015593E" w:rsidRPr="00E5426A">
        <w:t>% probably ‘shared and open’. Comparing these to Northern Ireland overall respon</w:t>
      </w:r>
      <w:r w:rsidRPr="00E5426A">
        <w:t xml:space="preserve">ses were </w:t>
      </w:r>
      <w:r w:rsidR="00E5426A" w:rsidRPr="00E5426A">
        <w:t>64.2% and 22.2</w:t>
      </w:r>
      <w:r w:rsidR="0015593E" w:rsidRPr="00E5426A">
        <w:t>% respectively.</w:t>
      </w:r>
    </w:p>
    <w:p w:rsidR="0015593E" w:rsidRPr="00785F31" w:rsidRDefault="0015593E" w:rsidP="00D41DF5">
      <w:r w:rsidRPr="00785F31">
        <w:t xml:space="preserve">Agreement that libraries are definitely and probably ‘shared and open’ to both Protestants and Catholics </w:t>
      </w:r>
      <w:r w:rsidR="00993B54" w:rsidRPr="00785F31">
        <w:t>was higher in</w:t>
      </w:r>
      <w:r w:rsidR="00E31146" w:rsidRPr="00785F31">
        <w:t xml:space="preserve"> </w:t>
      </w:r>
      <w:r w:rsidR="00E5182C">
        <w:t xml:space="preserve">Northern Ireland than in </w:t>
      </w:r>
      <w:r w:rsidR="00E31146" w:rsidRPr="00785F31">
        <w:t xml:space="preserve">Armagh City, Banbridge and Craigavon </w:t>
      </w:r>
      <w:r w:rsidR="00993B54" w:rsidRPr="00785F31">
        <w:t>Borough</w:t>
      </w:r>
      <w:r w:rsidR="00E31146" w:rsidRPr="00785F31">
        <w:t xml:space="preserve">. </w:t>
      </w:r>
    </w:p>
    <w:p w:rsidR="00993B54" w:rsidRPr="00785F31" w:rsidRDefault="009A7913" w:rsidP="00D41DF5">
      <w:r w:rsidRPr="00785F31">
        <w:t>Shopping centres are thought</w:t>
      </w:r>
      <w:r w:rsidR="00993B54" w:rsidRPr="00785F31">
        <w:t xml:space="preserve"> to be ‘shared and open’ by </w:t>
      </w:r>
      <w:r w:rsidR="00785F31" w:rsidRPr="00785F31">
        <w:t>88</w:t>
      </w:r>
      <w:r w:rsidR="00E5182C">
        <w:t>.7</w:t>
      </w:r>
      <w:r w:rsidRPr="00785F31">
        <w:t xml:space="preserve">% of respondents in Armagh City, Banbridge and Craigavon </w:t>
      </w:r>
      <w:r w:rsidR="00F07C44" w:rsidRPr="00785F31">
        <w:t xml:space="preserve">Borough </w:t>
      </w:r>
      <w:r w:rsidR="00993B54" w:rsidRPr="00785F31">
        <w:t>(</w:t>
      </w:r>
      <w:r w:rsidR="00785F31" w:rsidRPr="00785F31">
        <w:t>76.9</w:t>
      </w:r>
      <w:r w:rsidRPr="00785F31">
        <w:t xml:space="preserve">% yes </w:t>
      </w:r>
      <w:r w:rsidR="00993B54" w:rsidRPr="00785F31">
        <w:t xml:space="preserve">definitely, </w:t>
      </w:r>
      <w:r w:rsidR="00785F31" w:rsidRPr="00785F31">
        <w:t>11.8</w:t>
      </w:r>
      <w:r w:rsidRPr="00785F31">
        <w:t xml:space="preserve">% yes probably). This is slightly </w:t>
      </w:r>
      <w:r w:rsidR="00E5182C">
        <w:t xml:space="preserve">lower </w:t>
      </w:r>
      <w:r w:rsidR="00993B54" w:rsidRPr="00785F31">
        <w:t>than</w:t>
      </w:r>
      <w:r w:rsidR="00E5182C">
        <w:t xml:space="preserve"> the responses for</w:t>
      </w:r>
      <w:r w:rsidR="00993B54" w:rsidRPr="00785F31">
        <w:t xml:space="preserve"> Northern Ireland overall (</w:t>
      </w:r>
      <w:r w:rsidR="00005696" w:rsidRPr="00785F31">
        <w:t>9</w:t>
      </w:r>
      <w:r w:rsidR="00785F31" w:rsidRPr="00785F31">
        <w:t>0</w:t>
      </w:r>
      <w:r w:rsidR="00005696" w:rsidRPr="00785F31">
        <w:t>.3</w:t>
      </w:r>
      <w:r w:rsidRPr="00785F31">
        <w:t xml:space="preserve">%). </w:t>
      </w:r>
    </w:p>
    <w:p w:rsidR="00150ABB" w:rsidRPr="00066FB8" w:rsidRDefault="00150ABB" w:rsidP="00D41DF5">
      <w:pPr>
        <w:rPr>
          <w:highlight w:val="yellow"/>
        </w:rPr>
      </w:pPr>
    </w:p>
    <w:tbl>
      <w:tblPr>
        <w:tblStyle w:val="GridTable1Light"/>
        <w:tblW w:w="9342" w:type="dxa"/>
        <w:tblLook w:val="04A0" w:firstRow="1" w:lastRow="0" w:firstColumn="1" w:lastColumn="0" w:noHBand="0" w:noVBand="1"/>
        <w:tblCaption w:val="Percentage of people who think, in their area, leisure centres, parks, libraries and shopping centres are 'shared and open' to both Protestants and Catholic`s in Armagh City, Banbridge and Craigavon Borough and Northern Ireland 2018-2020 "/>
      </w:tblPr>
      <w:tblGrid>
        <w:gridCol w:w="1833"/>
        <w:gridCol w:w="938"/>
        <w:gridCol w:w="939"/>
        <w:gridCol w:w="938"/>
        <w:gridCol w:w="939"/>
        <w:gridCol w:w="939"/>
        <w:gridCol w:w="938"/>
        <w:gridCol w:w="939"/>
        <w:gridCol w:w="939"/>
      </w:tblGrid>
      <w:tr w:rsidR="00F53768" w:rsidRPr="00E5426A" w:rsidTr="00F5376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33" w:type="dxa"/>
            <w:hideMark/>
          </w:tcPr>
          <w:p w:rsidR="007237D0" w:rsidRPr="00E5426A" w:rsidRDefault="007237D0" w:rsidP="007237D0">
            <w:pPr>
              <w:rPr>
                <w:rFonts w:ascii="Calibri" w:eastAsia="Times New Roman" w:hAnsi="Calibri" w:cs="Calibri"/>
                <w:lang w:eastAsia="en-GB"/>
              </w:rPr>
            </w:pPr>
            <w:r w:rsidRPr="00E5426A">
              <w:rPr>
                <w:rFonts w:ascii="Calibri" w:eastAsia="Times New Roman" w:hAnsi="Calibri" w:cs="Calibri"/>
                <w:lang w:eastAsia="en-GB"/>
              </w:rPr>
              <w:lastRenderedPageBreak/>
              <w:t> </w:t>
            </w:r>
          </w:p>
        </w:tc>
        <w:tc>
          <w:tcPr>
            <w:tcW w:w="7509" w:type="dxa"/>
            <w:gridSpan w:val="8"/>
            <w:noWrap/>
            <w:hideMark/>
          </w:tcPr>
          <w:p w:rsidR="007237D0" w:rsidRPr="00E5426A" w:rsidRDefault="007237D0" w:rsidP="007237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5426A">
              <w:rPr>
                <w:rFonts w:ascii="Calibri" w:eastAsia="Times New Roman" w:hAnsi="Calibri" w:cs="Calibri"/>
                <w:lang w:eastAsia="en-GB"/>
              </w:rPr>
              <w:t>. . . . . in this area are ‘shared and open’ to both Protestants and Catholics</w:t>
            </w:r>
          </w:p>
        </w:tc>
      </w:tr>
      <w:tr w:rsidR="00F53768" w:rsidRPr="00E5426A" w:rsidTr="00F53768">
        <w:trPr>
          <w:trHeight w:val="300"/>
        </w:trPr>
        <w:tc>
          <w:tcPr>
            <w:cnfStyle w:val="001000000000" w:firstRow="0" w:lastRow="0" w:firstColumn="1" w:lastColumn="0" w:oddVBand="0" w:evenVBand="0" w:oddHBand="0" w:evenHBand="0" w:firstRowFirstColumn="0" w:firstRowLastColumn="0" w:lastRowFirstColumn="0" w:lastRowLastColumn="0"/>
            <w:tcW w:w="1833" w:type="dxa"/>
            <w:hideMark/>
          </w:tcPr>
          <w:p w:rsidR="007237D0" w:rsidRPr="00E5426A" w:rsidRDefault="007237D0" w:rsidP="007237D0">
            <w:pPr>
              <w:rPr>
                <w:rFonts w:ascii="Calibri" w:eastAsia="Times New Roman" w:hAnsi="Calibri" w:cs="Calibri"/>
                <w:lang w:eastAsia="en-GB"/>
              </w:rPr>
            </w:pPr>
            <w:r w:rsidRPr="00E5426A">
              <w:rPr>
                <w:rFonts w:ascii="Calibri" w:eastAsia="Times New Roman" w:hAnsi="Calibri" w:cs="Calibri"/>
                <w:lang w:eastAsia="en-GB"/>
              </w:rPr>
              <w:t> </w:t>
            </w:r>
          </w:p>
        </w:tc>
        <w:tc>
          <w:tcPr>
            <w:tcW w:w="1877" w:type="dxa"/>
            <w:gridSpan w:val="2"/>
            <w:noWrap/>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Leisure Centres</w:t>
            </w:r>
          </w:p>
        </w:tc>
        <w:tc>
          <w:tcPr>
            <w:tcW w:w="1877" w:type="dxa"/>
            <w:gridSpan w:val="2"/>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Parks</w:t>
            </w:r>
          </w:p>
        </w:tc>
        <w:tc>
          <w:tcPr>
            <w:tcW w:w="1877" w:type="dxa"/>
            <w:gridSpan w:val="2"/>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Libraries</w:t>
            </w:r>
          </w:p>
        </w:tc>
        <w:tc>
          <w:tcPr>
            <w:tcW w:w="1878" w:type="dxa"/>
            <w:gridSpan w:val="2"/>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Shopping Centres</w:t>
            </w:r>
          </w:p>
        </w:tc>
      </w:tr>
      <w:tr w:rsidR="00F53768" w:rsidRPr="00E5426A" w:rsidTr="00F53768">
        <w:trPr>
          <w:trHeight w:val="300"/>
        </w:trPr>
        <w:tc>
          <w:tcPr>
            <w:cnfStyle w:val="001000000000" w:firstRow="0" w:lastRow="0" w:firstColumn="1" w:lastColumn="0" w:oddVBand="0" w:evenVBand="0" w:oddHBand="0" w:evenHBand="0" w:firstRowFirstColumn="0" w:firstRowLastColumn="0" w:lastRowFirstColumn="0" w:lastRowLastColumn="0"/>
            <w:tcW w:w="1833" w:type="dxa"/>
            <w:hideMark/>
          </w:tcPr>
          <w:p w:rsidR="007237D0" w:rsidRPr="00E5426A" w:rsidRDefault="007237D0" w:rsidP="007237D0">
            <w:pPr>
              <w:rPr>
                <w:rFonts w:ascii="Calibri" w:eastAsia="Times New Roman" w:hAnsi="Calibri" w:cs="Calibri"/>
                <w:lang w:eastAsia="en-GB"/>
              </w:rPr>
            </w:pPr>
            <w:r w:rsidRPr="00E5426A">
              <w:rPr>
                <w:rFonts w:ascii="Calibri" w:eastAsia="Times New Roman" w:hAnsi="Calibri" w:cs="Calibri"/>
                <w:lang w:eastAsia="en-GB"/>
              </w:rPr>
              <w:t> </w:t>
            </w:r>
          </w:p>
        </w:tc>
        <w:tc>
          <w:tcPr>
            <w:tcW w:w="938" w:type="dxa"/>
            <w:noWrap/>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ABC</w:t>
            </w:r>
          </w:p>
        </w:tc>
        <w:tc>
          <w:tcPr>
            <w:tcW w:w="939"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NI</w:t>
            </w:r>
          </w:p>
        </w:tc>
        <w:tc>
          <w:tcPr>
            <w:tcW w:w="938"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ABC</w:t>
            </w:r>
          </w:p>
        </w:tc>
        <w:tc>
          <w:tcPr>
            <w:tcW w:w="939"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NI</w:t>
            </w:r>
          </w:p>
        </w:tc>
        <w:tc>
          <w:tcPr>
            <w:tcW w:w="939"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ABC</w:t>
            </w:r>
          </w:p>
        </w:tc>
        <w:tc>
          <w:tcPr>
            <w:tcW w:w="938"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NI</w:t>
            </w:r>
          </w:p>
        </w:tc>
        <w:tc>
          <w:tcPr>
            <w:tcW w:w="939"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ABC</w:t>
            </w:r>
          </w:p>
        </w:tc>
        <w:tc>
          <w:tcPr>
            <w:tcW w:w="939" w:type="dxa"/>
            <w:hideMark/>
          </w:tcPr>
          <w:p w:rsidR="007237D0" w:rsidRPr="00E5426A" w:rsidRDefault="007237D0" w:rsidP="007237D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5426A">
              <w:rPr>
                <w:rFonts w:ascii="Calibri" w:eastAsia="Times New Roman" w:hAnsi="Calibri" w:cs="Calibri"/>
                <w:b/>
                <w:bCs/>
                <w:lang w:eastAsia="en-GB"/>
              </w:rPr>
              <w:t>NI</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Yes definitely</w:t>
            </w:r>
          </w:p>
        </w:tc>
        <w:tc>
          <w:tcPr>
            <w:tcW w:w="938" w:type="dxa"/>
            <w:noWrap/>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73.0%</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61.8%</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70.3%</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64.2%</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76.9%</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67.3%</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76.9%</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71.0%</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Yes probably</w:t>
            </w:r>
          </w:p>
        </w:tc>
        <w:tc>
          <w:tcPr>
            <w:tcW w:w="938" w:type="dxa"/>
            <w:noWrap/>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13.5%</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22.7%</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16.5%</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22.2%</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11.6%</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22.5%</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11.8%</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19.2%</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No probably not</w:t>
            </w:r>
          </w:p>
        </w:tc>
        <w:tc>
          <w:tcPr>
            <w:tcW w:w="938" w:type="dxa"/>
            <w:noWrap/>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1.6%</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5.4%</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3.3%</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5.5%</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2.3%</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2.7%</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0.7%</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1.8%</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No definitely not</w:t>
            </w:r>
          </w:p>
        </w:tc>
        <w:tc>
          <w:tcPr>
            <w:tcW w:w="938" w:type="dxa"/>
            <w:noWrap/>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1.2%</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1.7%</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1.0%</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1.8%</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0.2%</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0.6%</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0.2%</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0.4%</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None in this area</w:t>
            </w:r>
          </w:p>
        </w:tc>
        <w:tc>
          <w:tcPr>
            <w:tcW w:w="938" w:type="dxa"/>
            <w:noWrap/>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7.8%</w:t>
            </w:r>
          </w:p>
        </w:tc>
        <w:tc>
          <w:tcPr>
            <w:tcW w:w="939"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5.3%</w:t>
            </w:r>
          </w:p>
        </w:tc>
        <w:tc>
          <w:tcPr>
            <w:tcW w:w="938"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6.7%</w:t>
            </w:r>
          </w:p>
        </w:tc>
        <w:tc>
          <w:tcPr>
            <w:tcW w:w="939"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4.0%</w:t>
            </w:r>
          </w:p>
        </w:tc>
        <w:tc>
          <w:tcPr>
            <w:tcW w:w="939"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6.6%</w:t>
            </w:r>
          </w:p>
        </w:tc>
        <w:tc>
          <w:tcPr>
            <w:tcW w:w="938"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4.4%</w:t>
            </w:r>
          </w:p>
        </w:tc>
        <w:tc>
          <w:tcPr>
            <w:tcW w:w="939"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8.7%</w:t>
            </w:r>
          </w:p>
        </w:tc>
        <w:tc>
          <w:tcPr>
            <w:tcW w:w="939" w:type="dxa"/>
            <w:vAlign w:val="bottom"/>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5.6%</w:t>
            </w:r>
          </w:p>
        </w:tc>
      </w:tr>
      <w:tr w:rsidR="00E5426A" w:rsidRPr="00E5426A" w:rsidTr="004D1F6B">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rsidR="00E5426A" w:rsidRPr="00E5426A" w:rsidRDefault="00E5426A" w:rsidP="00E5426A">
            <w:pPr>
              <w:rPr>
                <w:rFonts w:ascii="Calibri" w:eastAsia="Times New Roman" w:hAnsi="Calibri" w:cs="Calibri"/>
                <w:lang w:eastAsia="en-GB"/>
              </w:rPr>
            </w:pPr>
            <w:r w:rsidRPr="00E5426A">
              <w:rPr>
                <w:rFonts w:ascii="Calibri" w:eastAsia="Times New Roman" w:hAnsi="Calibri" w:cs="Calibri"/>
                <w:lang w:eastAsia="en-GB"/>
              </w:rPr>
              <w:t>Don’t know</w:t>
            </w:r>
          </w:p>
        </w:tc>
        <w:tc>
          <w:tcPr>
            <w:tcW w:w="938" w:type="dxa"/>
            <w:noWrap/>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2.4%</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2.9%</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1.7%</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2.1%</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1.8%</w:t>
            </w:r>
          </w:p>
        </w:tc>
        <w:tc>
          <w:tcPr>
            <w:tcW w:w="938"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2.3%</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1.2%</w:t>
            </w:r>
          </w:p>
        </w:tc>
        <w:tc>
          <w:tcPr>
            <w:tcW w:w="939" w:type="dxa"/>
            <w:vAlign w:val="bottom"/>
            <w:hideMark/>
          </w:tcPr>
          <w:p w:rsidR="00E5426A" w:rsidRPr="00E5426A" w:rsidRDefault="00E5426A" w:rsidP="00E542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5426A">
              <w:rPr>
                <w:rFonts w:ascii="Calibri" w:hAnsi="Calibri" w:cs="Calibri"/>
                <w:color w:val="000000"/>
              </w:rPr>
              <w:t>1.7%</w:t>
            </w:r>
          </w:p>
        </w:tc>
      </w:tr>
    </w:tbl>
    <w:p w:rsidR="00150ABB" w:rsidRPr="00E5426A" w:rsidRDefault="00F53768" w:rsidP="00D41DF5">
      <w:pPr>
        <w:rPr>
          <w:i/>
          <w:sz w:val="20"/>
          <w:szCs w:val="20"/>
        </w:rPr>
      </w:pPr>
      <w:r w:rsidRPr="00E5426A">
        <w:rPr>
          <w:i/>
          <w:sz w:val="20"/>
          <w:szCs w:val="20"/>
        </w:rPr>
        <w:t>Table 3: Percentage of people who think, in their area, leisure centres, parks, libraries and shopping centres are ‘shared and open’ to both Protestants and Catholics in Armagh City, Banbridge and Craigavon Borough and Northern Ireland 201</w:t>
      </w:r>
      <w:r w:rsidR="00E5426A" w:rsidRPr="00E5426A">
        <w:rPr>
          <w:i/>
          <w:sz w:val="20"/>
          <w:szCs w:val="20"/>
        </w:rPr>
        <w:t>9 - 2021</w:t>
      </w:r>
      <w:r w:rsidRPr="00E5426A">
        <w:rPr>
          <w:i/>
          <w:sz w:val="20"/>
          <w:szCs w:val="20"/>
        </w:rPr>
        <w:t>. Source: Northern Ireland Life and Times Survey (ARK).</w:t>
      </w:r>
    </w:p>
    <w:p w:rsidR="00F53768" w:rsidRDefault="00F53768" w:rsidP="00D41DF5">
      <w:pPr>
        <w:rPr>
          <w:highlight w:val="yellow"/>
        </w:rPr>
      </w:pPr>
    </w:p>
    <w:p w:rsidR="00BB437E" w:rsidRDefault="00E5426A" w:rsidP="00D41DF5">
      <w:pPr>
        <w:rPr>
          <w:i/>
          <w:sz w:val="20"/>
          <w:szCs w:val="20"/>
        </w:rPr>
      </w:pPr>
      <w:r>
        <w:rPr>
          <w:noProof/>
          <w:lang w:eastAsia="en-GB"/>
        </w:rPr>
        <w:drawing>
          <wp:inline distT="0" distB="0" distL="0" distR="0" wp14:anchorId="44664AF9" wp14:editId="4579C8F0">
            <wp:extent cx="5731510" cy="3050540"/>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02D01" w:rsidRPr="00E5426A">
        <w:rPr>
          <w:i/>
          <w:sz w:val="20"/>
          <w:szCs w:val="20"/>
        </w:rPr>
        <w:t>Figure 3: Percentage of people who think</w:t>
      </w:r>
      <w:r w:rsidR="002A7B81" w:rsidRPr="00E5426A">
        <w:rPr>
          <w:i/>
          <w:sz w:val="20"/>
          <w:szCs w:val="20"/>
        </w:rPr>
        <w:t>,</w:t>
      </w:r>
      <w:r w:rsidR="00602D01" w:rsidRPr="00E5426A">
        <w:rPr>
          <w:i/>
          <w:sz w:val="20"/>
          <w:szCs w:val="20"/>
        </w:rPr>
        <w:t xml:space="preserve"> in their area</w:t>
      </w:r>
      <w:r w:rsidR="002A7B81" w:rsidRPr="00E5426A">
        <w:rPr>
          <w:i/>
          <w:sz w:val="20"/>
          <w:szCs w:val="20"/>
        </w:rPr>
        <w:t>,</w:t>
      </w:r>
      <w:r w:rsidR="00602D01" w:rsidRPr="00E5426A">
        <w:rPr>
          <w:i/>
          <w:sz w:val="20"/>
          <w:szCs w:val="20"/>
        </w:rPr>
        <w:t xml:space="preserve"> leisure centres, parks, libraries and shopping centres are ‘shared and open’ to both Protestant and Catholics in Armagh City, Banbridge and Craigavon Boro</w:t>
      </w:r>
      <w:r w:rsidR="00E44DC2" w:rsidRPr="00E5426A">
        <w:rPr>
          <w:i/>
          <w:sz w:val="20"/>
          <w:szCs w:val="20"/>
        </w:rPr>
        <w:t>ugh and Northern Ireland 20</w:t>
      </w:r>
      <w:r w:rsidR="00602D01" w:rsidRPr="00E5426A">
        <w:rPr>
          <w:i/>
          <w:sz w:val="20"/>
          <w:szCs w:val="20"/>
        </w:rPr>
        <w:t>1</w:t>
      </w:r>
      <w:r w:rsidRPr="00E5426A">
        <w:rPr>
          <w:i/>
          <w:sz w:val="20"/>
          <w:szCs w:val="20"/>
        </w:rPr>
        <w:t>9</w:t>
      </w:r>
      <w:r w:rsidR="00602D01" w:rsidRPr="00E5426A">
        <w:rPr>
          <w:i/>
          <w:sz w:val="20"/>
          <w:szCs w:val="20"/>
        </w:rPr>
        <w:t>-2</w:t>
      </w:r>
      <w:r w:rsidRPr="00E5426A">
        <w:rPr>
          <w:i/>
          <w:sz w:val="20"/>
          <w:szCs w:val="20"/>
        </w:rPr>
        <w:t>1</w:t>
      </w:r>
      <w:r w:rsidR="00602D01" w:rsidRPr="00E5426A">
        <w:rPr>
          <w:i/>
          <w:sz w:val="20"/>
          <w:szCs w:val="20"/>
        </w:rPr>
        <w:t>. Source: Northern Ireland Life and Times Survey (ARK).</w:t>
      </w:r>
    </w:p>
    <w:p w:rsidR="0087526D" w:rsidRPr="00066FB8" w:rsidRDefault="0087526D" w:rsidP="008C3AA6">
      <w:pPr>
        <w:rPr>
          <w:highlight w:val="yellow"/>
        </w:rPr>
      </w:pPr>
    </w:p>
    <w:p w:rsidR="00732606" w:rsidRPr="00E5426A" w:rsidRDefault="002A5C57" w:rsidP="008C3AA6">
      <w:r w:rsidRPr="00E5426A">
        <w:t>Further information can be found via the following link</w:t>
      </w:r>
      <w:r w:rsidR="00993B54" w:rsidRPr="00E5426A">
        <w:t>s</w:t>
      </w:r>
      <w:r w:rsidRPr="00E5426A">
        <w:t>:</w:t>
      </w:r>
    </w:p>
    <w:p w:rsidR="00993B54" w:rsidRPr="00E5426A" w:rsidRDefault="00871FF4" w:rsidP="008C3AA6">
      <w:hyperlink r:id="rId11" w:history="1">
        <w:r w:rsidR="002A5C57" w:rsidRPr="00E5426A">
          <w:rPr>
            <w:rStyle w:val="Hyperlink"/>
          </w:rPr>
          <w:t>https://www.ark.ac.uk/nilt/</w:t>
        </w:r>
      </w:hyperlink>
    </w:p>
    <w:p w:rsidR="002A5C57" w:rsidRPr="00E5426A" w:rsidRDefault="002A5C57" w:rsidP="00993B54"/>
    <w:p w:rsidR="00993B54" w:rsidRPr="00993B54" w:rsidRDefault="00871FF4" w:rsidP="00993B54">
      <w:hyperlink r:id="rId12" w:history="1">
        <w:r w:rsidR="00993B54" w:rsidRPr="00E5426A">
          <w:rPr>
            <w:rStyle w:val="Hyperlink"/>
          </w:rPr>
          <w:t>https://www.ninis2.nisra.gov.uk/public/Home.aspx</w:t>
        </w:r>
      </w:hyperlink>
      <w:r w:rsidR="00993B54" w:rsidRPr="00E5426A">
        <w:t xml:space="preserve">  and type Northern Ireland Life and Times into the search bar.</w:t>
      </w:r>
    </w:p>
    <w:sectPr w:rsidR="00993B54" w:rsidRPr="00993B5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E0" w:rsidRDefault="002E2CE0" w:rsidP="009470B4">
      <w:pPr>
        <w:spacing w:after="0" w:line="240" w:lineRule="auto"/>
      </w:pPr>
      <w:r>
        <w:separator/>
      </w:r>
    </w:p>
  </w:endnote>
  <w:endnote w:type="continuationSeparator" w:id="0">
    <w:p w:rsidR="002E2CE0" w:rsidRDefault="002E2CE0"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4376"/>
      <w:docPartObj>
        <w:docPartGallery w:val="Page Numbers (Bottom of Page)"/>
        <w:docPartUnique/>
      </w:docPartObj>
    </w:sdtPr>
    <w:sdtEndPr>
      <w:rPr>
        <w:noProof/>
      </w:rPr>
    </w:sdtEndPr>
    <w:sdtContent>
      <w:p w:rsidR="009470B4" w:rsidRDefault="009470B4">
        <w:pPr>
          <w:pStyle w:val="Footer"/>
          <w:jc w:val="right"/>
        </w:pPr>
        <w:r>
          <w:fldChar w:fldCharType="begin"/>
        </w:r>
        <w:r>
          <w:instrText xml:space="preserve"> PAGE   \* MERGEFORMAT </w:instrText>
        </w:r>
        <w:r>
          <w:fldChar w:fldCharType="separate"/>
        </w:r>
        <w:r w:rsidR="00871FF4">
          <w:rPr>
            <w:noProof/>
          </w:rPr>
          <w:t>4</w:t>
        </w:r>
        <w:r>
          <w:rPr>
            <w:noProof/>
          </w:rPr>
          <w:fldChar w:fldCharType="end"/>
        </w:r>
      </w:p>
    </w:sdtContent>
  </w:sdt>
  <w:p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E0" w:rsidRDefault="002E2CE0" w:rsidP="009470B4">
      <w:pPr>
        <w:spacing w:after="0" w:line="240" w:lineRule="auto"/>
      </w:pPr>
      <w:r>
        <w:separator/>
      </w:r>
    </w:p>
  </w:footnote>
  <w:footnote w:type="continuationSeparator" w:id="0">
    <w:p w:rsidR="002E2CE0" w:rsidRDefault="002E2CE0" w:rsidP="009470B4">
      <w:pPr>
        <w:spacing w:after="0" w:line="240" w:lineRule="auto"/>
      </w:pPr>
      <w:r>
        <w:continuationSeparator/>
      </w:r>
    </w:p>
  </w:footnote>
  <w:footnote w:id="1">
    <w:p w:rsidR="000E6157" w:rsidRDefault="000E6157">
      <w:pPr>
        <w:pStyle w:val="FootnoteText"/>
      </w:pPr>
      <w:r>
        <w:rPr>
          <w:rStyle w:val="FootnoteReference"/>
        </w:rPr>
        <w:footnoteRef/>
      </w:r>
      <w:r>
        <w:t xml:space="preserve"> Northern Ireland Life and Times Survey (ARK) - </w:t>
      </w:r>
      <w:hyperlink r:id="rId1" w:history="1">
        <w:r>
          <w:rPr>
            <w:rStyle w:val="Hyperlink"/>
          </w:rPr>
          <w:t>https://www.ark.ac.uk/nilt/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E19"/>
    <w:multiLevelType w:val="hybridMultilevel"/>
    <w:tmpl w:val="2C4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B15A0"/>
    <w:multiLevelType w:val="hybridMultilevel"/>
    <w:tmpl w:val="7270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828B3"/>
    <w:multiLevelType w:val="hybridMultilevel"/>
    <w:tmpl w:val="4B0C9F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5F148B"/>
    <w:multiLevelType w:val="hybridMultilevel"/>
    <w:tmpl w:val="A4F4B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40DAC"/>
    <w:multiLevelType w:val="hybridMultilevel"/>
    <w:tmpl w:val="73841F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7"/>
    <w:rsid w:val="00005696"/>
    <w:rsid w:val="000062C3"/>
    <w:rsid w:val="00015C89"/>
    <w:rsid w:val="00066FB8"/>
    <w:rsid w:val="000C7CE8"/>
    <w:rsid w:val="000D4FF9"/>
    <w:rsid w:val="000E6157"/>
    <w:rsid w:val="000F7E5D"/>
    <w:rsid w:val="001015FE"/>
    <w:rsid w:val="00126C64"/>
    <w:rsid w:val="001464FA"/>
    <w:rsid w:val="00150ABB"/>
    <w:rsid w:val="00154E71"/>
    <w:rsid w:val="0015593E"/>
    <w:rsid w:val="00187DBE"/>
    <w:rsid w:val="001D5FFB"/>
    <w:rsid w:val="001E1FC6"/>
    <w:rsid w:val="00265E55"/>
    <w:rsid w:val="0029275E"/>
    <w:rsid w:val="002A5C57"/>
    <w:rsid w:val="002A7B81"/>
    <w:rsid w:val="002B13D9"/>
    <w:rsid w:val="002E2CE0"/>
    <w:rsid w:val="00303640"/>
    <w:rsid w:val="003517D3"/>
    <w:rsid w:val="00375B9E"/>
    <w:rsid w:val="00381E1E"/>
    <w:rsid w:val="00433F1E"/>
    <w:rsid w:val="00470647"/>
    <w:rsid w:val="00494448"/>
    <w:rsid w:val="004B4B37"/>
    <w:rsid w:val="004B5004"/>
    <w:rsid w:val="004B5682"/>
    <w:rsid w:val="00505DD9"/>
    <w:rsid w:val="005353C2"/>
    <w:rsid w:val="00543809"/>
    <w:rsid w:val="00546B94"/>
    <w:rsid w:val="00561768"/>
    <w:rsid w:val="005A36CA"/>
    <w:rsid w:val="005D57A2"/>
    <w:rsid w:val="005F612B"/>
    <w:rsid w:val="00602D01"/>
    <w:rsid w:val="006C6901"/>
    <w:rsid w:val="006E4145"/>
    <w:rsid w:val="007237D0"/>
    <w:rsid w:val="00732606"/>
    <w:rsid w:val="00785F31"/>
    <w:rsid w:val="0079173A"/>
    <w:rsid w:val="007C1C25"/>
    <w:rsid w:val="007C6851"/>
    <w:rsid w:val="007C7AFB"/>
    <w:rsid w:val="007D7520"/>
    <w:rsid w:val="0080749D"/>
    <w:rsid w:val="00820F29"/>
    <w:rsid w:val="008353FB"/>
    <w:rsid w:val="00836E9E"/>
    <w:rsid w:val="0084512A"/>
    <w:rsid w:val="00871FF4"/>
    <w:rsid w:val="0087526D"/>
    <w:rsid w:val="008C1EDC"/>
    <w:rsid w:val="008C3787"/>
    <w:rsid w:val="008C3AA6"/>
    <w:rsid w:val="008C513E"/>
    <w:rsid w:val="009470B4"/>
    <w:rsid w:val="0098101A"/>
    <w:rsid w:val="00993B54"/>
    <w:rsid w:val="009A4057"/>
    <w:rsid w:val="009A7913"/>
    <w:rsid w:val="00A034ED"/>
    <w:rsid w:val="00A044D3"/>
    <w:rsid w:val="00A0792D"/>
    <w:rsid w:val="00A11CC9"/>
    <w:rsid w:val="00A519E1"/>
    <w:rsid w:val="00A64F03"/>
    <w:rsid w:val="00A70F15"/>
    <w:rsid w:val="00A76810"/>
    <w:rsid w:val="00B52D4F"/>
    <w:rsid w:val="00B85945"/>
    <w:rsid w:val="00BB437E"/>
    <w:rsid w:val="00BD294B"/>
    <w:rsid w:val="00C129E5"/>
    <w:rsid w:val="00C17259"/>
    <w:rsid w:val="00C82132"/>
    <w:rsid w:val="00CA73A0"/>
    <w:rsid w:val="00D14FF4"/>
    <w:rsid w:val="00D326BC"/>
    <w:rsid w:val="00D41DF5"/>
    <w:rsid w:val="00D5057C"/>
    <w:rsid w:val="00D50E98"/>
    <w:rsid w:val="00D713DB"/>
    <w:rsid w:val="00D73F69"/>
    <w:rsid w:val="00D82855"/>
    <w:rsid w:val="00DC0E4D"/>
    <w:rsid w:val="00E00CE7"/>
    <w:rsid w:val="00E109C7"/>
    <w:rsid w:val="00E127FE"/>
    <w:rsid w:val="00E31146"/>
    <w:rsid w:val="00E44DC2"/>
    <w:rsid w:val="00E5182C"/>
    <w:rsid w:val="00E5426A"/>
    <w:rsid w:val="00E75E1F"/>
    <w:rsid w:val="00EA15D5"/>
    <w:rsid w:val="00F02EE3"/>
    <w:rsid w:val="00F07C44"/>
    <w:rsid w:val="00F14B8F"/>
    <w:rsid w:val="00F253F7"/>
    <w:rsid w:val="00F53768"/>
    <w:rsid w:val="00F779E7"/>
    <w:rsid w:val="00FF5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3341"/>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paragraph" w:styleId="FootnoteText">
    <w:name w:val="footnote text"/>
    <w:basedOn w:val="Normal"/>
    <w:link w:val="FootnoteTextChar"/>
    <w:uiPriority w:val="99"/>
    <w:semiHidden/>
    <w:unhideWhenUsed/>
    <w:rsid w:val="000E6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157"/>
    <w:rPr>
      <w:sz w:val="20"/>
      <w:szCs w:val="20"/>
    </w:rPr>
  </w:style>
  <w:style w:type="character" w:styleId="FootnoteReference">
    <w:name w:val="footnote reference"/>
    <w:basedOn w:val="DefaultParagraphFont"/>
    <w:uiPriority w:val="99"/>
    <w:semiHidden/>
    <w:unhideWhenUsed/>
    <w:rsid w:val="000E6157"/>
    <w:rPr>
      <w:vertAlign w:val="superscript"/>
    </w:rPr>
  </w:style>
  <w:style w:type="character" w:styleId="Hyperlink">
    <w:name w:val="Hyperlink"/>
    <w:basedOn w:val="DefaultParagraphFont"/>
    <w:uiPriority w:val="99"/>
    <w:semiHidden/>
    <w:unhideWhenUsed/>
    <w:rsid w:val="000E6157"/>
    <w:rPr>
      <w:color w:val="0000FF"/>
      <w:u w:val="single"/>
    </w:rPr>
  </w:style>
  <w:style w:type="paragraph" w:styleId="ListParagraph">
    <w:name w:val="List Paragraph"/>
    <w:basedOn w:val="Normal"/>
    <w:uiPriority w:val="34"/>
    <w:qFormat/>
    <w:rsid w:val="000E6157"/>
    <w:pPr>
      <w:ind w:left="720"/>
      <w:contextualSpacing/>
    </w:pPr>
  </w:style>
  <w:style w:type="character" w:styleId="FollowedHyperlink">
    <w:name w:val="FollowedHyperlink"/>
    <w:basedOn w:val="DefaultParagraphFont"/>
    <w:uiPriority w:val="99"/>
    <w:semiHidden/>
    <w:unhideWhenUsed/>
    <w:rsid w:val="00E75E1F"/>
    <w:rPr>
      <w:color w:val="954F72" w:themeColor="followedHyperlink"/>
      <w:u w:val="single"/>
    </w:rPr>
  </w:style>
  <w:style w:type="table" w:styleId="GridTable1Light">
    <w:name w:val="Grid Table 1 Light"/>
    <w:basedOn w:val="TableNormal"/>
    <w:uiPriority w:val="46"/>
    <w:rsid w:val="002A7B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0185">
      <w:bodyDiv w:val="1"/>
      <w:marLeft w:val="0"/>
      <w:marRight w:val="0"/>
      <w:marTop w:val="0"/>
      <w:marBottom w:val="0"/>
      <w:divBdr>
        <w:top w:val="none" w:sz="0" w:space="0" w:color="auto"/>
        <w:left w:val="none" w:sz="0" w:space="0" w:color="auto"/>
        <w:bottom w:val="none" w:sz="0" w:space="0" w:color="auto"/>
        <w:right w:val="none" w:sz="0" w:space="0" w:color="auto"/>
      </w:divBdr>
    </w:div>
    <w:div w:id="244997342">
      <w:bodyDiv w:val="1"/>
      <w:marLeft w:val="0"/>
      <w:marRight w:val="0"/>
      <w:marTop w:val="0"/>
      <w:marBottom w:val="0"/>
      <w:divBdr>
        <w:top w:val="none" w:sz="0" w:space="0" w:color="auto"/>
        <w:left w:val="none" w:sz="0" w:space="0" w:color="auto"/>
        <w:bottom w:val="none" w:sz="0" w:space="0" w:color="auto"/>
        <w:right w:val="none" w:sz="0" w:space="0" w:color="auto"/>
      </w:divBdr>
    </w:div>
    <w:div w:id="286593419">
      <w:bodyDiv w:val="1"/>
      <w:marLeft w:val="0"/>
      <w:marRight w:val="0"/>
      <w:marTop w:val="0"/>
      <w:marBottom w:val="0"/>
      <w:divBdr>
        <w:top w:val="none" w:sz="0" w:space="0" w:color="auto"/>
        <w:left w:val="none" w:sz="0" w:space="0" w:color="auto"/>
        <w:bottom w:val="none" w:sz="0" w:space="0" w:color="auto"/>
        <w:right w:val="none" w:sz="0" w:space="0" w:color="auto"/>
      </w:divBdr>
    </w:div>
    <w:div w:id="320306019">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575823809">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869416721">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55351336">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812675744">
      <w:bodyDiv w:val="1"/>
      <w:marLeft w:val="0"/>
      <w:marRight w:val="0"/>
      <w:marTop w:val="0"/>
      <w:marBottom w:val="0"/>
      <w:divBdr>
        <w:top w:val="none" w:sz="0" w:space="0" w:color="auto"/>
        <w:left w:val="none" w:sz="0" w:space="0" w:color="auto"/>
        <w:bottom w:val="none" w:sz="0" w:space="0" w:color="auto"/>
        <w:right w:val="none" w:sz="0" w:space="0" w:color="auto"/>
      </w:divBdr>
    </w:div>
    <w:div w:id="1917590427">
      <w:bodyDiv w:val="1"/>
      <w:marLeft w:val="0"/>
      <w:marRight w:val="0"/>
      <w:marTop w:val="0"/>
      <w:marBottom w:val="0"/>
      <w:divBdr>
        <w:top w:val="none" w:sz="0" w:space="0" w:color="auto"/>
        <w:left w:val="none" w:sz="0" w:space="0" w:color="auto"/>
        <w:bottom w:val="none" w:sz="0" w:space="0" w:color="auto"/>
        <w:right w:val="none" w:sz="0" w:space="0" w:color="auto"/>
      </w:divBdr>
    </w:div>
    <w:div w:id="19297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is2.nisra.gov.uk/public/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c.uk/n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k.ac.uk/ni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1.%20NILT\192021%20Data\DC192021%20-%20Working%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1.%20NILT\192021%20Data\DC192021%20-%20Working%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NISRA%20Statistician\1.%20Jessica%20Files\Data\1.%20NILT\192021%20Data\DC192021%20-%20Working%20cop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'Relations chart'!$A$5</c:f>
              <c:strCache>
                <c:ptCount val="1"/>
                <c:pt idx="0">
                  <c:v>Better</c:v>
                </c:pt>
              </c:strCache>
            </c:strRef>
          </c:tx>
          <c:spPr>
            <a:solidFill>
              <a:schemeClr val="accent1"/>
            </a:solidFill>
            <a:ln>
              <a:noFill/>
            </a:ln>
            <a:effectLst/>
          </c:spPr>
          <c:invertIfNegative val="0"/>
          <c:cat>
            <c:multiLvlStrRef>
              <c:f>'Relations chart'!$B$3:$E$4</c:f>
              <c:multiLvlStrCache>
                <c:ptCount val="4"/>
                <c:lvl>
                  <c:pt idx="0">
                    <c:v>ABC</c:v>
                  </c:pt>
                  <c:pt idx="1">
                    <c:v>NI</c:v>
                  </c:pt>
                  <c:pt idx="2">
                    <c:v>ABC</c:v>
                  </c:pt>
                  <c:pt idx="3">
                    <c:v>NI</c:v>
                  </c:pt>
                </c:lvl>
                <c:lvl>
                  <c:pt idx="0">
                    <c:v>5 years ago</c:v>
                  </c:pt>
                  <c:pt idx="2">
                    <c:v>In 5 years time</c:v>
                  </c:pt>
                </c:lvl>
              </c:multiLvlStrCache>
            </c:multiLvlStrRef>
          </c:cat>
          <c:val>
            <c:numRef>
              <c:f>'Relations chart'!$B$5:$E$5</c:f>
              <c:numCache>
                <c:formatCode>0.0%</c:formatCode>
                <c:ptCount val="4"/>
                <c:pt idx="0">
                  <c:v>0.39768381928895413</c:v>
                </c:pt>
                <c:pt idx="1">
                  <c:v>0.38034167699474225</c:v>
                </c:pt>
                <c:pt idx="2">
                  <c:v>0.33771634721342952</c:v>
                </c:pt>
                <c:pt idx="3">
                  <c:v>0.31716001046742198</c:v>
                </c:pt>
              </c:numCache>
            </c:numRef>
          </c:val>
          <c:extLst>
            <c:ext xmlns:c16="http://schemas.microsoft.com/office/drawing/2014/chart" uri="{C3380CC4-5D6E-409C-BE32-E72D297353CC}">
              <c16:uniqueId val="{00000000-AFE4-4D8F-BDE2-356A2BCFA8E0}"/>
            </c:ext>
          </c:extLst>
        </c:ser>
        <c:ser>
          <c:idx val="1"/>
          <c:order val="1"/>
          <c:tx>
            <c:strRef>
              <c:f>'Relations chart'!$A$6</c:f>
              <c:strCache>
                <c:ptCount val="1"/>
                <c:pt idx="0">
                  <c:v>Worse</c:v>
                </c:pt>
              </c:strCache>
            </c:strRef>
          </c:tx>
          <c:spPr>
            <a:solidFill>
              <a:schemeClr val="accent2"/>
            </a:solidFill>
            <a:ln>
              <a:noFill/>
            </a:ln>
            <a:effectLst/>
          </c:spPr>
          <c:invertIfNegative val="0"/>
          <c:cat>
            <c:multiLvlStrRef>
              <c:f>'Relations chart'!$B$3:$E$4</c:f>
              <c:multiLvlStrCache>
                <c:ptCount val="4"/>
                <c:lvl>
                  <c:pt idx="0">
                    <c:v>ABC</c:v>
                  </c:pt>
                  <c:pt idx="1">
                    <c:v>NI</c:v>
                  </c:pt>
                  <c:pt idx="2">
                    <c:v>ABC</c:v>
                  </c:pt>
                  <c:pt idx="3">
                    <c:v>NI</c:v>
                  </c:pt>
                </c:lvl>
                <c:lvl>
                  <c:pt idx="0">
                    <c:v>5 years ago</c:v>
                  </c:pt>
                  <c:pt idx="2">
                    <c:v>In 5 years time</c:v>
                  </c:pt>
                </c:lvl>
              </c:multiLvlStrCache>
            </c:multiLvlStrRef>
          </c:cat>
          <c:val>
            <c:numRef>
              <c:f>'Relations chart'!$B$6:$E$6</c:f>
              <c:numCache>
                <c:formatCode>0.0%</c:formatCode>
                <c:ptCount val="4"/>
                <c:pt idx="0">
                  <c:v>0.12330033419438478</c:v>
                </c:pt>
                <c:pt idx="1">
                  <c:v>0.12296919780212738</c:v>
                </c:pt>
                <c:pt idx="2">
                  <c:v>0.14802779279452144</c:v>
                </c:pt>
                <c:pt idx="3">
                  <c:v>0.14372929678597832</c:v>
                </c:pt>
              </c:numCache>
            </c:numRef>
          </c:val>
          <c:extLst>
            <c:ext xmlns:c16="http://schemas.microsoft.com/office/drawing/2014/chart" uri="{C3380CC4-5D6E-409C-BE32-E72D297353CC}">
              <c16:uniqueId val="{00000001-AFE4-4D8F-BDE2-356A2BCFA8E0}"/>
            </c:ext>
          </c:extLst>
        </c:ser>
        <c:ser>
          <c:idx val="2"/>
          <c:order val="2"/>
          <c:tx>
            <c:strRef>
              <c:f>'Relations chart'!$A$7</c:f>
              <c:strCache>
                <c:ptCount val="1"/>
                <c:pt idx="0">
                  <c:v>About the same</c:v>
                </c:pt>
              </c:strCache>
            </c:strRef>
          </c:tx>
          <c:spPr>
            <a:solidFill>
              <a:schemeClr val="accent3"/>
            </a:solidFill>
            <a:ln>
              <a:noFill/>
            </a:ln>
            <a:effectLst/>
          </c:spPr>
          <c:invertIfNegative val="0"/>
          <c:cat>
            <c:multiLvlStrRef>
              <c:f>'Relations chart'!$B$3:$E$4</c:f>
              <c:multiLvlStrCache>
                <c:ptCount val="4"/>
                <c:lvl>
                  <c:pt idx="0">
                    <c:v>ABC</c:v>
                  </c:pt>
                  <c:pt idx="1">
                    <c:v>NI</c:v>
                  </c:pt>
                  <c:pt idx="2">
                    <c:v>ABC</c:v>
                  </c:pt>
                  <c:pt idx="3">
                    <c:v>NI</c:v>
                  </c:pt>
                </c:lvl>
                <c:lvl>
                  <c:pt idx="0">
                    <c:v>5 years ago</c:v>
                  </c:pt>
                  <c:pt idx="2">
                    <c:v>In 5 years time</c:v>
                  </c:pt>
                </c:lvl>
              </c:multiLvlStrCache>
            </c:multiLvlStrRef>
          </c:cat>
          <c:val>
            <c:numRef>
              <c:f>'Relations chart'!$B$7:$E$7</c:f>
              <c:numCache>
                <c:formatCode>0.0%</c:formatCode>
                <c:ptCount val="4"/>
                <c:pt idx="0">
                  <c:v>0.40724469116370154</c:v>
                </c:pt>
                <c:pt idx="1">
                  <c:v>0.44145097265349192</c:v>
                </c:pt>
                <c:pt idx="2">
                  <c:v>0.35358483501822219</c:v>
                </c:pt>
                <c:pt idx="3">
                  <c:v>0.38965866395399523</c:v>
                </c:pt>
              </c:numCache>
            </c:numRef>
          </c:val>
          <c:extLst>
            <c:ext xmlns:c16="http://schemas.microsoft.com/office/drawing/2014/chart" uri="{C3380CC4-5D6E-409C-BE32-E72D297353CC}">
              <c16:uniqueId val="{00000002-AFE4-4D8F-BDE2-356A2BCFA8E0}"/>
            </c:ext>
          </c:extLst>
        </c:ser>
        <c:ser>
          <c:idx val="3"/>
          <c:order val="3"/>
          <c:tx>
            <c:strRef>
              <c:f>'Relations chart'!$A$8</c:f>
              <c:strCache>
                <c:ptCount val="1"/>
                <c:pt idx="0">
                  <c:v>Other</c:v>
                </c:pt>
              </c:strCache>
            </c:strRef>
          </c:tx>
          <c:spPr>
            <a:solidFill>
              <a:schemeClr val="accent4"/>
            </a:solidFill>
            <a:ln>
              <a:noFill/>
            </a:ln>
            <a:effectLst/>
          </c:spPr>
          <c:invertIfNegative val="0"/>
          <c:cat>
            <c:multiLvlStrRef>
              <c:f>'Relations chart'!$B$3:$E$4</c:f>
              <c:multiLvlStrCache>
                <c:ptCount val="4"/>
                <c:lvl>
                  <c:pt idx="0">
                    <c:v>ABC</c:v>
                  </c:pt>
                  <c:pt idx="1">
                    <c:v>NI</c:v>
                  </c:pt>
                  <c:pt idx="2">
                    <c:v>ABC</c:v>
                  </c:pt>
                  <c:pt idx="3">
                    <c:v>NI</c:v>
                  </c:pt>
                </c:lvl>
                <c:lvl>
                  <c:pt idx="0">
                    <c:v>5 years ago</c:v>
                  </c:pt>
                  <c:pt idx="2">
                    <c:v>In 5 years time</c:v>
                  </c:pt>
                </c:lvl>
              </c:multiLvlStrCache>
            </c:multiLvlStrRef>
          </c:cat>
          <c:val>
            <c:numRef>
              <c:f>'Relations chart'!$B$8:$E$8</c:f>
              <c:numCache>
                <c:formatCode>0.0%</c:formatCode>
                <c:ptCount val="4"/>
                <c:pt idx="0">
                  <c:v>4.1086986545737173E-3</c:v>
                </c:pt>
                <c:pt idx="1">
                  <c:v>6.4323244626803069E-3</c:v>
                </c:pt>
                <c:pt idx="2">
                  <c:v>8.4010529379276461E-3</c:v>
                </c:pt>
                <c:pt idx="3">
                  <c:v>1.6172430452364644E-2</c:v>
                </c:pt>
              </c:numCache>
            </c:numRef>
          </c:val>
          <c:extLst>
            <c:ext xmlns:c16="http://schemas.microsoft.com/office/drawing/2014/chart" uri="{C3380CC4-5D6E-409C-BE32-E72D297353CC}">
              <c16:uniqueId val="{00000003-AFE4-4D8F-BDE2-356A2BCFA8E0}"/>
            </c:ext>
          </c:extLst>
        </c:ser>
        <c:ser>
          <c:idx val="4"/>
          <c:order val="4"/>
          <c:tx>
            <c:strRef>
              <c:f>'Relations chart'!$A$9</c:f>
              <c:strCache>
                <c:ptCount val="1"/>
                <c:pt idx="0">
                  <c:v>Don't know</c:v>
                </c:pt>
              </c:strCache>
            </c:strRef>
          </c:tx>
          <c:spPr>
            <a:solidFill>
              <a:schemeClr val="accent5"/>
            </a:solidFill>
            <a:ln>
              <a:noFill/>
            </a:ln>
            <a:effectLst/>
          </c:spPr>
          <c:invertIfNegative val="0"/>
          <c:cat>
            <c:multiLvlStrRef>
              <c:f>'Relations chart'!$B$3:$E$4</c:f>
              <c:multiLvlStrCache>
                <c:ptCount val="4"/>
                <c:lvl>
                  <c:pt idx="0">
                    <c:v>ABC</c:v>
                  </c:pt>
                  <c:pt idx="1">
                    <c:v>NI</c:v>
                  </c:pt>
                  <c:pt idx="2">
                    <c:v>ABC</c:v>
                  </c:pt>
                  <c:pt idx="3">
                    <c:v>NI</c:v>
                  </c:pt>
                </c:lvl>
                <c:lvl>
                  <c:pt idx="0">
                    <c:v>5 years ago</c:v>
                  </c:pt>
                  <c:pt idx="2">
                    <c:v>In 5 years time</c:v>
                  </c:pt>
                </c:lvl>
              </c:multiLvlStrCache>
            </c:multiLvlStrRef>
          </c:cat>
          <c:val>
            <c:numRef>
              <c:f>'Relations chart'!$B$9:$E$9</c:f>
              <c:numCache>
                <c:formatCode>0.0%</c:formatCode>
                <c:ptCount val="4"/>
                <c:pt idx="0">
                  <c:v>6.5732490703880334E-2</c:v>
                </c:pt>
                <c:pt idx="1">
                  <c:v>4.8404250446079565E-2</c:v>
                </c:pt>
                <c:pt idx="2">
                  <c:v>0.15226997203589934</c:v>
                </c:pt>
                <c:pt idx="3">
                  <c:v>0.13308554536962436</c:v>
                </c:pt>
              </c:numCache>
            </c:numRef>
          </c:val>
          <c:extLst>
            <c:ext xmlns:c16="http://schemas.microsoft.com/office/drawing/2014/chart" uri="{C3380CC4-5D6E-409C-BE32-E72D297353CC}">
              <c16:uniqueId val="{00000004-AFE4-4D8F-BDE2-356A2BCFA8E0}"/>
            </c:ext>
          </c:extLst>
        </c:ser>
        <c:dLbls>
          <c:showLegendKey val="0"/>
          <c:showVal val="0"/>
          <c:showCatName val="0"/>
          <c:showSerName val="0"/>
          <c:showPercent val="0"/>
          <c:showBubbleSize val="0"/>
        </c:dLbls>
        <c:gapWidth val="219"/>
        <c:overlap val="-27"/>
        <c:axId val="351252095"/>
        <c:axId val="351251263"/>
      </c:barChart>
      <c:catAx>
        <c:axId val="3512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251263"/>
        <c:crosses val="autoZero"/>
        <c:auto val="1"/>
        <c:lblAlgn val="ctr"/>
        <c:lblOffset val="100"/>
        <c:noMultiLvlLbl val="0"/>
      </c:catAx>
      <c:valAx>
        <c:axId val="351251263"/>
        <c:scaling>
          <c:orientation val="minMax"/>
          <c:max val="0.45"/>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25209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64662371748988E-2"/>
          <c:y val="4.3781094527363187E-2"/>
          <c:w val="0.88306867096158437"/>
          <c:h val="0.87632483253026205"/>
        </c:manualLayout>
      </c:layout>
      <c:barChart>
        <c:barDir val="col"/>
        <c:grouping val="clustered"/>
        <c:varyColors val="0"/>
        <c:ser>
          <c:idx val="0"/>
          <c:order val="0"/>
          <c:tx>
            <c:strRef>
              <c:f>'Div Comm Chart'!$B$2</c:f>
              <c:strCache>
                <c:ptCount val="1"/>
                <c:pt idx="0">
                  <c:v>Armagh, Banbridge and Craigavon</c:v>
                </c:pt>
              </c:strCache>
            </c:strRef>
          </c:tx>
          <c:spPr>
            <a:solidFill>
              <a:schemeClr val="accent1"/>
            </a:solidFill>
            <a:ln>
              <a:noFill/>
            </a:ln>
            <a:effectLst/>
          </c:spPr>
          <c:invertIfNegative val="0"/>
          <c:cat>
            <c:strRef>
              <c:f>'Div Comm Chart'!$A$3:$A$6</c:f>
              <c:strCache>
                <c:ptCount val="4"/>
                <c:pt idx="0">
                  <c:v>A lot</c:v>
                </c:pt>
                <c:pt idx="1">
                  <c:v>A little</c:v>
                </c:pt>
                <c:pt idx="2">
                  <c:v>Not at all</c:v>
                </c:pt>
                <c:pt idx="3">
                  <c:v>Don't know</c:v>
                </c:pt>
              </c:strCache>
            </c:strRef>
          </c:cat>
          <c:val>
            <c:numRef>
              <c:f>'Div Comm Chart'!$B$3:$B$6</c:f>
              <c:numCache>
                <c:formatCode>0.0%</c:formatCode>
                <c:ptCount val="4"/>
                <c:pt idx="0">
                  <c:v>0.24188369743248844</c:v>
                </c:pt>
                <c:pt idx="1">
                  <c:v>0.28307945279721997</c:v>
                </c:pt>
                <c:pt idx="2">
                  <c:v>0.31995025288912493</c:v>
                </c:pt>
                <c:pt idx="3">
                  <c:v>0.14973933714754986</c:v>
                </c:pt>
              </c:numCache>
            </c:numRef>
          </c:val>
          <c:extLst>
            <c:ext xmlns:c16="http://schemas.microsoft.com/office/drawing/2014/chart" uri="{C3380CC4-5D6E-409C-BE32-E72D297353CC}">
              <c16:uniqueId val="{00000000-C1EB-44E6-B34B-BCD318260557}"/>
            </c:ext>
          </c:extLst>
        </c:ser>
        <c:ser>
          <c:idx val="1"/>
          <c:order val="1"/>
          <c:tx>
            <c:strRef>
              <c:f>'Div Comm Chart'!$C$2</c:f>
              <c:strCache>
                <c:ptCount val="1"/>
                <c:pt idx="0">
                  <c:v>Northern Ireland </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ln>
              <a:noFill/>
            </a:ln>
            <a:effectLst/>
          </c:spPr>
          <c:invertIfNegative val="0"/>
          <c:cat>
            <c:strRef>
              <c:f>'Div Comm Chart'!$A$3:$A$6</c:f>
              <c:strCache>
                <c:ptCount val="4"/>
                <c:pt idx="0">
                  <c:v>A lot</c:v>
                </c:pt>
                <c:pt idx="1">
                  <c:v>A little</c:v>
                </c:pt>
                <c:pt idx="2">
                  <c:v>Not at all</c:v>
                </c:pt>
                <c:pt idx="3">
                  <c:v>Don't know</c:v>
                </c:pt>
              </c:strCache>
            </c:strRef>
          </c:cat>
          <c:val>
            <c:numRef>
              <c:f>'Div Comm Chart'!$C$3:$C$6</c:f>
              <c:numCache>
                <c:formatCode>0.0%</c:formatCode>
                <c:ptCount val="4"/>
                <c:pt idx="0">
                  <c:v>0.19079563800014196</c:v>
                </c:pt>
                <c:pt idx="1">
                  <c:v>0.28835762267982257</c:v>
                </c:pt>
                <c:pt idx="2">
                  <c:v>0.38705732938694909</c:v>
                </c:pt>
                <c:pt idx="3">
                  <c:v>0.13289040110386657</c:v>
                </c:pt>
              </c:numCache>
            </c:numRef>
          </c:val>
          <c:extLst>
            <c:ext xmlns:c16="http://schemas.microsoft.com/office/drawing/2014/chart" uri="{C3380CC4-5D6E-409C-BE32-E72D297353CC}">
              <c16:uniqueId val="{00000001-C1EB-44E6-B34B-BCD318260557}"/>
            </c:ext>
          </c:extLst>
        </c:ser>
        <c:dLbls>
          <c:showLegendKey val="0"/>
          <c:showVal val="0"/>
          <c:showCatName val="0"/>
          <c:showSerName val="0"/>
          <c:showPercent val="0"/>
          <c:showBubbleSize val="0"/>
        </c:dLbls>
        <c:gapWidth val="150"/>
        <c:overlap val="-27"/>
        <c:axId val="285477663"/>
        <c:axId val="351252927"/>
      </c:barChart>
      <c:catAx>
        <c:axId val="28547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252927"/>
        <c:crosses val="autoZero"/>
        <c:auto val="1"/>
        <c:lblAlgn val="ctr"/>
        <c:lblOffset val="100"/>
        <c:noMultiLvlLbl val="0"/>
      </c:catAx>
      <c:valAx>
        <c:axId val="351252927"/>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77663"/>
        <c:crosses val="autoZero"/>
        <c:crossBetween val="between"/>
      </c:valAx>
      <c:spPr>
        <a:noFill/>
        <a:ln>
          <a:noFill/>
        </a:ln>
        <a:effectLst/>
      </c:spPr>
    </c:plotArea>
    <c:legend>
      <c:legendPos val="b"/>
      <c:layout>
        <c:manualLayout>
          <c:xMode val="edge"/>
          <c:yMode val="edge"/>
          <c:x val="0.14168418038654262"/>
          <c:y val="3.7312962745328443E-2"/>
          <c:w val="0.69238902409926029"/>
          <c:h val="6.71646491949700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Chart!$A$13</c:f>
              <c:strCache>
                <c:ptCount val="1"/>
                <c:pt idx="0">
                  <c:v>Yes </c:v>
                </c:pt>
              </c:strCache>
            </c:strRef>
          </c:tx>
          <c:spPr>
            <a:solidFill>
              <a:schemeClr val="accent1"/>
            </a:solidFill>
            <a:ln>
              <a:noFill/>
            </a:ln>
            <a:effectLst/>
          </c:spPr>
          <c:invertIfNegative val="0"/>
          <c:cat>
            <c:multiLvlStrRef>
              <c:f>Chart!$B$11:$I$12</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Chart!$B$13:$I$13</c:f>
              <c:numCache>
                <c:formatCode>0.0%</c:formatCode>
                <c:ptCount val="8"/>
                <c:pt idx="0">
                  <c:v>0.86475195642975566</c:v>
                </c:pt>
                <c:pt idx="1">
                  <c:v>0.84549868838139908</c:v>
                </c:pt>
                <c:pt idx="2">
                  <c:v>0.86812136849681965</c:v>
                </c:pt>
                <c:pt idx="3">
                  <c:v>0.8641745973922168</c:v>
                </c:pt>
                <c:pt idx="4">
                  <c:v>0.88568505992441326</c:v>
                </c:pt>
                <c:pt idx="5">
                  <c:v>0.89811161956116581</c:v>
                </c:pt>
                <c:pt idx="6">
                  <c:v>0.88768993763910808</c:v>
                </c:pt>
                <c:pt idx="7">
                  <c:v>0.90269394204321707</c:v>
                </c:pt>
              </c:numCache>
            </c:numRef>
          </c:val>
          <c:extLst>
            <c:ext xmlns:c16="http://schemas.microsoft.com/office/drawing/2014/chart" uri="{C3380CC4-5D6E-409C-BE32-E72D297353CC}">
              <c16:uniqueId val="{00000000-1418-4A7A-A8F4-09514F077E77}"/>
            </c:ext>
          </c:extLst>
        </c:ser>
        <c:ser>
          <c:idx val="1"/>
          <c:order val="1"/>
          <c:tx>
            <c:strRef>
              <c:f>Chart!$A$14</c:f>
              <c:strCache>
                <c:ptCount val="1"/>
                <c:pt idx="0">
                  <c:v>No </c:v>
                </c:pt>
              </c:strCache>
            </c:strRef>
          </c:tx>
          <c:spPr>
            <a:solidFill>
              <a:schemeClr val="accent2"/>
            </a:solidFill>
            <a:ln>
              <a:noFill/>
            </a:ln>
            <a:effectLst/>
          </c:spPr>
          <c:invertIfNegative val="0"/>
          <c:cat>
            <c:multiLvlStrRef>
              <c:f>Chart!$B$11:$I$12</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Chart!$B$14:$I$14</c:f>
              <c:numCache>
                <c:formatCode>0.0%</c:formatCode>
                <c:ptCount val="8"/>
                <c:pt idx="0">
                  <c:v>2.8391462235701416E-2</c:v>
                </c:pt>
                <c:pt idx="1">
                  <c:v>7.146901513785639E-2</c:v>
                </c:pt>
                <c:pt idx="2">
                  <c:v>4.2658698974474649E-2</c:v>
                </c:pt>
                <c:pt idx="3">
                  <c:v>7.3472682470929501E-2</c:v>
                </c:pt>
                <c:pt idx="4">
                  <c:v>2.5617436655164215E-2</c:v>
                </c:pt>
                <c:pt idx="5">
                  <c:v>3.3045617800349911E-2</c:v>
                </c:pt>
                <c:pt idx="6">
                  <c:v>9.233613279513702E-3</c:v>
                </c:pt>
                <c:pt idx="7">
                  <c:v>2.253574400223872E-2</c:v>
                </c:pt>
              </c:numCache>
            </c:numRef>
          </c:val>
          <c:extLst>
            <c:ext xmlns:c16="http://schemas.microsoft.com/office/drawing/2014/chart" uri="{C3380CC4-5D6E-409C-BE32-E72D297353CC}">
              <c16:uniqueId val="{00000001-1418-4A7A-A8F4-09514F077E77}"/>
            </c:ext>
          </c:extLst>
        </c:ser>
        <c:ser>
          <c:idx val="2"/>
          <c:order val="2"/>
          <c:tx>
            <c:strRef>
              <c:f>Chart!$A$15</c:f>
              <c:strCache>
                <c:ptCount val="1"/>
                <c:pt idx="0">
                  <c:v>None in this area</c:v>
                </c:pt>
              </c:strCache>
            </c:strRef>
          </c:tx>
          <c:spPr>
            <a:solidFill>
              <a:schemeClr val="accent3"/>
            </a:solidFill>
            <a:ln>
              <a:noFill/>
            </a:ln>
            <a:effectLst/>
          </c:spPr>
          <c:invertIfNegative val="0"/>
          <c:cat>
            <c:multiLvlStrRef>
              <c:f>Chart!$B$11:$I$12</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Chart!$B$15:$I$15</c:f>
              <c:numCache>
                <c:formatCode>0.0%</c:formatCode>
                <c:ptCount val="8"/>
                <c:pt idx="0">
                  <c:v>7.84406095402089E-2</c:v>
                </c:pt>
                <c:pt idx="1">
                  <c:v>5.2934142985714402E-2</c:v>
                </c:pt>
                <c:pt idx="2">
                  <c:v>6.7443094004920878E-2</c:v>
                </c:pt>
                <c:pt idx="3">
                  <c:v>4.031363199243982E-2</c:v>
                </c:pt>
                <c:pt idx="4">
                  <c:v>6.6118407806815951E-2</c:v>
                </c:pt>
                <c:pt idx="5">
                  <c:v>4.4484768105683511E-2</c:v>
                </c:pt>
                <c:pt idx="6">
                  <c:v>8.7042760215577053E-2</c:v>
                </c:pt>
                <c:pt idx="7">
                  <c:v>5.5803303190936772E-2</c:v>
                </c:pt>
              </c:numCache>
            </c:numRef>
          </c:val>
          <c:extLst>
            <c:ext xmlns:c16="http://schemas.microsoft.com/office/drawing/2014/chart" uri="{C3380CC4-5D6E-409C-BE32-E72D297353CC}">
              <c16:uniqueId val="{00000002-1418-4A7A-A8F4-09514F077E77}"/>
            </c:ext>
          </c:extLst>
        </c:ser>
        <c:ser>
          <c:idx val="3"/>
          <c:order val="3"/>
          <c:tx>
            <c:strRef>
              <c:f>Chart!$A$16</c:f>
              <c:strCache>
                <c:ptCount val="1"/>
                <c:pt idx="0">
                  <c:v>Don’t know</c:v>
                </c:pt>
              </c:strCache>
            </c:strRef>
          </c:tx>
          <c:spPr>
            <a:solidFill>
              <a:schemeClr val="accent4"/>
            </a:solidFill>
            <a:ln>
              <a:noFill/>
            </a:ln>
            <a:effectLst/>
          </c:spPr>
          <c:invertIfNegative val="0"/>
          <c:cat>
            <c:multiLvlStrRef>
              <c:f>Chart!$B$11:$I$12</c:f>
              <c:multiLvlStrCache>
                <c:ptCount val="8"/>
                <c:lvl>
                  <c:pt idx="0">
                    <c:v>ABC</c:v>
                  </c:pt>
                  <c:pt idx="1">
                    <c:v>NI</c:v>
                  </c:pt>
                  <c:pt idx="2">
                    <c:v>ABC</c:v>
                  </c:pt>
                  <c:pt idx="3">
                    <c:v>NI</c:v>
                  </c:pt>
                  <c:pt idx="4">
                    <c:v>ABC</c:v>
                  </c:pt>
                  <c:pt idx="5">
                    <c:v>NI</c:v>
                  </c:pt>
                  <c:pt idx="6">
                    <c:v>ABC</c:v>
                  </c:pt>
                  <c:pt idx="7">
                    <c:v>NI</c:v>
                  </c:pt>
                </c:lvl>
                <c:lvl>
                  <c:pt idx="0">
                    <c:v>Leisure Centres</c:v>
                  </c:pt>
                  <c:pt idx="2">
                    <c:v>Parks</c:v>
                  </c:pt>
                  <c:pt idx="4">
                    <c:v>Libraries</c:v>
                  </c:pt>
                  <c:pt idx="6">
                    <c:v>Shopping Centres</c:v>
                  </c:pt>
                </c:lvl>
              </c:multiLvlStrCache>
            </c:multiLvlStrRef>
          </c:cat>
          <c:val>
            <c:numRef>
              <c:f>Chart!$B$16:$I$16</c:f>
              <c:numCache>
                <c:formatCode>0.0%</c:formatCode>
                <c:ptCount val="8"/>
                <c:pt idx="0">
                  <c:v>2.4068437600479376E-2</c:v>
                </c:pt>
                <c:pt idx="1">
                  <c:v>2.9157457756625968E-2</c:v>
                </c:pt>
                <c:pt idx="2">
                  <c:v>1.7429304329929438E-2</c:v>
                </c:pt>
                <c:pt idx="3">
                  <c:v>2.1098392406009706E-2</c:v>
                </c:pt>
                <c:pt idx="4">
                  <c:v>1.8231561419751189E-2</c:v>
                </c:pt>
                <c:pt idx="5">
                  <c:v>2.3417298794396538E-2</c:v>
                </c:pt>
                <c:pt idx="6">
                  <c:v>1.1686154671945627E-2</c:v>
                </c:pt>
                <c:pt idx="7">
                  <c:v>1.7378866688464875E-2</c:v>
                </c:pt>
              </c:numCache>
            </c:numRef>
          </c:val>
          <c:extLst>
            <c:ext xmlns:c16="http://schemas.microsoft.com/office/drawing/2014/chart" uri="{C3380CC4-5D6E-409C-BE32-E72D297353CC}">
              <c16:uniqueId val="{00000003-1418-4A7A-A8F4-09514F077E77}"/>
            </c:ext>
          </c:extLst>
        </c:ser>
        <c:dLbls>
          <c:showLegendKey val="0"/>
          <c:showVal val="0"/>
          <c:showCatName val="0"/>
          <c:showSerName val="0"/>
          <c:showPercent val="0"/>
          <c:showBubbleSize val="0"/>
        </c:dLbls>
        <c:gapWidth val="150"/>
        <c:overlap val="100"/>
        <c:axId val="288666319"/>
        <c:axId val="288667567"/>
      </c:barChart>
      <c:catAx>
        <c:axId val="288666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67567"/>
        <c:crosses val="autoZero"/>
        <c:auto val="1"/>
        <c:lblAlgn val="ctr"/>
        <c:lblOffset val="100"/>
        <c:noMultiLvlLbl val="0"/>
      </c:catAx>
      <c:valAx>
        <c:axId val="288667567"/>
        <c:scaling>
          <c:orientation val="minMax"/>
          <c:max val="1"/>
          <c:min val="0"/>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663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5D88-1B4F-4752-B8C3-0F8AE3EA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8</cp:revision>
  <dcterms:created xsi:type="dcterms:W3CDTF">2022-09-05T08:20:00Z</dcterms:created>
  <dcterms:modified xsi:type="dcterms:W3CDTF">2022-10-12T09:49:00Z</dcterms:modified>
</cp:coreProperties>
</file>