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492" w:rsidRPr="00C07F67" w:rsidRDefault="003D7492" w:rsidP="003D7492">
      <w:pPr>
        <w:spacing w:line="259" w:lineRule="auto"/>
        <w:rPr>
          <w:b/>
        </w:rPr>
      </w:pPr>
      <w:r w:rsidRPr="00C07F67">
        <w:rPr>
          <w:b/>
        </w:rPr>
        <w:t>Employment</w:t>
      </w:r>
    </w:p>
    <w:p w:rsidR="003D7492" w:rsidRPr="006D0527" w:rsidRDefault="00732701" w:rsidP="003D7492">
      <w:r w:rsidRPr="00A22690">
        <w:t>I</w:t>
      </w:r>
      <w:r w:rsidR="000B4EFA" w:rsidRPr="00A22690">
        <w:t>t is estimated that</w:t>
      </w:r>
      <w:r w:rsidR="00C07F67" w:rsidRPr="00A22690">
        <w:t xml:space="preserve"> 9</w:t>
      </w:r>
      <w:r w:rsidR="00A22690" w:rsidRPr="00A22690">
        <w:t>7</w:t>
      </w:r>
      <w:r w:rsidR="000B4EFA" w:rsidRPr="00A22690">
        <w:t>,000 people in the borough were in employment</w:t>
      </w:r>
      <w:r w:rsidRPr="00A22690">
        <w:t xml:space="preserve"> in 20</w:t>
      </w:r>
      <w:r w:rsidR="00A22690" w:rsidRPr="00A22690">
        <w:t>21</w:t>
      </w:r>
      <w:r w:rsidR="000B4EFA" w:rsidRPr="00A22690">
        <w:t>. The majority of those in employment were working full-time (</w:t>
      </w:r>
      <w:r w:rsidR="00A22690" w:rsidRPr="00A22690">
        <w:t>79%</w:t>
      </w:r>
      <w:r w:rsidR="00A22690">
        <w:t xml:space="preserve"> of those aged 16+).</w:t>
      </w:r>
    </w:p>
    <w:tbl>
      <w:tblPr>
        <w:tblStyle w:val="GridTable1Light"/>
        <w:tblW w:w="3007" w:type="dxa"/>
        <w:tblLayout w:type="fixed"/>
        <w:tblLook w:val="04A0" w:firstRow="1" w:lastRow="0" w:firstColumn="1" w:lastColumn="0" w:noHBand="0" w:noVBand="1"/>
        <w:tblCaption w:val="Number of people in employment in Armagh City, Banbridge and Craigavon Borough in 2020"/>
      </w:tblPr>
      <w:tblGrid>
        <w:gridCol w:w="1199"/>
        <w:gridCol w:w="1808"/>
      </w:tblGrid>
      <w:tr w:rsidR="00A22690" w:rsidRPr="002112D9" w:rsidTr="00A22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hideMark/>
          </w:tcPr>
          <w:p w:rsidR="00A22690" w:rsidRPr="002112D9" w:rsidRDefault="00A22690" w:rsidP="00C07F67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112D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08" w:type="dxa"/>
            <w:hideMark/>
          </w:tcPr>
          <w:p w:rsidR="00A22690" w:rsidRPr="002112D9" w:rsidRDefault="00A22690" w:rsidP="002112D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112D9">
              <w:rPr>
                <w:rFonts w:ascii="Calibri" w:eastAsia="Times New Roman" w:hAnsi="Calibri" w:cs="Calibri"/>
                <w:lang w:eastAsia="en-GB"/>
              </w:rPr>
              <w:t xml:space="preserve"> In Employment (16+)</w:t>
            </w:r>
          </w:p>
        </w:tc>
      </w:tr>
      <w:tr w:rsidR="00A22690" w:rsidRPr="002112D9" w:rsidTr="00A22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hideMark/>
          </w:tcPr>
          <w:p w:rsidR="00A22690" w:rsidRPr="002112D9" w:rsidRDefault="00A22690" w:rsidP="00C07F67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112D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All</w:t>
            </w:r>
          </w:p>
        </w:tc>
        <w:tc>
          <w:tcPr>
            <w:tcW w:w="1808" w:type="dxa"/>
            <w:noWrap/>
            <w:hideMark/>
          </w:tcPr>
          <w:p w:rsidR="00A22690" w:rsidRPr="00DE172F" w:rsidRDefault="00A22690" w:rsidP="00DC0DA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DE172F">
              <w:rPr>
                <w:rFonts w:ascii="Calibri" w:eastAsia="Times New Roman" w:hAnsi="Calibri" w:cs="Calibri"/>
                <w:b w:val="0"/>
                <w:lang w:eastAsia="en-GB"/>
              </w:rPr>
              <w:t>9</w:t>
            </w:r>
            <w:r>
              <w:rPr>
                <w:rFonts w:ascii="Calibri" w:eastAsia="Times New Roman" w:hAnsi="Calibri" w:cs="Calibri"/>
                <w:b w:val="0"/>
                <w:lang w:eastAsia="en-GB"/>
              </w:rPr>
              <w:t>7</w:t>
            </w:r>
            <w:r w:rsidRPr="00DE172F">
              <w:rPr>
                <w:rFonts w:ascii="Calibri" w:eastAsia="Times New Roman" w:hAnsi="Calibri" w:cs="Calibri"/>
                <w:b w:val="0"/>
                <w:lang w:eastAsia="en-GB"/>
              </w:rPr>
              <w:t>,000</w:t>
            </w:r>
          </w:p>
        </w:tc>
      </w:tr>
      <w:tr w:rsidR="00A22690" w:rsidRPr="002112D9" w:rsidTr="00A22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hideMark/>
          </w:tcPr>
          <w:p w:rsidR="00A22690" w:rsidRPr="002112D9" w:rsidRDefault="00A22690" w:rsidP="00C07F67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112D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08" w:type="dxa"/>
            <w:noWrap/>
          </w:tcPr>
          <w:p w:rsidR="00A22690" w:rsidRPr="00DE172F" w:rsidRDefault="00A22690" w:rsidP="002112D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</w:p>
        </w:tc>
      </w:tr>
      <w:tr w:rsidR="00A22690" w:rsidRPr="002112D9" w:rsidTr="00A22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hideMark/>
          </w:tcPr>
          <w:p w:rsidR="00A22690" w:rsidRPr="002112D9" w:rsidRDefault="00A22690" w:rsidP="00C07F67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112D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Full-time</w:t>
            </w:r>
          </w:p>
        </w:tc>
        <w:tc>
          <w:tcPr>
            <w:tcW w:w="1808" w:type="dxa"/>
            <w:noWrap/>
          </w:tcPr>
          <w:p w:rsidR="00A22690" w:rsidRPr="00DE172F" w:rsidRDefault="00A22690" w:rsidP="002112D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>
              <w:rPr>
                <w:rFonts w:ascii="Calibri" w:eastAsia="Times New Roman" w:hAnsi="Calibri" w:cs="Calibri"/>
                <w:b w:val="0"/>
                <w:lang w:eastAsia="en-GB"/>
              </w:rPr>
              <w:t>77,000</w:t>
            </w:r>
          </w:p>
        </w:tc>
      </w:tr>
      <w:tr w:rsidR="00A22690" w:rsidRPr="002112D9" w:rsidTr="00A22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hideMark/>
          </w:tcPr>
          <w:p w:rsidR="00A22690" w:rsidRPr="002112D9" w:rsidRDefault="00A22690" w:rsidP="00C07F67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112D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Part-time</w:t>
            </w:r>
          </w:p>
        </w:tc>
        <w:tc>
          <w:tcPr>
            <w:tcW w:w="1808" w:type="dxa"/>
            <w:noWrap/>
          </w:tcPr>
          <w:p w:rsidR="00A22690" w:rsidRPr="00DE172F" w:rsidRDefault="00A22690" w:rsidP="002112D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>
              <w:rPr>
                <w:rFonts w:ascii="Calibri" w:eastAsia="Times New Roman" w:hAnsi="Calibri" w:cs="Calibri"/>
                <w:b w:val="0"/>
                <w:lang w:eastAsia="en-GB"/>
              </w:rPr>
              <w:t>21,000</w:t>
            </w:r>
          </w:p>
        </w:tc>
      </w:tr>
    </w:tbl>
    <w:p w:rsidR="00C07F67" w:rsidRPr="00C07F67" w:rsidRDefault="00C07F67" w:rsidP="00C07F67">
      <w:pPr>
        <w:rPr>
          <w:i/>
          <w:sz w:val="20"/>
          <w:szCs w:val="20"/>
        </w:rPr>
      </w:pPr>
      <w:r w:rsidRPr="00C07F67">
        <w:rPr>
          <w:i/>
          <w:sz w:val="20"/>
          <w:szCs w:val="20"/>
        </w:rPr>
        <w:t>Table 1: Number of people</w:t>
      </w:r>
      <w:r w:rsidR="00D85EC5">
        <w:rPr>
          <w:i/>
          <w:sz w:val="20"/>
          <w:szCs w:val="20"/>
        </w:rPr>
        <w:t xml:space="preserve"> aged 16+</w:t>
      </w:r>
      <w:r w:rsidRPr="00C07F67">
        <w:rPr>
          <w:i/>
          <w:sz w:val="20"/>
          <w:szCs w:val="20"/>
        </w:rPr>
        <w:t xml:space="preserve"> in employment in Armagh City, Banbridge and Craigavon Borough in 202</w:t>
      </w:r>
      <w:r w:rsidR="00DC0DA3">
        <w:rPr>
          <w:i/>
          <w:sz w:val="20"/>
          <w:szCs w:val="20"/>
        </w:rPr>
        <w:t>1</w:t>
      </w:r>
      <w:r w:rsidRPr="00C07F67">
        <w:rPr>
          <w:i/>
          <w:sz w:val="20"/>
          <w:szCs w:val="20"/>
        </w:rPr>
        <w:t>. Source: Labour Force Survey, NISRA. Please note figures have been rounded to the nearest thousand so may not sum.</w:t>
      </w:r>
    </w:p>
    <w:p w:rsidR="003D7492" w:rsidRPr="00B26715" w:rsidRDefault="00EB0776" w:rsidP="00EB0776">
      <w:pPr>
        <w:tabs>
          <w:tab w:val="left" w:pos="7164"/>
        </w:tabs>
      </w:pPr>
      <w:r w:rsidRPr="00A22690">
        <w:t>The employment rate for the borough in 20</w:t>
      </w:r>
      <w:r w:rsidR="00B26715" w:rsidRPr="00A22690">
        <w:t>2</w:t>
      </w:r>
      <w:r w:rsidR="00DC0DA3" w:rsidRPr="00A22690">
        <w:t>1</w:t>
      </w:r>
      <w:r w:rsidR="00B26715" w:rsidRPr="00A22690">
        <w:t xml:space="preserve"> </w:t>
      </w:r>
      <w:r w:rsidRPr="00A22690">
        <w:t xml:space="preserve">was </w:t>
      </w:r>
      <w:r w:rsidR="00DC0DA3" w:rsidRPr="00A22690">
        <w:t>58.1</w:t>
      </w:r>
      <w:r w:rsidRPr="00A22690">
        <w:t xml:space="preserve">% for those aged 16+ and </w:t>
      </w:r>
      <w:r w:rsidR="00DC0DA3" w:rsidRPr="00A22690">
        <w:t>70.9</w:t>
      </w:r>
      <w:r w:rsidRPr="00A22690">
        <w:t xml:space="preserve">% for those aged 16 to 64. </w:t>
      </w:r>
      <w:r w:rsidR="001B7F34" w:rsidRPr="00A22690">
        <w:t>The e</w:t>
      </w:r>
      <w:r w:rsidRPr="00A22690">
        <w:t xml:space="preserve">mployment rate for both age groups </w:t>
      </w:r>
      <w:r w:rsidR="00B26715" w:rsidRPr="00A22690">
        <w:t>is</w:t>
      </w:r>
      <w:r w:rsidRPr="00A22690">
        <w:t xml:space="preserve"> higher in the borough than Northern Ireland overall. </w:t>
      </w:r>
      <w:r w:rsidR="00B26715" w:rsidRPr="00A22690">
        <w:t xml:space="preserve"> For those aged 16 to 64, the employment rate </w:t>
      </w:r>
      <w:r w:rsidRPr="00A22690">
        <w:t>has been higher</w:t>
      </w:r>
      <w:r w:rsidR="001B7F34" w:rsidRPr="00A22690">
        <w:t xml:space="preserve"> in Armagh City, Banbridge and Craigavon Borough</w:t>
      </w:r>
      <w:r w:rsidRPr="00A22690">
        <w:t xml:space="preserve"> than Northern Ireland for each of the last </w:t>
      </w:r>
      <w:r w:rsidR="00B26715" w:rsidRPr="00A22690">
        <w:t>t</w:t>
      </w:r>
      <w:r w:rsidR="00DC0DA3" w:rsidRPr="00A22690">
        <w:t>hirteen</w:t>
      </w:r>
      <w:r w:rsidRPr="00A22690">
        <w:t xml:space="preserve"> years.</w:t>
      </w:r>
      <w:r w:rsidR="00B26715" w:rsidRPr="00A22690">
        <w:t xml:space="preserve">  The employment rate for both age groups in Armagh City, Banbridge and Craigavon Borough </w:t>
      </w:r>
      <w:r w:rsidR="00DC0DA3" w:rsidRPr="00A22690">
        <w:t xml:space="preserve">has been in decline since 2018.  In NI overall, there was a slight drop in 2020 but it increased again slightly for both age groups in 2021.  </w:t>
      </w:r>
    </w:p>
    <w:tbl>
      <w:tblPr>
        <w:tblStyle w:val="GridTable1Light"/>
        <w:tblW w:w="9067" w:type="dxa"/>
        <w:tblLook w:val="04A0" w:firstRow="1" w:lastRow="0" w:firstColumn="1" w:lastColumn="0" w:noHBand="0" w:noVBand="1"/>
        <w:tblCaption w:val="Employment rate for Armagh City, Banbridge and Craigavon Borough and Northern Ireland between 2009 and 2020.  "/>
      </w:tblPr>
      <w:tblGrid>
        <w:gridCol w:w="955"/>
        <w:gridCol w:w="2017"/>
        <w:gridCol w:w="1947"/>
        <w:gridCol w:w="2306"/>
        <w:gridCol w:w="1842"/>
      </w:tblGrid>
      <w:tr w:rsidR="006D0527" w:rsidRPr="006D0527" w:rsidTr="00DE17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vMerge w:val="restart"/>
            <w:hideMark/>
          </w:tcPr>
          <w:p w:rsidR="006D0527" w:rsidRPr="006D0527" w:rsidRDefault="006D0527" w:rsidP="006D0527">
            <w:pPr>
              <w:spacing w:line="240" w:lineRule="auto"/>
              <w:jc w:val="center"/>
              <w:rPr>
                <w:rFonts w:eastAsia="Times New Roman" w:cstheme="minorHAnsi"/>
                <w:lang w:eastAsia="en-GB"/>
              </w:rPr>
            </w:pPr>
            <w:bookmarkStart w:id="0" w:name="_GoBack" w:colFirst="0" w:colLast="0"/>
            <w:r w:rsidRPr="006D0527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3964" w:type="dxa"/>
            <w:gridSpan w:val="2"/>
            <w:noWrap/>
            <w:hideMark/>
          </w:tcPr>
          <w:p w:rsidR="006D0527" w:rsidRPr="006D0527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6D0527">
              <w:rPr>
                <w:rFonts w:eastAsia="Times New Roman" w:cstheme="minorHAnsi"/>
                <w:lang w:eastAsia="en-GB"/>
              </w:rPr>
              <w:t>Employment Rate (16+)</w:t>
            </w:r>
          </w:p>
        </w:tc>
        <w:tc>
          <w:tcPr>
            <w:tcW w:w="4148" w:type="dxa"/>
            <w:gridSpan w:val="2"/>
            <w:hideMark/>
          </w:tcPr>
          <w:p w:rsidR="006D0527" w:rsidRPr="006D0527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6D0527">
              <w:rPr>
                <w:rFonts w:eastAsia="Times New Roman" w:cstheme="minorHAnsi"/>
                <w:lang w:eastAsia="en-GB"/>
              </w:rPr>
              <w:t>Employment Rate (16 – 64)</w:t>
            </w:r>
          </w:p>
        </w:tc>
      </w:tr>
      <w:bookmarkEnd w:id="0"/>
      <w:tr w:rsidR="006D0527" w:rsidRPr="006D0527" w:rsidTr="00DE17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vMerge/>
            <w:hideMark/>
          </w:tcPr>
          <w:p w:rsidR="006D0527" w:rsidRPr="006D0527" w:rsidRDefault="006D0527" w:rsidP="006D0527">
            <w:pPr>
              <w:spacing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017" w:type="dxa"/>
            <w:noWrap/>
            <w:hideMark/>
          </w:tcPr>
          <w:p w:rsidR="006D0527" w:rsidRPr="006D0527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6D0527">
              <w:rPr>
                <w:rFonts w:eastAsia="Times New Roman" w:cstheme="minorHAnsi"/>
                <w:lang w:eastAsia="en-GB"/>
              </w:rPr>
              <w:t>ABC</w:t>
            </w:r>
          </w:p>
        </w:tc>
        <w:tc>
          <w:tcPr>
            <w:tcW w:w="1947" w:type="dxa"/>
            <w:noWrap/>
            <w:hideMark/>
          </w:tcPr>
          <w:p w:rsidR="006D0527" w:rsidRPr="006D0527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6D0527">
              <w:rPr>
                <w:rFonts w:eastAsia="Times New Roman" w:cstheme="minorHAnsi"/>
                <w:lang w:eastAsia="en-GB"/>
              </w:rPr>
              <w:t>NI</w:t>
            </w:r>
          </w:p>
        </w:tc>
        <w:tc>
          <w:tcPr>
            <w:tcW w:w="2306" w:type="dxa"/>
            <w:hideMark/>
          </w:tcPr>
          <w:p w:rsidR="006D0527" w:rsidRPr="006D0527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6D0527">
              <w:rPr>
                <w:rFonts w:eastAsia="Times New Roman" w:cstheme="minorHAnsi"/>
                <w:lang w:eastAsia="en-GB"/>
              </w:rPr>
              <w:t>ABC</w:t>
            </w:r>
          </w:p>
        </w:tc>
        <w:tc>
          <w:tcPr>
            <w:tcW w:w="1842" w:type="dxa"/>
            <w:hideMark/>
          </w:tcPr>
          <w:p w:rsidR="006D0527" w:rsidRPr="006D0527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6D0527">
              <w:rPr>
                <w:rFonts w:eastAsia="Times New Roman" w:cstheme="minorHAnsi"/>
                <w:lang w:eastAsia="en-GB"/>
              </w:rPr>
              <w:t>NI</w:t>
            </w:r>
          </w:p>
        </w:tc>
      </w:tr>
      <w:tr w:rsidR="006D0527" w:rsidRPr="006D0527" w:rsidTr="00DE17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hideMark/>
          </w:tcPr>
          <w:p w:rsidR="006D0527" w:rsidRPr="006D0527" w:rsidRDefault="006D0527" w:rsidP="006D0527">
            <w:pPr>
              <w:spacing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6D0527">
              <w:rPr>
                <w:rFonts w:eastAsia="Times New Roman" w:cstheme="minorHAnsi"/>
                <w:lang w:eastAsia="en-GB"/>
              </w:rPr>
              <w:t>2009</w:t>
            </w:r>
          </w:p>
        </w:tc>
        <w:tc>
          <w:tcPr>
            <w:tcW w:w="2017" w:type="dxa"/>
            <w:noWrap/>
            <w:hideMark/>
          </w:tcPr>
          <w:p w:rsidR="006D0527" w:rsidRPr="00DE172F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E172F">
              <w:rPr>
                <w:rFonts w:eastAsia="Times New Roman" w:cstheme="minorHAnsi"/>
                <w:b w:val="0"/>
                <w:lang w:eastAsia="en-GB"/>
              </w:rPr>
              <w:t>58.4%</w:t>
            </w:r>
          </w:p>
        </w:tc>
        <w:tc>
          <w:tcPr>
            <w:tcW w:w="1947" w:type="dxa"/>
            <w:noWrap/>
            <w:hideMark/>
          </w:tcPr>
          <w:p w:rsidR="006D0527" w:rsidRPr="00DE172F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E172F">
              <w:rPr>
                <w:rFonts w:eastAsia="Times New Roman" w:cstheme="minorHAnsi"/>
                <w:b w:val="0"/>
                <w:lang w:eastAsia="en-GB"/>
              </w:rPr>
              <w:t>55.0%</w:t>
            </w:r>
          </w:p>
        </w:tc>
        <w:tc>
          <w:tcPr>
            <w:tcW w:w="2306" w:type="dxa"/>
            <w:hideMark/>
          </w:tcPr>
          <w:p w:rsidR="006D0527" w:rsidRPr="00DE172F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E172F">
              <w:rPr>
                <w:rFonts w:eastAsia="Times New Roman" w:cstheme="minorHAnsi"/>
                <w:b w:val="0"/>
                <w:lang w:eastAsia="en-GB"/>
              </w:rPr>
              <w:t>67.2%</w:t>
            </w:r>
          </w:p>
        </w:tc>
        <w:tc>
          <w:tcPr>
            <w:tcW w:w="1842" w:type="dxa"/>
            <w:hideMark/>
          </w:tcPr>
          <w:p w:rsidR="006D0527" w:rsidRPr="00DE172F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E172F">
              <w:rPr>
                <w:rFonts w:eastAsia="Times New Roman" w:cstheme="minorHAnsi"/>
                <w:b w:val="0"/>
                <w:lang w:eastAsia="en-GB"/>
              </w:rPr>
              <w:t>65.1%</w:t>
            </w:r>
          </w:p>
        </w:tc>
      </w:tr>
      <w:tr w:rsidR="006D0527" w:rsidRPr="006D0527" w:rsidTr="00DE17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hideMark/>
          </w:tcPr>
          <w:p w:rsidR="006D0527" w:rsidRPr="006D0527" w:rsidRDefault="006D0527" w:rsidP="006D0527">
            <w:pPr>
              <w:spacing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6D0527">
              <w:rPr>
                <w:rFonts w:eastAsia="Times New Roman" w:cstheme="minorHAnsi"/>
                <w:lang w:eastAsia="en-GB"/>
              </w:rPr>
              <w:t>2010</w:t>
            </w:r>
          </w:p>
        </w:tc>
        <w:tc>
          <w:tcPr>
            <w:tcW w:w="2017" w:type="dxa"/>
            <w:noWrap/>
            <w:hideMark/>
          </w:tcPr>
          <w:p w:rsidR="006D0527" w:rsidRPr="00DE172F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E172F">
              <w:rPr>
                <w:rFonts w:eastAsia="Times New Roman" w:cstheme="minorHAnsi"/>
                <w:b w:val="0"/>
                <w:lang w:eastAsia="en-GB"/>
              </w:rPr>
              <w:t>61.4%</w:t>
            </w:r>
          </w:p>
        </w:tc>
        <w:tc>
          <w:tcPr>
            <w:tcW w:w="1947" w:type="dxa"/>
            <w:noWrap/>
            <w:hideMark/>
          </w:tcPr>
          <w:p w:rsidR="006D0527" w:rsidRPr="00DE172F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E172F">
              <w:rPr>
                <w:rFonts w:eastAsia="Times New Roman" w:cstheme="minorHAnsi"/>
                <w:b w:val="0"/>
                <w:lang w:eastAsia="en-GB"/>
              </w:rPr>
              <w:t>55.3%</w:t>
            </w:r>
          </w:p>
        </w:tc>
        <w:tc>
          <w:tcPr>
            <w:tcW w:w="2306" w:type="dxa"/>
            <w:hideMark/>
          </w:tcPr>
          <w:p w:rsidR="006D0527" w:rsidRPr="00DE172F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E172F">
              <w:rPr>
                <w:rFonts w:eastAsia="Times New Roman" w:cstheme="minorHAnsi"/>
                <w:b w:val="0"/>
                <w:lang w:eastAsia="en-GB"/>
              </w:rPr>
              <w:t>70.2%</w:t>
            </w:r>
          </w:p>
        </w:tc>
        <w:tc>
          <w:tcPr>
            <w:tcW w:w="1842" w:type="dxa"/>
            <w:hideMark/>
          </w:tcPr>
          <w:p w:rsidR="006D0527" w:rsidRPr="00DE172F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E172F">
              <w:rPr>
                <w:rFonts w:eastAsia="Times New Roman" w:cstheme="minorHAnsi"/>
                <w:b w:val="0"/>
                <w:lang w:eastAsia="en-GB"/>
              </w:rPr>
              <w:t>65.8%</w:t>
            </w:r>
          </w:p>
        </w:tc>
      </w:tr>
      <w:tr w:rsidR="006D0527" w:rsidRPr="006D0527" w:rsidTr="00DE17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hideMark/>
          </w:tcPr>
          <w:p w:rsidR="006D0527" w:rsidRPr="006D0527" w:rsidRDefault="006D0527" w:rsidP="006D0527">
            <w:pPr>
              <w:spacing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6D0527">
              <w:rPr>
                <w:rFonts w:eastAsia="Times New Roman" w:cstheme="minorHAnsi"/>
                <w:lang w:eastAsia="en-GB"/>
              </w:rPr>
              <w:t>2011</w:t>
            </w:r>
          </w:p>
        </w:tc>
        <w:tc>
          <w:tcPr>
            <w:tcW w:w="2017" w:type="dxa"/>
            <w:noWrap/>
            <w:hideMark/>
          </w:tcPr>
          <w:p w:rsidR="006D0527" w:rsidRPr="00DE172F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E172F">
              <w:rPr>
                <w:rFonts w:eastAsia="Times New Roman" w:cstheme="minorHAnsi"/>
                <w:b w:val="0"/>
                <w:lang w:eastAsia="en-GB"/>
              </w:rPr>
              <w:t>60.3%</w:t>
            </w:r>
          </w:p>
        </w:tc>
        <w:tc>
          <w:tcPr>
            <w:tcW w:w="1947" w:type="dxa"/>
            <w:noWrap/>
            <w:hideMark/>
          </w:tcPr>
          <w:p w:rsidR="006D0527" w:rsidRPr="00DE172F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E172F">
              <w:rPr>
                <w:rFonts w:eastAsia="Times New Roman" w:cstheme="minorHAnsi"/>
                <w:b w:val="0"/>
                <w:lang w:eastAsia="en-GB"/>
              </w:rPr>
              <w:t>56.4%</w:t>
            </w:r>
          </w:p>
        </w:tc>
        <w:tc>
          <w:tcPr>
            <w:tcW w:w="2306" w:type="dxa"/>
            <w:hideMark/>
          </w:tcPr>
          <w:p w:rsidR="006D0527" w:rsidRPr="00DE172F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E172F">
              <w:rPr>
                <w:rFonts w:eastAsia="Times New Roman" w:cstheme="minorHAnsi"/>
                <w:b w:val="0"/>
                <w:lang w:eastAsia="en-GB"/>
              </w:rPr>
              <w:t>70.9%</w:t>
            </w:r>
          </w:p>
        </w:tc>
        <w:tc>
          <w:tcPr>
            <w:tcW w:w="1842" w:type="dxa"/>
            <w:hideMark/>
          </w:tcPr>
          <w:p w:rsidR="006D0527" w:rsidRPr="00DE172F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E172F">
              <w:rPr>
                <w:rFonts w:eastAsia="Times New Roman" w:cstheme="minorHAnsi"/>
                <w:b w:val="0"/>
                <w:lang w:eastAsia="en-GB"/>
              </w:rPr>
              <w:t>67.0%</w:t>
            </w:r>
          </w:p>
        </w:tc>
      </w:tr>
      <w:tr w:rsidR="006D0527" w:rsidRPr="006D0527" w:rsidTr="00DE17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hideMark/>
          </w:tcPr>
          <w:p w:rsidR="006D0527" w:rsidRPr="006D0527" w:rsidRDefault="006D0527" w:rsidP="006D0527">
            <w:pPr>
              <w:spacing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6D0527">
              <w:rPr>
                <w:rFonts w:eastAsia="Times New Roman" w:cstheme="minorHAnsi"/>
                <w:lang w:eastAsia="en-GB"/>
              </w:rPr>
              <w:t>2012</w:t>
            </w:r>
          </w:p>
        </w:tc>
        <w:tc>
          <w:tcPr>
            <w:tcW w:w="2017" w:type="dxa"/>
            <w:noWrap/>
            <w:hideMark/>
          </w:tcPr>
          <w:p w:rsidR="006D0527" w:rsidRPr="00DE172F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E172F">
              <w:rPr>
                <w:rFonts w:eastAsia="Times New Roman" w:cstheme="minorHAnsi"/>
                <w:b w:val="0"/>
                <w:lang w:eastAsia="en-GB"/>
              </w:rPr>
              <w:t>54.2%</w:t>
            </w:r>
          </w:p>
        </w:tc>
        <w:tc>
          <w:tcPr>
            <w:tcW w:w="1947" w:type="dxa"/>
            <w:noWrap/>
            <w:hideMark/>
          </w:tcPr>
          <w:p w:rsidR="006D0527" w:rsidRPr="00DE172F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E172F">
              <w:rPr>
                <w:rFonts w:eastAsia="Times New Roman" w:cstheme="minorHAnsi"/>
                <w:b w:val="0"/>
                <w:lang w:eastAsia="en-GB"/>
              </w:rPr>
              <w:t>56.0%</w:t>
            </w:r>
          </w:p>
        </w:tc>
        <w:tc>
          <w:tcPr>
            <w:tcW w:w="2306" w:type="dxa"/>
            <w:hideMark/>
          </w:tcPr>
          <w:p w:rsidR="006D0527" w:rsidRPr="00DE172F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E172F">
              <w:rPr>
                <w:rFonts w:eastAsia="Times New Roman" w:cstheme="minorHAnsi"/>
                <w:b w:val="0"/>
                <w:lang w:eastAsia="en-GB"/>
              </w:rPr>
              <w:t>68.2%</w:t>
            </w:r>
          </w:p>
        </w:tc>
        <w:tc>
          <w:tcPr>
            <w:tcW w:w="1842" w:type="dxa"/>
            <w:hideMark/>
          </w:tcPr>
          <w:p w:rsidR="006D0527" w:rsidRPr="00DE172F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E172F">
              <w:rPr>
                <w:rFonts w:eastAsia="Times New Roman" w:cstheme="minorHAnsi"/>
                <w:b w:val="0"/>
                <w:lang w:eastAsia="en-GB"/>
              </w:rPr>
              <w:t>67.0%</w:t>
            </w:r>
          </w:p>
        </w:tc>
      </w:tr>
      <w:tr w:rsidR="006D0527" w:rsidRPr="006D0527" w:rsidTr="00DE17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hideMark/>
          </w:tcPr>
          <w:p w:rsidR="006D0527" w:rsidRPr="006D0527" w:rsidRDefault="006D0527" w:rsidP="006D0527">
            <w:pPr>
              <w:spacing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6D0527">
              <w:rPr>
                <w:rFonts w:eastAsia="Times New Roman" w:cstheme="minorHAnsi"/>
                <w:lang w:eastAsia="en-GB"/>
              </w:rPr>
              <w:t>2013</w:t>
            </w:r>
          </w:p>
        </w:tc>
        <w:tc>
          <w:tcPr>
            <w:tcW w:w="2017" w:type="dxa"/>
            <w:noWrap/>
            <w:hideMark/>
          </w:tcPr>
          <w:p w:rsidR="006D0527" w:rsidRPr="00DE172F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E172F">
              <w:rPr>
                <w:rFonts w:eastAsia="Times New Roman" w:cstheme="minorHAnsi"/>
                <w:b w:val="0"/>
                <w:lang w:eastAsia="en-GB"/>
              </w:rPr>
              <w:t>56.5%</w:t>
            </w:r>
          </w:p>
        </w:tc>
        <w:tc>
          <w:tcPr>
            <w:tcW w:w="1947" w:type="dxa"/>
            <w:noWrap/>
            <w:hideMark/>
          </w:tcPr>
          <w:p w:rsidR="006D0527" w:rsidRPr="00DE172F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E172F">
              <w:rPr>
                <w:rFonts w:eastAsia="Times New Roman" w:cstheme="minorHAnsi"/>
                <w:b w:val="0"/>
                <w:lang w:eastAsia="en-GB"/>
              </w:rPr>
              <w:t>56.2%</w:t>
            </w:r>
          </w:p>
        </w:tc>
        <w:tc>
          <w:tcPr>
            <w:tcW w:w="2306" w:type="dxa"/>
            <w:hideMark/>
          </w:tcPr>
          <w:p w:rsidR="006D0527" w:rsidRPr="00DE172F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E172F">
              <w:rPr>
                <w:rFonts w:eastAsia="Times New Roman" w:cstheme="minorHAnsi"/>
                <w:b w:val="0"/>
                <w:lang w:eastAsia="en-GB"/>
              </w:rPr>
              <w:t>68.4%</w:t>
            </w:r>
          </w:p>
        </w:tc>
        <w:tc>
          <w:tcPr>
            <w:tcW w:w="1842" w:type="dxa"/>
            <w:hideMark/>
          </w:tcPr>
          <w:p w:rsidR="006D0527" w:rsidRPr="00DE172F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E172F">
              <w:rPr>
                <w:rFonts w:eastAsia="Times New Roman" w:cstheme="minorHAnsi"/>
                <w:b w:val="0"/>
                <w:lang w:eastAsia="en-GB"/>
              </w:rPr>
              <w:t>67.1%</w:t>
            </w:r>
          </w:p>
        </w:tc>
      </w:tr>
      <w:tr w:rsidR="006D0527" w:rsidRPr="006D0527" w:rsidTr="00DE17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hideMark/>
          </w:tcPr>
          <w:p w:rsidR="006D0527" w:rsidRPr="006D0527" w:rsidRDefault="006D0527" w:rsidP="006D0527">
            <w:pPr>
              <w:spacing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6D0527">
              <w:rPr>
                <w:rFonts w:eastAsia="Times New Roman" w:cstheme="minorHAnsi"/>
                <w:lang w:eastAsia="en-GB"/>
              </w:rPr>
              <w:t>2014</w:t>
            </w:r>
          </w:p>
        </w:tc>
        <w:tc>
          <w:tcPr>
            <w:tcW w:w="2017" w:type="dxa"/>
            <w:noWrap/>
            <w:hideMark/>
          </w:tcPr>
          <w:p w:rsidR="006D0527" w:rsidRPr="00DE172F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E172F">
              <w:rPr>
                <w:rFonts w:eastAsia="Times New Roman" w:cstheme="minorHAnsi"/>
                <w:b w:val="0"/>
                <w:lang w:eastAsia="en-GB"/>
              </w:rPr>
              <w:t>58.0%</w:t>
            </w:r>
          </w:p>
        </w:tc>
        <w:tc>
          <w:tcPr>
            <w:tcW w:w="1947" w:type="dxa"/>
            <w:noWrap/>
            <w:hideMark/>
          </w:tcPr>
          <w:p w:rsidR="006D0527" w:rsidRPr="00DE172F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E172F">
              <w:rPr>
                <w:rFonts w:eastAsia="Times New Roman" w:cstheme="minorHAnsi"/>
                <w:b w:val="0"/>
                <w:lang w:eastAsia="en-GB"/>
              </w:rPr>
              <w:t>56.3%</w:t>
            </w:r>
          </w:p>
        </w:tc>
        <w:tc>
          <w:tcPr>
            <w:tcW w:w="2306" w:type="dxa"/>
            <w:hideMark/>
          </w:tcPr>
          <w:p w:rsidR="006D0527" w:rsidRPr="00DE172F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E172F">
              <w:rPr>
                <w:rFonts w:eastAsia="Times New Roman" w:cstheme="minorHAnsi"/>
                <w:b w:val="0"/>
                <w:lang w:eastAsia="en-GB"/>
              </w:rPr>
              <w:t>71.0%</w:t>
            </w:r>
          </w:p>
        </w:tc>
        <w:tc>
          <w:tcPr>
            <w:tcW w:w="1842" w:type="dxa"/>
            <w:hideMark/>
          </w:tcPr>
          <w:p w:rsidR="006D0527" w:rsidRPr="00DE172F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E172F">
              <w:rPr>
                <w:rFonts w:eastAsia="Times New Roman" w:cstheme="minorHAnsi"/>
                <w:b w:val="0"/>
                <w:lang w:eastAsia="en-GB"/>
              </w:rPr>
              <w:t>67.7%</w:t>
            </w:r>
          </w:p>
        </w:tc>
      </w:tr>
      <w:tr w:rsidR="006D0527" w:rsidRPr="006D0527" w:rsidTr="00DE17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hideMark/>
          </w:tcPr>
          <w:p w:rsidR="006D0527" w:rsidRPr="006D0527" w:rsidRDefault="006D0527" w:rsidP="006D0527">
            <w:pPr>
              <w:spacing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6D0527">
              <w:rPr>
                <w:rFonts w:eastAsia="Times New Roman" w:cstheme="minorHAnsi"/>
                <w:lang w:eastAsia="en-GB"/>
              </w:rPr>
              <w:t>2015</w:t>
            </w:r>
          </w:p>
        </w:tc>
        <w:tc>
          <w:tcPr>
            <w:tcW w:w="2017" w:type="dxa"/>
            <w:noWrap/>
            <w:hideMark/>
          </w:tcPr>
          <w:p w:rsidR="006D0527" w:rsidRPr="00DE172F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E172F">
              <w:rPr>
                <w:rFonts w:eastAsia="Times New Roman" w:cstheme="minorHAnsi"/>
                <w:b w:val="0"/>
                <w:lang w:eastAsia="en-GB"/>
              </w:rPr>
              <w:t>57.1%</w:t>
            </w:r>
          </w:p>
        </w:tc>
        <w:tc>
          <w:tcPr>
            <w:tcW w:w="1947" w:type="dxa"/>
            <w:noWrap/>
            <w:hideMark/>
          </w:tcPr>
          <w:p w:rsidR="006D0527" w:rsidRPr="00DE172F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E172F">
              <w:rPr>
                <w:rFonts w:eastAsia="Times New Roman" w:cstheme="minorHAnsi"/>
                <w:b w:val="0"/>
                <w:lang w:eastAsia="en-GB"/>
              </w:rPr>
              <w:t>57.0%</w:t>
            </w:r>
          </w:p>
        </w:tc>
        <w:tc>
          <w:tcPr>
            <w:tcW w:w="2306" w:type="dxa"/>
            <w:hideMark/>
          </w:tcPr>
          <w:p w:rsidR="006D0527" w:rsidRPr="00DE172F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E172F">
              <w:rPr>
                <w:rFonts w:eastAsia="Times New Roman" w:cstheme="minorHAnsi"/>
                <w:b w:val="0"/>
                <w:lang w:eastAsia="en-GB"/>
              </w:rPr>
              <w:t>69.4%</w:t>
            </w:r>
          </w:p>
        </w:tc>
        <w:tc>
          <w:tcPr>
            <w:tcW w:w="1842" w:type="dxa"/>
            <w:hideMark/>
          </w:tcPr>
          <w:p w:rsidR="006D0527" w:rsidRPr="00DE172F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E172F">
              <w:rPr>
                <w:rFonts w:eastAsia="Times New Roman" w:cstheme="minorHAnsi"/>
                <w:b w:val="0"/>
                <w:lang w:eastAsia="en-GB"/>
              </w:rPr>
              <w:t>68.4%</w:t>
            </w:r>
          </w:p>
        </w:tc>
      </w:tr>
      <w:tr w:rsidR="006D0527" w:rsidRPr="006D0527" w:rsidTr="00DE17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hideMark/>
          </w:tcPr>
          <w:p w:rsidR="006D0527" w:rsidRPr="006D0527" w:rsidRDefault="006D0527" w:rsidP="006D0527">
            <w:pPr>
              <w:spacing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6D0527">
              <w:rPr>
                <w:rFonts w:eastAsia="Times New Roman" w:cstheme="minorHAnsi"/>
                <w:lang w:eastAsia="en-GB"/>
              </w:rPr>
              <w:t>2016</w:t>
            </w:r>
          </w:p>
        </w:tc>
        <w:tc>
          <w:tcPr>
            <w:tcW w:w="2017" w:type="dxa"/>
            <w:noWrap/>
            <w:hideMark/>
          </w:tcPr>
          <w:p w:rsidR="006D0527" w:rsidRPr="00DE172F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E172F">
              <w:rPr>
                <w:rFonts w:eastAsia="Times New Roman" w:cstheme="minorHAnsi"/>
                <w:b w:val="0"/>
                <w:lang w:eastAsia="en-GB"/>
              </w:rPr>
              <w:t>58.7%</w:t>
            </w:r>
          </w:p>
        </w:tc>
        <w:tc>
          <w:tcPr>
            <w:tcW w:w="1947" w:type="dxa"/>
            <w:noWrap/>
            <w:hideMark/>
          </w:tcPr>
          <w:p w:rsidR="006D0527" w:rsidRPr="00DE172F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E172F">
              <w:rPr>
                <w:rFonts w:eastAsia="Times New Roman" w:cstheme="minorHAnsi"/>
                <w:b w:val="0"/>
                <w:lang w:eastAsia="en-GB"/>
              </w:rPr>
              <w:t>57.5%</w:t>
            </w:r>
          </w:p>
        </w:tc>
        <w:tc>
          <w:tcPr>
            <w:tcW w:w="2306" w:type="dxa"/>
            <w:hideMark/>
          </w:tcPr>
          <w:p w:rsidR="006D0527" w:rsidRPr="00DE172F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E172F">
              <w:rPr>
                <w:rFonts w:eastAsia="Times New Roman" w:cstheme="minorHAnsi"/>
                <w:b w:val="0"/>
                <w:lang w:eastAsia="en-GB"/>
              </w:rPr>
              <w:t>70.8%</w:t>
            </w:r>
          </w:p>
        </w:tc>
        <w:tc>
          <w:tcPr>
            <w:tcW w:w="1842" w:type="dxa"/>
            <w:hideMark/>
          </w:tcPr>
          <w:p w:rsidR="006D0527" w:rsidRPr="00DE172F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E172F">
              <w:rPr>
                <w:rFonts w:eastAsia="Times New Roman" w:cstheme="minorHAnsi"/>
                <w:b w:val="0"/>
                <w:lang w:eastAsia="en-GB"/>
              </w:rPr>
              <w:t>69.4%</w:t>
            </w:r>
          </w:p>
        </w:tc>
      </w:tr>
      <w:tr w:rsidR="006D0527" w:rsidRPr="006D0527" w:rsidTr="00DE17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hideMark/>
          </w:tcPr>
          <w:p w:rsidR="006D0527" w:rsidRPr="006D0527" w:rsidRDefault="006D0527" w:rsidP="006D0527">
            <w:pPr>
              <w:spacing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6D0527">
              <w:rPr>
                <w:rFonts w:eastAsia="Times New Roman" w:cstheme="minorHAnsi"/>
                <w:lang w:eastAsia="en-GB"/>
              </w:rPr>
              <w:t>2017</w:t>
            </w:r>
          </w:p>
        </w:tc>
        <w:tc>
          <w:tcPr>
            <w:tcW w:w="2017" w:type="dxa"/>
            <w:noWrap/>
            <w:hideMark/>
          </w:tcPr>
          <w:p w:rsidR="006D0527" w:rsidRPr="00DE172F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E172F">
              <w:rPr>
                <w:rFonts w:eastAsia="Times New Roman" w:cstheme="minorHAnsi"/>
                <w:b w:val="0"/>
                <w:lang w:eastAsia="en-GB"/>
              </w:rPr>
              <w:t>60.6%</w:t>
            </w:r>
          </w:p>
        </w:tc>
        <w:tc>
          <w:tcPr>
            <w:tcW w:w="1947" w:type="dxa"/>
            <w:noWrap/>
            <w:hideMark/>
          </w:tcPr>
          <w:p w:rsidR="006D0527" w:rsidRPr="00DE172F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E172F">
              <w:rPr>
                <w:rFonts w:eastAsia="Times New Roman" w:cstheme="minorHAnsi"/>
                <w:b w:val="0"/>
                <w:lang w:eastAsia="en-GB"/>
              </w:rPr>
              <w:t>57.2%</w:t>
            </w:r>
          </w:p>
        </w:tc>
        <w:tc>
          <w:tcPr>
            <w:tcW w:w="2306" w:type="dxa"/>
            <w:hideMark/>
          </w:tcPr>
          <w:p w:rsidR="006D0527" w:rsidRPr="00DE172F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E172F">
              <w:rPr>
                <w:rFonts w:eastAsia="Times New Roman" w:cstheme="minorHAnsi"/>
                <w:b w:val="0"/>
                <w:lang w:eastAsia="en-GB"/>
              </w:rPr>
              <w:t>73.3%</w:t>
            </w:r>
          </w:p>
        </w:tc>
        <w:tc>
          <w:tcPr>
            <w:tcW w:w="1842" w:type="dxa"/>
            <w:hideMark/>
          </w:tcPr>
          <w:p w:rsidR="006D0527" w:rsidRPr="00DE172F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E172F">
              <w:rPr>
                <w:rFonts w:eastAsia="Times New Roman" w:cstheme="minorHAnsi"/>
                <w:b w:val="0"/>
                <w:lang w:eastAsia="en-GB"/>
              </w:rPr>
              <w:t>69.1%</w:t>
            </w:r>
          </w:p>
        </w:tc>
      </w:tr>
      <w:tr w:rsidR="006D0527" w:rsidRPr="006D0527" w:rsidTr="00DE17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hideMark/>
          </w:tcPr>
          <w:p w:rsidR="006D0527" w:rsidRPr="006D0527" w:rsidRDefault="006D0527" w:rsidP="006D0527">
            <w:pPr>
              <w:spacing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6D0527">
              <w:rPr>
                <w:rFonts w:eastAsia="Times New Roman" w:cstheme="minorHAnsi"/>
                <w:lang w:eastAsia="en-GB"/>
              </w:rPr>
              <w:t>2018</w:t>
            </w:r>
          </w:p>
        </w:tc>
        <w:tc>
          <w:tcPr>
            <w:tcW w:w="2017" w:type="dxa"/>
            <w:noWrap/>
            <w:hideMark/>
          </w:tcPr>
          <w:p w:rsidR="006D0527" w:rsidRPr="00DE172F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E172F">
              <w:rPr>
                <w:rFonts w:eastAsia="Times New Roman" w:cstheme="minorHAnsi"/>
                <w:b w:val="0"/>
                <w:lang w:eastAsia="en-GB"/>
              </w:rPr>
              <w:t>61.8%</w:t>
            </w:r>
          </w:p>
        </w:tc>
        <w:tc>
          <w:tcPr>
            <w:tcW w:w="1947" w:type="dxa"/>
            <w:noWrap/>
            <w:hideMark/>
          </w:tcPr>
          <w:p w:rsidR="006D0527" w:rsidRPr="00DE172F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E172F">
              <w:rPr>
                <w:rFonts w:eastAsia="Times New Roman" w:cstheme="minorHAnsi"/>
                <w:b w:val="0"/>
                <w:lang w:eastAsia="en-GB"/>
              </w:rPr>
              <w:t>58.0%</w:t>
            </w:r>
          </w:p>
        </w:tc>
        <w:tc>
          <w:tcPr>
            <w:tcW w:w="2306" w:type="dxa"/>
            <w:hideMark/>
          </w:tcPr>
          <w:p w:rsidR="006D0527" w:rsidRPr="00DE172F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E172F">
              <w:rPr>
                <w:rFonts w:eastAsia="Times New Roman" w:cstheme="minorHAnsi"/>
                <w:b w:val="0"/>
                <w:lang w:eastAsia="en-GB"/>
              </w:rPr>
              <w:t>73.9%</w:t>
            </w:r>
          </w:p>
        </w:tc>
        <w:tc>
          <w:tcPr>
            <w:tcW w:w="1842" w:type="dxa"/>
            <w:hideMark/>
          </w:tcPr>
          <w:p w:rsidR="006D0527" w:rsidRPr="00DE172F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E172F">
              <w:rPr>
                <w:rFonts w:eastAsia="Times New Roman" w:cstheme="minorHAnsi"/>
                <w:b w:val="0"/>
                <w:lang w:eastAsia="en-GB"/>
              </w:rPr>
              <w:t>70.0%</w:t>
            </w:r>
          </w:p>
        </w:tc>
      </w:tr>
      <w:tr w:rsidR="006D0527" w:rsidRPr="006D0527" w:rsidTr="00DE17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hideMark/>
          </w:tcPr>
          <w:p w:rsidR="006D0527" w:rsidRPr="006D0527" w:rsidRDefault="006D0527" w:rsidP="006D0527">
            <w:pPr>
              <w:spacing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6D0527">
              <w:rPr>
                <w:rFonts w:eastAsia="Times New Roman" w:cstheme="minorHAnsi"/>
                <w:lang w:eastAsia="en-GB"/>
              </w:rPr>
              <w:t>2019</w:t>
            </w:r>
          </w:p>
        </w:tc>
        <w:tc>
          <w:tcPr>
            <w:tcW w:w="2017" w:type="dxa"/>
            <w:noWrap/>
            <w:hideMark/>
          </w:tcPr>
          <w:p w:rsidR="006D0527" w:rsidRPr="00DE172F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E172F">
              <w:rPr>
                <w:rFonts w:eastAsia="Times New Roman" w:cstheme="minorHAnsi"/>
                <w:b w:val="0"/>
                <w:lang w:eastAsia="en-GB"/>
              </w:rPr>
              <w:t>59.3%</w:t>
            </w:r>
          </w:p>
        </w:tc>
        <w:tc>
          <w:tcPr>
            <w:tcW w:w="1947" w:type="dxa"/>
            <w:noWrap/>
            <w:hideMark/>
          </w:tcPr>
          <w:p w:rsidR="006D0527" w:rsidRPr="00DE172F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E172F">
              <w:rPr>
                <w:rFonts w:eastAsia="Times New Roman" w:cstheme="minorHAnsi"/>
                <w:b w:val="0"/>
                <w:lang w:eastAsia="en-GB"/>
              </w:rPr>
              <w:t>59.3%</w:t>
            </w:r>
          </w:p>
        </w:tc>
        <w:tc>
          <w:tcPr>
            <w:tcW w:w="2306" w:type="dxa"/>
            <w:hideMark/>
          </w:tcPr>
          <w:p w:rsidR="006D0527" w:rsidRPr="00DE172F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E172F">
              <w:rPr>
                <w:rFonts w:eastAsia="Times New Roman" w:cstheme="minorHAnsi"/>
                <w:b w:val="0"/>
                <w:lang w:eastAsia="en-GB"/>
              </w:rPr>
              <w:t>72.3%</w:t>
            </w:r>
          </w:p>
        </w:tc>
        <w:tc>
          <w:tcPr>
            <w:tcW w:w="1842" w:type="dxa"/>
            <w:hideMark/>
          </w:tcPr>
          <w:p w:rsidR="006D0527" w:rsidRPr="00DE172F" w:rsidRDefault="006D0527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E172F">
              <w:rPr>
                <w:rFonts w:eastAsia="Times New Roman" w:cstheme="minorHAnsi"/>
                <w:b w:val="0"/>
                <w:lang w:eastAsia="en-GB"/>
              </w:rPr>
              <w:t>71.9%</w:t>
            </w:r>
          </w:p>
        </w:tc>
      </w:tr>
      <w:tr w:rsidR="006D0527" w:rsidRPr="006D0527" w:rsidTr="00DE17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hideMark/>
          </w:tcPr>
          <w:p w:rsidR="006D0527" w:rsidRPr="006D0527" w:rsidRDefault="006D0527" w:rsidP="006D0527">
            <w:pPr>
              <w:spacing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6D0527">
              <w:rPr>
                <w:rFonts w:eastAsia="Times New Roman" w:cstheme="minorHAnsi"/>
                <w:lang w:eastAsia="en-GB"/>
              </w:rPr>
              <w:t>2020</w:t>
            </w:r>
          </w:p>
        </w:tc>
        <w:tc>
          <w:tcPr>
            <w:tcW w:w="2017" w:type="dxa"/>
            <w:noWrap/>
            <w:hideMark/>
          </w:tcPr>
          <w:p w:rsidR="006D0527" w:rsidRPr="00DE172F" w:rsidRDefault="00DC0DA3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>
              <w:rPr>
                <w:rFonts w:eastAsia="Times New Roman" w:cstheme="minorHAnsi"/>
                <w:b w:val="0"/>
                <w:lang w:eastAsia="en-GB"/>
              </w:rPr>
              <w:t>58.6</w:t>
            </w:r>
            <w:r w:rsidR="006D0527" w:rsidRPr="00DE172F">
              <w:rPr>
                <w:rFonts w:eastAsia="Times New Roman" w:cstheme="minorHAnsi"/>
                <w:b w:val="0"/>
                <w:lang w:eastAsia="en-GB"/>
              </w:rPr>
              <w:t>%</w:t>
            </w:r>
          </w:p>
        </w:tc>
        <w:tc>
          <w:tcPr>
            <w:tcW w:w="1947" w:type="dxa"/>
            <w:noWrap/>
            <w:hideMark/>
          </w:tcPr>
          <w:p w:rsidR="006D0527" w:rsidRPr="00DE172F" w:rsidRDefault="00DC0DA3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>
              <w:rPr>
                <w:rFonts w:eastAsia="Times New Roman" w:cstheme="minorHAnsi"/>
                <w:b w:val="0"/>
                <w:lang w:eastAsia="en-GB"/>
              </w:rPr>
              <w:t>57.3</w:t>
            </w:r>
            <w:r w:rsidR="006D0527" w:rsidRPr="00DE172F">
              <w:rPr>
                <w:rFonts w:eastAsia="Times New Roman" w:cstheme="minorHAnsi"/>
                <w:b w:val="0"/>
                <w:lang w:eastAsia="en-GB"/>
              </w:rPr>
              <w:t>%</w:t>
            </w:r>
          </w:p>
        </w:tc>
        <w:tc>
          <w:tcPr>
            <w:tcW w:w="2306" w:type="dxa"/>
            <w:hideMark/>
          </w:tcPr>
          <w:p w:rsidR="006D0527" w:rsidRPr="00DE172F" w:rsidRDefault="00DC0DA3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>
              <w:rPr>
                <w:rFonts w:eastAsia="Times New Roman" w:cstheme="minorHAnsi"/>
                <w:b w:val="0"/>
                <w:lang w:eastAsia="en-GB"/>
              </w:rPr>
              <w:t>71</w:t>
            </w:r>
            <w:r w:rsidR="006D0527" w:rsidRPr="00DE172F">
              <w:rPr>
                <w:rFonts w:eastAsia="Times New Roman" w:cstheme="minorHAnsi"/>
                <w:b w:val="0"/>
                <w:lang w:eastAsia="en-GB"/>
              </w:rPr>
              <w:t>.3%</w:t>
            </w:r>
          </w:p>
        </w:tc>
        <w:tc>
          <w:tcPr>
            <w:tcW w:w="1842" w:type="dxa"/>
            <w:hideMark/>
          </w:tcPr>
          <w:p w:rsidR="006D0527" w:rsidRPr="00DE172F" w:rsidRDefault="00DC0DA3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>
              <w:rPr>
                <w:rFonts w:eastAsia="Times New Roman" w:cstheme="minorHAnsi"/>
                <w:b w:val="0"/>
                <w:lang w:eastAsia="en-GB"/>
              </w:rPr>
              <w:t>69.8</w:t>
            </w:r>
            <w:r w:rsidR="006D0527" w:rsidRPr="00DE172F">
              <w:rPr>
                <w:rFonts w:eastAsia="Times New Roman" w:cstheme="minorHAnsi"/>
                <w:b w:val="0"/>
                <w:lang w:eastAsia="en-GB"/>
              </w:rPr>
              <w:t>%</w:t>
            </w:r>
          </w:p>
        </w:tc>
      </w:tr>
      <w:tr w:rsidR="00DC0DA3" w:rsidRPr="006D0527" w:rsidTr="00DE17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</w:tcPr>
          <w:p w:rsidR="00DC0DA3" w:rsidRPr="006D0527" w:rsidRDefault="00DC0DA3" w:rsidP="006D0527">
            <w:pPr>
              <w:spacing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2021</w:t>
            </w:r>
          </w:p>
        </w:tc>
        <w:tc>
          <w:tcPr>
            <w:tcW w:w="2017" w:type="dxa"/>
            <w:noWrap/>
          </w:tcPr>
          <w:p w:rsidR="00DC0DA3" w:rsidRPr="00DC0DA3" w:rsidRDefault="00DC0DA3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C0DA3">
              <w:rPr>
                <w:rFonts w:eastAsia="Times New Roman" w:cstheme="minorHAnsi"/>
                <w:b w:val="0"/>
                <w:lang w:eastAsia="en-GB"/>
              </w:rPr>
              <w:t>58.1%</w:t>
            </w:r>
          </w:p>
        </w:tc>
        <w:tc>
          <w:tcPr>
            <w:tcW w:w="1947" w:type="dxa"/>
            <w:noWrap/>
          </w:tcPr>
          <w:p w:rsidR="00DC0DA3" w:rsidRPr="00DC0DA3" w:rsidRDefault="00DC0DA3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C0DA3">
              <w:rPr>
                <w:rFonts w:eastAsia="Times New Roman" w:cstheme="minorHAnsi"/>
                <w:b w:val="0"/>
                <w:lang w:eastAsia="en-GB"/>
              </w:rPr>
              <w:t>57.4%</w:t>
            </w:r>
          </w:p>
        </w:tc>
        <w:tc>
          <w:tcPr>
            <w:tcW w:w="2306" w:type="dxa"/>
          </w:tcPr>
          <w:p w:rsidR="00DC0DA3" w:rsidRPr="00DC0DA3" w:rsidRDefault="00DC0DA3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C0DA3">
              <w:rPr>
                <w:rFonts w:eastAsia="Times New Roman" w:cstheme="minorHAnsi"/>
                <w:b w:val="0"/>
                <w:lang w:eastAsia="en-GB"/>
              </w:rPr>
              <w:t>70.9%</w:t>
            </w:r>
          </w:p>
        </w:tc>
        <w:tc>
          <w:tcPr>
            <w:tcW w:w="1842" w:type="dxa"/>
          </w:tcPr>
          <w:p w:rsidR="00DC0DA3" w:rsidRPr="00DC0DA3" w:rsidRDefault="00DC0DA3" w:rsidP="006D052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DC0DA3">
              <w:rPr>
                <w:rFonts w:eastAsia="Times New Roman" w:cstheme="minorHAnsi"/>
                <w:b w:val="0"/>
                <w:lang w:eastAsia="en-GB"/>
              </w:rPr>
              <w:t>70.2%</w:t>
            </w:r>
          </w:p>
        </w:tc>
      </w:tr>
    </w:tbl>
    <w:p w:rsidR="007B0653" w:rsidRPr="00B26715" w:rsidRDefault="00BB1AA1">
      <w:pPr>
        <w:rPr>
          <w:i/>
          <w:sz w:val="20"/>
          <w:szCs w:val="20"/>
        </w:rPr>
      </w:pPr>
      <w:r w:rsidRPr="00B26715">
        <w:rPr>
          <w:i/>
          <w:sz w:val="20"/>
          <w:szCs w:val="20"/>
        </w:rPr>
        <w:t xml:space="preserve">Table 2: </w:t>
      </w:r>
      <w:r w:rsidR="004E6185" w:rsidRPr="00B26715">
        <w:rPr>
          <w:i/>
          <w:sz w:val="20"/>
          <w:szCs w:val="20"/>
        </w:rPr>
        <w:t xml:space="preserve">Employment rate for Armagh City, Banbridge and Craigavon </w:t>
      </w:r>
      <w:r w:rsidRPr="00B26715">
        <w:rPr>
          <w:i/>
          <w:sz w:val="20"/>
          <w:szCs w:val="20"/>
        </w:rPr>
        <w:t xml:space="preserve">Borough </w:t>
      </w:r>
      <w:r w:rsidR="004E6185" w:rsidRPr="00B26715">
        <w:rPr>
          <w:i/>
          <w:sz w:val="20"/>
          <w:szCs w:val="20"/>
        </w:rPr>
        <w:t>and Northern Ireland between 2009 and 20</w:t>
      </w:r>
      <w:r w:rsidR="00B26715" w:rsidRPr="00B26715">
        <w:rPr>
          <w:i/>
          <w:sz w:val="20"/>
          <w:szCs w:val="20"/>
        </w:rPr>
        <w:t>2</w:t>
      </w:r>
      <w:r w:rsidR="00DC0DA3">
        <w:rPr>
          <w:i/>
          <w:sz w:val="20"/>
          <w:szCs w:val="20"/>
        </w:rPr>
        <w:t>1</w:t>
      </w:r>
      <w:r w:rsidR="004E6185" w:rsidRPr="00B26715">
        <w:rPr>
          <w:i/>
          <w:sz w:val="20"/>
          <w:szCs w:val="20"/>
        </w:rPr>
        <w:t>. Source: Labour Force Survey, NISRA.</w:t>
      </w:r>
    </w:p>
    <w:p w:rsidR="00436B09" w:rsidRPr="000B2F9F" w:rsidRDefault="00436B09">
      <w:pPr>
        <w:rPr>
          <w:i/>
          <w:color w:val="FF0000"/>
          <w:sz w:val="20"/>
          <w:szCs w:val="20"/>
        </w:rPr>
      </w:pPr>
    </w:p>
    <w:p w:rsidR="00436B09" w:rsidRDefault="00DC0DA3" w:rsidP="00436B09">
      <w:pPr>
        <w:rPr>
          <w:i/>
          <w:sz w:val="20"/>
          <w:szCs w:val="20"/>
        </w:rPr>
      </w:pPr>
      <w:r>
        <w:rPr>
          <w:noProof/>
          <w:lang w:eastAsia="en-GB"/>
        </w:rPr>
        <w:lastRenderedPageBreak/>
        <w:drawing>
          <wp:inline distT="0" distB="0" distL="0" distR="0" wp14:anchorId="5455F4B3" wp14:editId="739667E4">
            <wp:extent cx="5584115" cy="3281083"/>
            <wp:effectExtent l="0" t="0" r="17145" b="14605"/>
            <wp:docPr id="2" name="Chart 2" title="Employment rate (16+) for Armagh City, Banbridge and Craigavon Borough and Northern Ireland between 2009-20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BB1AA1" w:rsidRPr="008975C8">
        <w:rPr>
          <w:i/>
          <w:sz w:val="20"/>
          <w:szCs w:val="20"/>
        </w:rPr>
        <w:t xml:space="preserve">Figure 1: </w:t>
      </w:r>
      <w:r w:rsidR="00436B09" w:rsidRPr="008975C8">
        <w:rPr>
          <w:i/>
          <w:sz w:val="20"/>
          <w:szCs w:val="20"/>
        </w:rPr>
        <w:t xml:space="preserve"> Employment rate (16+) for Armagh City, Banbridge and Craigavon</w:t>
      </w:r>
      <w:r w:rsidR="00BB1AA1" w:rsidRPr="008975C8">
        <w:rPr>
          <w:i/>
          <w:sz w:val="20"/>
          <w:szCs w:val="20"/>
        </w:rPr>
        <w:t xml:space="preserve"> Borough</w:t>
      </w:r>
      <w:r w:rsidR="00436B09" w:rsidRPr="008975C8">
        <w:rPr>
          <w:i/>
          <w:sz w:val="20"/>
          <w:szCs w:val="20"/>
        </w:rPr>
        <w:t xml:space="preserve"> and Northern Ireland between 2009 and 20</w:t>
      </w:r>
      <w:r w:rsidR="00B26715" w:rsidRPr="008975C8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1</w:t>
      </w:r>
      <w:r w:rsidR="00436B09" w:rsidRPr="008975C8">
        <w:rPr>
          <w:i/>
          <w:sz w:val="20"/>
          <w:szCs w:val="20"/>
        </w:rPr>
        <w:t>. Source: Labour Force Survey, NISRA.</w:t>
      </w:r>
    </w:p>
    <w:p w:rsidR="00DC0DA3" w:rsidRDefault="00DC0DA3" w:rsidP="00436B09">
      <w:pPr>
        <w:rPr>
          <w:i/>
          <w:color w:val="FF0000"/>
          <w:sz w:val="20"/>
          <w:szCs w:val="20"/>
        </w:rPr>
      </w:pPr>
    </w:p>
    <w:p w:rsidR="00DC0DA3" w:rsidRPr="00DC0DA3" w:rsidRDefault="00DC0DA3" w:rsidP="00436B09">
      <w:pPr>
        <w:rPr>
          <w:i/>
          <w:color w:val="FF0000"/>
          <w:sz w:val="20"/>
          <w:szCs w:val="20"/>
        </w:rPr>
      </w:pPr>
    </w:p>
    <w:p w:rsidR="00436B09" w:rsidRPr="00DC0DA3" w:rsidRDefault="00DC0DA3" w:rsidP="00436B09">
      <w:pPr>
        <w:rPr>
          <w:color w:val="FF0000"/>
        </w:rPr>
      </w:pPr>
      <w:r>
        <w:rPr>
          <w:noProof/>
          <w:lang w:eastAsia="en-GB"/>
        </w:rPr>
        <w:drawing>
          <wp:inline distT="0" distB="0" distL="0" distR="0" wp14:anchorId="0B4CEABC" wp14:editId="4CA98B04">
            <wp:extent cx="5617284" cy="3333526"/>
            <wp:effectExtent l="0" t="0" r="2540" b="635"/>
            <wp:docPr id="1" name="Chart 1" title="Employment rate (16-64) for Armagh City, Banbridge and Craigavon Borough and Northern Ireland between 2009 and 20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BB1AA1" w:rsidRPr="008975C8">
        <w:rPr>
          <w:i/>
          <w:sz w:val="20"/>
          <w:szCs w:val="20"/>
        </w:rPr>
        <w:t xml:space="preserve">Figure 2: </w:t>
      </w:r>
      <w:r w:rsidR="00436B09" w:rsidRPr="008975C8">
        <w:rPr>
          <w:i/>
          <w:sz w:val="20"/>
          <w:szCs w:val="20"/>
        </w:rPr>
        <w:t xml:space="preserve">Employment rate (16-64) for Armagh City, Banbridge and Craigavon </w:t>
      </w:r>
      <w:r w:rsidR="00BB1AA1" w:rsidRPr="008975C8">
        <w:rPr>
          <w:i/>
          <w:sz w:val="20"/>
          <w:szCs w:val="20"/>
        </w:rPr>
        <w:t xml:space="preserve">Borough </w:t>
      </w:r>
      <w:r w:rsidR="00436B09" w:rsidRPr="008975C8">
        <w:rPr>
          <w:i/>
          <w:sz w:val="20"/>
          <w:szCs w:val="20"/>
        </w:rPr>
        <w:t>and Northern Ireland between 2009 and 20</w:t>
      </w:r>
      <w:r w:rsidR="008975C8" w:rsidRPr="008975C8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1</w:t>
      </w:r>
      <w:r w:rsidR="00436B09" w:rsidRPr="008975C8">
        <w:rPr>
          <w:i/>
          <w:sz w:val="20"/>
          <w:szCs w:val="20"/>
        </w:rPr>
        <w:t>. Source: Labour Force Survey, NISRA.</w:t>
      </w:r>
    </w:p>
    <w:p w:rsidR="00436B09" w:rsidRPr="000B2F9F" w:rsidRDefault="00436B09" w:rsidP="00436B09">
      <w:pPr>
        <w:rPr>
          <w:color w:val="FF0000"/>
        </w:rPr>
      </w:pPr>
    </w:p>
    <w:p w:rsidR="00266E88" w:rsidRPr="000B2F9F" w:rsidRDefault="00266E88" w:rsidP="00436B09">
      <w:pPr>
        <w:rPr>
          <w:color w:val="FF0000"/>
        </w:rPr>
      </w:pPr>
    </w:p>
    <w:p w:rsidR="00266E88" w:rsidRPr="000B2F9F" w:rsidRDefault="00266E88" w:rsidP="00436B09">
      <w:pPr>
        <w:rPr>
          <w:color w:val="FF0000"/>
        </w:rPr>
      </w:pPr>
    </w:p>
    <w:p w:rsidR="00F93133" w:rsidRPr="00E75E70" w:rsidRDefault="005B55A4" w:rsidP="00436B09">
      <w:r w:rsidRPr="00A22690">
        <w:lastRenderedPageBreak/>
        <w:t>In Armagh City, Banbridge and Craigavon Borough in 20</w:t>
      </w:r>
      <w:r w:rsidR="00A22690" w:rsidRPr="00A22690">
        <w:t>21</w:t>
      </w:r>
      <w:r w:rsidRPr="00A22690">
        <w:t xml:space="preserve">, </w:t>
      </w:r>
      <w:r w:rsidR="00A22690" w:rsidRPr="00A22690">
        <w:t>39.6</w:t>
      </w:r>
      <w:r w:rsidRPr="00A22690">
        <w:t xml:space="preserve">% of the </w:t>
      </w:r>
      <w:r w:rsidR="00E75E70" w:rsidRPr="00A22690">
        <w:t xml:space="preserve">working age population were qualified to </w:t>
      </w:r>
      <w:r w:rsidR="00A22690" w:rsidRPr="00A22690">
        <w:t>NVQ</w:t>
      </w:r>
      <w:r w:rsidR="00E75E70" w:rsidRPr="00A22690">
        <w:t xml:space="preserve"> level</w:t>
      </w:r>
      <w:r w:rsidR="00A22690" w:rsidRPr="00A22690">
        <w:t xml:space="preserve"> 4</w:t>
      </w:r>
      <w:r w:rsidR="00E75E70" w:rsidRPr="00A22690">
        <w:t xml:space="preserve"> and above while </w:t>
      </w:r>
      <w:r w:rsidR="00A22690" w:rsidRPr="00A22690">
        <w:t>13</w:t>
      </w:r>
      <w:r w:rsidRPr="00A22690">
        <w:t xml:space="preserve">% had no qualifications. This compared to Northern Ireland where </w:t>
      </w:r>
      <w:r w:rsidR="00A22690" w:rsidRPr="00A22690">
        <w:t>42.1</w:t>
      </w:r>
      <w:r w:rsidRPr="00A22690">
        <w:t xml:space="preserve">% were qualified to </w:t>
      </w:r>
      <w:r w:rsidR="00A22690" w:rsidRPr="00A22690">
        <w:t>NVQ</w:t>
      </w:r>
      <w:r w:rsidR="00E75E70" w:rsidRPr="00A22690">
        <w:t xml:space="preserve"> level</w:t>
      </w:r>
      <w:r w:rsidR="00A22690" w:rsidRPr="00A22690">
        <w:t xml:space="preserve"> 4</w:t>
      </w:r>
      <w:r w:rsidR="00E75E70" w:rsidRPr="00A22690">
        <w:t xml:space="preserve"> </w:t>
      </w:r>
      <w:r w:rsidRPr="00A22690">
        <w:t xml:space="preserve">and above and </w:t>
      </w:r>
      <w:r w:rsidR="00A22690" w:rsidRPr="00A22690">
        <w:t>11.9</w:t>
      </w:r>
      <w:r w:rsidRPr="00A22690">
        <w:t>% had no qualifications.</w:t>
      </w:r>
    </w:p>
    <w:tbl>
      <w:tblPr>
        <w:tblStyle w:val="GridTable1Light"/>
        <w:tblW w:w="7371" w:type="dxa"/>
        <w:tblLook w:val="04A0" w:firstRow="1" w:lastRow="0" w:firstColumn="1" w:lastColumn="0" w:noHBand="0" w:noVBand="1"/>
        <w:tblCaption w:val="Percentage of Persons aged 16-64 by qualification level in Armagh City, Banbridge and Craigavon Borough and Northern Ireland in 2020"/>
      </w:tblPr>
      <w:tblGrid>
        <w:gridCol w:w="2552"/>
        <w:gridCol w:w="2409"/>
        <w:gridCol w:w="2410"/>
      </w:tblGrid>
      <w:tr w:rsidR="00152FEA" w:rsidRPr="004924C5" w:rsidTr="00C21A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4924C5" w:rsidRPr="004924C5" w:rsidRDefault="004924C5" w:rsidP="004924C5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4924C5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409" w:type="dxa"/>
            <w:hideMark/>
          </w:tcPr>
          <w:p w:rsidR="004924C5" w:rsidRPr="004924C5" w:rsidRDefault="004924C5" w:rsidP="004924C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4924C5">
              <w:rPr>
                <w:rFonts w:ascii="Calibri" w:eastAsia="Times New Roman" w:hAnsi="Calibri" w:cs="Times New Roman"/>
                <w:lang w:eastAsia="en-GB"/>
              </w:rPr>
              <w:t>Armagh City, Banbridge and Craigavon</w:t>
            </w:r>
          </w:p>
        </w:tc>
        <w:tc>
          <w:tcPr>
            <w:tcW w:w="2410" w:type="dxa"/>
            <w:noWrap/>
            <w:hideMark/>
          </w:tcPr>
          <w:p w:rsidR="004924C5" w:rsidRPr="004924C5" w:rsidRDefault="004924C5" w:rsidP="004924C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 w:rsidRPr="004924C5">
              <w:rPr>
                <w:rFonts w:ascii="Calibri" w:eastAsia="Times New Roman" w:hAnsi="Calibri" w:cs="Times New Roman"/>
                <w:lang w:eastAsia="en-GB"/>
              </w:rPr>
              <w:t>Northern Ireland</w:t>
            </w:r>
          </w:p>
        </w:tc>
      </w:tr>
      <w:tr w:rsidR="00152FEA" w:rsidRPr="004924C5" w:rsidTr="00C21A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4924C5" w:rsidRPr="004924C5" w:rsidRDefault="00DC0DA3" w:rsidP="00152FEA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NVQ</w:t>
            </w:r>
            <w:r w:rsidR="004924C5" w:rsidRPr="004924C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Level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4</w:t>
            </w:r>
            <w:r w:rsidR="004924C5" w:rsidRPr="004924C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and above</w:t>
            </w:r>
          </w:p>
        </w:tc>
        <w:tc>
          <w:tcPr>
            <w:tcW w:w="2409" w:type="dxa"/>
            <w:noWrap/>
            <w:hideMark/>
          </w:tcPr>
          <w:p w:rsidR="004924C5" w:rsidRPr="004924C5" w:rsidRDefault="00DC0DA3" w:rsidP="004924C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39.6</w:t>
            </w:r>
            <w:r w:rsidR="004924C5" w:rsidRPr="004924C5">
              <w:rPr>
                <w:rFonts w:ascii="Calibri" w:eastAsia="Times New Roman" w:hAnsi="Calibri" w:cs="Times New Roman"/>
                <w:lang w:eastAsia="en-GB"/>
              </w:rPr>
              <w:t>%</w:t>
            </w:r>
          </w:p>
        </w:tc>
        <w:tc>
          <w:tcPr>
            <w:tcW w:w="2410" w:type="dxa"/>
            <w:noWrap/>
            <w:hideMark/>
          </w:tcPr>
          <w:p w:rsidR="004924C5" w:rsidRPr="004924C5" w:rsidRDefault="00DC0DA3" w:rsidP="004924C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42.1</w:t>
            </w:r>
            <w:r w:rsidR="004924C5" w:rsidRPr="004924C5">
              <w:rPr>
                <w:rFonts w:ascii="Calibri" w:eastAsia="Times New Roman" w:hAnsi="Calibri" w:cs="Times New Roman"/>
                <w:lang w:eastAsia="en-GB"/>
              </w:rPr>
              <w:t>%</w:t>
            </w:r>
          </w:p>
        </w:tc>
      </w:tr>
      <w:tr w:rsidR="00152FEA" w:rsidRPr="004924C5" w:rsidTr="00C21A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4924C5" w:rsidRPr="004924C5" w:rsidRDefault="004924C5" w:rsidP="00DC0DA3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924C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Below </w:t>
            </w:r>
            <w:r w:rsidR="00DC0DA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NVQ</w:t>
            </w:r>
            <w:r w:rsidRPr="004924C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Level</w:t>
            </w:r>
            <w:r w:rsidR="00DC0DA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4</w:t>
            </w:r>
          </w:p>
        </w:tc>
        <w:tc>
          <w:tcPr>
            <w:tcW w:w="2409" w:type="dxa"/>
            <w:noWrap/>
            <w:hideMark/>
          </w:tcPr>
          <w:p w:rsidR="004924C5" w:rsidRPr="004924C5" w:rsidRDefault="00DC0DA3" w:rsidP="004924C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47.4</w:t>
            </w:r>
            <w:r w:rsidR="004924C5" w:rsidRPr="004924C5">
              <w:rPr>
                <w:rFonts w:ascii="Calibri" w:eastAsia="Times New Roman" w:hAnsi="Calibri" w:cs="Times New Roman"/>
                <w:lang w:eastAsia="en-GB"/>
              </w:rPr>
              <w:t>%</w:t>
            </w:r>
          </w:p>
        </w:tc>
        <w:tc>
          <w:tcPr>
            <w:tcW w:w="2410" w:type="dxa"/>
            <w:noWrap/>
            <w:hideMark/>
          </w:tcPr>
          <w:p w:rsidR="004924C5" w:rsidRPr="004924C5" w:rsidRDefault="00DC0DA3" w:rsidP="004924C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45.9</w:t>
            </w:r>
            <w:r w:rsidR="004924C5" w:rsidRPr="004924C5">
              <w:rPr>
                <w:rFonts w:ascii="Calibri" w:eastAsia="Times New Roman" w:hAnsi="Calibri" w:cs="Times New Roman"/>
                <w:lang w:eastAsia="en-GB"/>
              </w:rPr>
              <w:t>%</w:t>
            </w:r>
          </w:p>
        </w:tc>
      </w:tr>
      <w:tr w:rsidR="00152FEA" w:rsidRPr="004924C5" w:rsidTr="00C21A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4924C5" w:rsidRPr="004924C5" w:rsidRDefault="004924C5" w:rsidP="00152FEA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924C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 Qualifications</w:t>
            </w:r>
          </w:p>
        </w:tc>
        <w:tc>
          <w:tcPr>
            <w:tcW w:w="2409" w:type="dxa"/>
            <w:noWrap/>
            <w:hideMark/>
          </w:tcPr>
          <w:p w:rsidR="004924C5" w:rsidRPr="004924C5" w:rsidRDefault="00DC0DA3" w:rsidP="004924C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13</w:t>
            </w:r>
            <w:r w:rsidR="004924C5" w:rsidRPr="004924C5">
              <w:rPr>
                <w:rFonts w:ascii="Calibri" w:eastAsia="Times New Roman" w:hAnsi="Calibri" w:cs="Times New Roman"/>
                <w:lang w:eastAsia="en-GB"/>
              </w:rPr>
              <w:t>%</w:t>
            </w:r>
          </w:p>
        </w:tc>
        <w:tc>
          <w:tcPr>
            <w:tcW w:w="2410" w:type="dxa"/>
            <w:noWrap/>
            <w:hideMark/>
          </w:tcPr>
          <w:p w:rsidR="004924C5" w:rsidRPr="004924C5" w:rsidRDefault="00DC0DA3" w:rsidP="004924C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11.9</w:t>
            </w:r>
            <w:r w:rsidR="004924C5" w:rsidRPr="004924C5">
              <w:rPr>
                <w:rFonts w:ascii="Calibri" w:eastAsia="Times New Roman" w:hAnsi="Calibri" w:cs="Times New Roman"/>
                <w:lang w:eastAsia="en-GB"/>
              </w:rPr>
              <w:t>%</w:t>
            </w:r>
          </w:p>
        </w:tc>
      </w:tr>
    </w:tbl>
    <w:p w:rsidR="00E75E70" w:rsidRPr="00E75E70" w:rsidRDefault="00E75E70" w:rsidP="00E75E70">
      <w:pPr>
        <w:rPr>
          <w:i/>
          <w:sz w:val="20"/>
          <w:szCs w:val="20"/>
        </w:rPr>
      </w:pPr>
      <w:r w:rsidRPr="00E75E70">
        <w:rPr>
          <w:i/>
          <w:sz w:val="20"/>
          <w:szCs w:val="20"/>
        </w:rPr>
        <w:t xml:space="preserve">Table 3: Percentage of </w:t>
      </w:r>
      <w:r w:rsidRPr="00E75E70">
        <w:rPr>
          <w:rFonts w:ascii="Calibri" w:eastAsia="Times New Roman" w:hAnsi="Calibri" w:cs="Times New Roman"/>
          <w:bCs/>
          <w:i/>
          <w:lang w:eastAsia="en-GB"/>
        </w:rPr>
        <w:t xml:space="preserve">Persons aged 16 to 64 by qualification level </w:t>
      </w:r>
      <w:r w:rsidRPr="00E75E70">
        <w:rPr>
          <w:i/>
          <w:sz w:val="20"/>
          <w:szCs w:val="20"/>
        </w:rPr>
        <w:t>in Armagh City, Banbridge and Craigavon Borough and Northern Ireland in 202</w:t>
      </w:r>
      <w:r w:rsidR="00DC0DA3">
        <w:rPr>
          <w:i/>
          <w:sz w:val="20"/>
          <w:szCs w:val="20"/>
        </w:rPr>
        <w:t>1</w:t>
      </w:r>
      <w:r w:rsidRPr="00E75E70">
        <w:rPr>
          <w:i/>
          <w:sz w:val="20"/>
          <w:szCs w:val="20"/>
        </w:rPr>
        <w:t xml:space="preserve">.  Source: Labour Force Survey, NISRA. </w:t>
      </w:r>
    </w:p>
    <w:p w:rsidR="005B55A4" w:rsidRPr="00DC0DA3" w:rsidRDefault="005B55A4" w:rsidP="00BB1AA1">
      <w:pPr>
        <w:rPr>
          <w:color w:val="FF0000"/>
          <w:highlight w:val="yellow"/>
        </w:rPr>
      </w:pPr>
    </w:p>
    <w:p w:rsidR="005B55A4" w:rsidRPr="00A22690" w:rsidRDefault="005B55A4" w:rsidP="00BB1AA1">
      <w:r w:rsidRPr="00A22690">
        <w:t>Further information on employment can be found via the following link:</w:t>
      </w:r>
    </w:p>
    <w:p w:rsidR="005B55A4" w:rsidRPr="00E863DA" w:rsidRDefault="000C3EF6" w:rsidP="00BB1AA1">
      <w:hyperlink r:id="rId9" w:history="1">
        <w:r w:rsidR="005B55A4" w:rsidRPr="00A22690">
          <w:rPr>
            <w:rStyle w:val="Hyperlink"/>
            <w:color w:val="auto"/>
          </w:rPr>
          <w:t>https://www.nisra.gov.uk/statistics/labour-market-and-social-welfare/labour-force-survey</w:t>
        </w:r>
      </w:hyperlink>
    </w:p>
    <w:sectPr w:rsidR="005B55A4" w:rsidRPr="00E863D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779" w:rsidRDefault="00AC6779" w:rsidP="00AC6779">
      <w:pPr>
        <w:spacing w:after="0" w:line="240" w:lineRule="auto"/>
      </w:pPr>
      <w:r>
        <w:separator/>
      </w:r>
    </w:p>
  </w:endnote>
  <w:endnote w:type="continuationSeparator" w:id="0">
    <w:p w:rsidR="00AC6779" w:rsidRDefault="00AC6779" w:rsidP="00AC6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10686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6779" w:rsidRDefault="00AC67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E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6779" w:rsidRDefault="00AC67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779" w:rsidRDefault="00AC6779" w:rsidP="00AC6779">
      <w:pPr>
        <w:spacing w:after="0" w:line="240" w:lineRule="auto"/>
      </w:pPr>
      <w:r>
        <w:separator/>
      </w:r>
    </w:p>
  </w:footnote>
  <w:footnote w:type="continuationSeparator" w:id="0">
    <w:p w:rsidR="00AC6779" w:rsidRDefault="00AC6779" w:rsidP="00AC6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92"/>
    <w:rsid w:val="000857E9"/>
    <w:rsid w:val="000B2F9F"/>
    <w:rsid w:val="000B4EFA"/>
    <w:rsid w:val="000C3EF6"/>
    <w:rsid w:val="00152FEA"/>
    <w:rsid w:val="00193DFF"/>
    <w:rsid w:val="001B7F34"/>
    <w:rsid w:val="002112D9"/>
    <w:rsid w:val="00221F8A"/>
    <w:rsid w:val="00266E88"/>
    <w:rsid w:val="003504BD"/>
    <w:rsid w:val="00362BE2"/>
    <w:rsid w:val="003867A0"/>
    <w:rsid w:val="003D7492"/>
    <w:rsid w:val="00436B09"/>
    <w:rsid w:val="004924C5"/>
    <w:rsid w:val="004E6185"/>
    <w:rsid w:val="00541A4F"/>
    <w:rsid w:val="005B55A4"/>
    <w:rsid w:val="006438CB"/>
    <w:rsid w:val="00686FCE"/>
    <w:rsid w:val="006D0527"/>
    <w:rsid w:val="006D17C5"/>
    <w:rsid w:val="00732701"/>
    <w:rsid w:val="007B0653"/>
    <w:rsid w:val="007E0F5B"/>
    <w:rsid w:val="008975C8"/>
    <w:rsid w:val="00A22690"/>
    <w:rsid w:val="00AC6779"/>
    <w:rsid w:val="00B26715"/>
    <w:rsid w:val="00BB1AA1"/>
    <w:rsid w:val="00C07F67"/>
    <w:rsid w:val="00C21A94"/>
    <w:rsid w:val="00D85EC5"/>
    <w:rsid w:val="00DC0DA3"/>
    <w:rsid w:val="00DE172F"/>
    <w:rsid w:val="00E24E33"/>
    <w:rsid w:val="00E75E70"/>
    <w:rsid w:val="00E863DA"/>
    <w:rsid w:val="00EB0776"/>
    <w:rsid w:val="00ED3650"/>
    <w:rsid w:val="00F03DEB"/>
    <w:rsid w:val="00F37E13"/>
    <w:rsid w:val="00F93133"/>
    <w:rsid w:val="00FB08DD"/>
    <w:rsid w:val="00FB67B1"/>
    <w:rsid w:val="00FF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B5F7B"/>
  <w15:chartTrackingRefBased/>
  <w15:docId w15:val="{40B691E6-E6D3-4107-A107-FBF7844E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9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55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67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779"/>
  </w:style>
  <w:style w:type="paragraph" w:styleId="Footer">
    <w:name w:val="footer"/>
    <w:basedOn w:val="Normal"/>
    <w:link w:val="FooterChar"/>
    <w:uiPriority w:val="99"/>
    <w:unhideWhenUsed/>
    <w:rsid w:val="00AC67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779"/>
  </w:style>
  <w:style w:type="table" w:styleId="GridTable1Light">
    <w:name w:val="Grid Table 1 Light"/>
    <w:basedOn w:val="TableNormal"/>
    <w:uiPriority w:val="46"/>
    <w:rsid w:val="00C07F6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isra.gov.uk/statistics/labour-market-and-social-welfare/labour-force-survey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nsfilesvr2\groups$\community_planning\2.%20Community%20&amp;%20Strategic%20Planning%20JD\NISRA%20Statistician\Statistics%20for%20Website\Economy%20and%20Labour%20Market\2022%20Updates\Employment%20-%20update%20Oct22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nsfilesvr2\groups$\community_planning\2.%20Community%20&amp;%20Strategic%20Planning%20JD\NISRA%20Statistician\Statistics%20for%20Website\Economy%20and%20Labour%20Market\2022%20Updates\Employment%20-%20update%20Oct2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7097481235898139E-2"/>
          <c:y val="4.4852191641182468E-2"/>
          <c:w val="0.87693659345213426"/>
          <c:h val="0.721923475161935"/>
        </c:manualLayout>
      </c:layout>
      <c:lineChart>
        <c:grouping val="standard"/>
        <c:varyColors val="0"/>
        <c:ser>
          <c:idx val="0"/>
          <c:order val="0"/>
          <c:tx>
            <c:strRef>
              <c:f>'2020'!$B$12:$B$13</c:f>
              <c:strCache>
                <c:ptCount val="2"/>
                <c:pt idx="0">
                  <c:v>Employment Rate (16+)</c:v>
                </c:pt>
                <c:pt idx="1">
                  <c:v>ABC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'2020'!$A$14:$A$26</c:f>
              <c:numCache>
                <c:formatCode>General</c:formatCode>
                <c:ptCount val="1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  <c:pt idx="12">
                  <c:v>2021</c:v>
                </c:pt>
              </c:numCache>
            </c:numRef>
          </c:cat>
          <c:val>
            <c:numRef>
              <c:f>'2020'!$B$14:$B$26</c:f>
              <c:numCache>
                <c:formatCode>0.0%</c:formatCode>
                <c:ptCount val="13"/>
                <c:pt idx="0">
                  <c:v>0.58399999999999996</c:v>
                </c:pt>
                <c:pt idx="1">
                  <c:v>0.61399999999999999</c:v>
                </c:pt>
                <c:pt idx="2">
                  <c:v>0.60299999999999998</c:v>
                </c:pt>
                <c:pt idx="3">
                  <c:v>0.54200000000000004</c:v>
                </c:pt>
                <c:pt idx="4">
                  <c:v>0.56499999999999995</c:v>
                </c:pt>
                <c:pt idx="5">
                  <c:v>0.57999999999999996</c:v>
                </c:pt>
                <c:pt idx="6">
                  <c:v>0.57099999999999995</c:v>
                </c:pt>
                <c:pt idx="7">
                  <c:v>0.58699999999999997</c:v>
                </c:pt>
                <c:pt idx="8">
                  <c:v>0.60599999999999998</c:v>
                </c:pt>
                <c:pt idx="9">
                  <c:v>0.61799999999999999</c:v>
                </c:pt>
                <c:pt idx="10">
                  <c:v>0.59299999999999997</c:v>
                </c:pt>
                <c:pt idx="11">
                  <c:v>0.58599999999999997</c:v>
                </c:pt>
                <c:pt idx="12">
                  <c:v>0.58099999999999996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47D-48A3-B292-83DA7ED1A582}"/>
            </c:ext>
          </c:extLst>
        </c:ser>
        <c:ser>
          <c:idx val="1"/>
          <c:order val="1"/>
          <c:tx>
            <c:strRef>
              <c:f>'2020'!$C$12:$C$13</c:f>
              <c:strCache>
                <c:ptCount val="2"/>
                <c:pt idx="0">
                  <c:v>Employment Rate (16+)</c:v>
                </c:pt>
                <c:pt idx="1">
                  <c:v>NI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'2020'!$A$14:$A$26</c:f>
              <c:numCache>
                <c:formatCode>General</c:formatCode>
                <c:ptCount val="1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  <c:pt idx="12">
                  <c:v>2021</c:v>
                </c:pt>
              </c:numCache>
            </c:numRef>
          </c:cat>
          <c:val>
            <c:numRef>
              <c:f>'2020'!$C$14:$C$26</c:f>
              <c:numCache>
                <c:formatCode>0.0%</c:formatCode>
                <c:ptCount val="13"/>
                <c:pt idx="0">
                  <c:v>0.55000000000000004</c:v>
                </c:pt>
                <c:pt idx="1">
                  <c:v>0.55300000000000005</c:v>
                </c:pt>
                <c:pt idx="2">
                  <c:v>0.56399999999999995</c:v>
                </c:pt>
                <c:pt idx="3">
                  <c:v>0.56000000000000005</c:v>
                </c:pt>
                <c:pt idx="4">
                  <c:v>0.56200000000000006</c:v>
                </c:pt>
                <c:pt idx="5">
                  <c:v>0.56299999999999994</c:v>
                </c:pt>
                <c:pt idx="6">
                  <c:v>0.56999999999999995</c:v>
                </c:pt>
                <c:pt idx="7">
                  <c:v>0.57499999999999996</c:v>
                </c:pt>
                <c:pt idx="8">
                  <c:v>0.57199999999999995</c:v>
                </c:pt>
                <c:pt idx="9">
                  <c:v>0.57999999999999996</c:v>
                </c:pt>
                <c:pt idx="10">
                  <c:v>0.59299999999999997</c:v>
                </c:pt>
                <c:pt idx="11">
                  <c:v>0.57299999999999995</c:v>
                </c:pt>
                <c:pt idx="12">
                  <c:v>0.57399999999999995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47D-48A3-B292-83DA7ED1A5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88527663"/>
        <c:axId val="1"/>
      </c:lineChart>
      <c:catAx>
        <c:axId val="19885276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0.0%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88527663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6164892980921869"/>
          <c:y val="0.90889843304731044"/>
          <c:w val="0.67810356148782402"/>
          <c:h val="6.8967902778657705E-2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641473480736378E-2"/>
          <c:y val="4.4044044044044044E-2"/>
          <c:w val="0.89416131884038053"/>
          <c:h val="0.77498191104490322"/>
        </c:manualLayout>
      </c:layout>
      <c:lineChart>
        <c:grouping val="standard"/>
        <c:varyColors val="0"/>
        <c:ser>
          <c:idx val="0"/>
          <c:order val="0"/>
          <c:tx>
            <c:strRef>
              <c:f>'2020'!$B$28:$B$29</c:f>
              <c:strCache>
                <c:ptCount val="2"/>
                <c:pt idx="0">
                  <c:v>Employment Rate (16 – 64)</c:v>
                </c:pt>
                <c:pt idx="1">
                  <c:v>ABC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'2020'!$A$30:$A$42</c:f>
              <c:numCache>
                <c:formatCode>General</c:formatCode>
                <c:ptCount val="1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  <c:pt idx="12">
                  <c:v>2021</c:v>
                </c:pt>
              </c:numCache>
            </c:numRef>
          </c:cat>
          <c:val>
            <c:numRef>
              <c:f>'2020'!$B$30:$B$42</c:f>
              <c:numCache>
                <c:formatCode>0.0%</c:formatCode>
                <c:ptCount val="13"/>
                <c:pt idx="0">
                  <c:v>0.67200000000000004</c:v>
                </c:pt>
                <c:pt idx="1">
                  <c:v>0.70199999999999996</c:v>
                </c:pt>
                <c:pt idx="2">
                  <c:v>0.70899999999999996</c:v>
                </c:pt>
                <c:pt idx="3">
                  <c:v>0.68200000000000005</c:v>
                </c:pt>
                <c:pt idx="4">
                  <c:v>0.68400000000000005</c:v>
                </c:pt>
                <c:pt idx="5">
                  <c:v>0.71</c:v>
                </c:pt>
                <c:pt idx="6">
                  <c:v>0.69399999999999995</c:v>
                </c:pt>
                <c:pt idx="7">
                  <c:v>0.70799999999999996</c:v>
                </c:pt>
                <c:pt idx="8">
                  <c:v>0.73299999999999998</c:v>
                </c:pt>
                <c:pt idx="9">
                  <c:v>0.73899999999999999</c:v>
                </c:pt>
                <c:pt idx="10">
                  <c:v>0.72299999999999998</c:v>
                </c:pt>
                <c:pt idx="11">
                  <c:v>0.71299999999999997</c:v>
                </c:pt>
                <c:pt idx="12">
                  <c:v>0.70899999999999996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384-4025-988A-8200E14DEA86}"/>
            </c:ext>
          </c:extLst>
        </c:ser>
        <c:ser>
          <c:idx val="1"/>
          <c:order val="1"/>
          <c:tx>
            <c:strRef>
              <c:f>'2020'!$C$28:$C$29</c:f>
              <c:strCache>
                <c:ptCount val="2"/>
                <c:pt idx="0">
                  <c:v>Employment Rate (16 – 64)</c:v>
                </c:pt>
                <c:pt idx="1">
                  <c:v>NI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'2020'!$A$30:$A$42</c:f>
              <c:numCache>
                <c:formatCode>General</c:formatCode>
                <c:ptCount val="1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  <c:pt idx="12">
                  <c:v>2021</c:v>
                </c:pt>
              </c:numCache>
            </c:numRef>
          </c:cat>
          <c:val>
            <c:numRef>
              <c:f>'2020'!$C$30:$C$42</c:f>
              <c:numCache>
                <c:formatCode>0.0%</c:formatCode>
                <c:ptCount val="13"/>
                <c:pt idx="0">
                  <c:v>0.65100000000000002</c:v>
                </c:pt>
                <c:pt idx="1">
                  <c:v>0.65800000000000003</c:v>
                </c:pt>
                <c:pt idx="2">
                  <c:v>0.67</c:v>
                </c:pt>
                <c:pt idx="3">
                  <c:v>0.67</c:v>
                </c:pt>
                <c:pt idx="4">
                  <c:v>0.67100000000000004</c:v>
                </c:pt>
                <c:pt idx="5">
                  <c:v>0.67700000000000005</c:v>
                </c:pt>
                <c:pt idx="6">
                  <c:v>0.68400000000000005</c:v>
                </c:pt>
                <c:pt idx="7">
                  <c:v>0.69399999999999995</c:v>
                </c:pt>
                <c:pt idx="8">
                  <c:v>0.69099999999999995</c:v>
                </c:pt>
                <c:pt idx="9">
                  <c:v>0.7</c:v>
                </c:pt>
                <c:pt idx="10">
                  <c:v>0.71899999999999997</c:v>
                </c:pt>
                <c:pt idx="11">
                  <c:v>0.69799999999999995</c:v>
                </c:pt>
                <c:pt idx="12">
                  <c:v>0.70199999999999996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384-4025-988A-8200E14DEA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88521007"/>
        <c:axId val="1"/>
      </c:lineChart>
      <c:catAx>
        <c:axId val="19885210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0.0%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88521007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2398226105611866"/>
          <c:y val="0.91065940180758009"/>
          <c:w val="0.74661845119508807"/>
          <c:h val="6.7635181036106745E-2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07D94-FB91-41A4-9DC2-F7ACE978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Gordon</dc:creator>
  <cp:keywords/>
  <dc:description/>
  <cp:lastModifiedBy>Jessica Bennett</cp:lastModifiedBy>
  <cp:revision>5</cp:revision>
  <dcterms:created xsi:type="dcterms:W3CDTF">2022-10-14T13:24:00Z</dcterms:created>
  <dcterms:modified xsi:type="dcterms:W3CDTF">2022-10-18T14:33:00Z</dcterms:modified>
</cp:coreProperties>
</file>