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756" w:rsidRDefault="00FD1406" w:rsidP="00163756">
      <w:pPr>
        <w:rPr>
          <w:b/>
        </w:rPr>
      </w:pPr>
      <w:r>
        <w:rPr>
          <w:b/>
        </w:rPr>
        <w:t>Town Centre Vacancy Rates</w:t>
      </w:r>
    </w:p>
    <w:p w:rsidR="00163756" w:rsidRDefault="00FD1406" w:rsidP="00163756">
      <w:r>
        <w:t xml:space="preserve">Vacancy rates for non-domestic properties are available for the five main city / town centres in the borough (Armagh, Banbridge, Craigavon, </w:t>
      </w:r>
      <w:proofErr w:type="spellStart"/>
      <w:r>
        <w:t>Lurgan</w:t>
      </w:r>
      <w:proofErr w:type="spellEnd"/>
      <w:r>
        <w:t xml:space="preserve"> and </w:t>
      </w:r>
      <w:proofErr w:type="spellStart"/>
      <w:r>
        <w:t>Portadown</w:t>
      </w:r>
      <w:proofErr w:type="spellEnd"/>
      <w:r>
        <w:t xml:space="preserve">) and </w:t>
      </w:r>
      <w:proofErr w:type="spellStart"/>
      <w:r>
        <w:t>Dromore</w:t>
      </w:r>
      <w:proofErr w:type="spellEnd"/>
      <w:r>
        <w:t xml:space="preserve"> from the Town Centre Database (using data from Land and Property Services) produced by the Department for Communities.</w:t>
      </w:r>
      <w:r w:rsidR="004239CA">
        <w:t xml:space="preserve"> A property refers to a hereditament which is subject to rates and not individual buildings.</w:t>
      </w:r>
    </w:p>
    <w:p w:rsidR="00FD1406" w:rsidRDefault="00936C9E" w:rsidP="00163756">
      <w:r>
        <w:t xml:space="preserve">As at </w:t>
      </w:r>
      <w:r w:rsidR="00D71F6B">
        <w:t>30</w:t>
      </w:r>
      <w:r w:rsidR="00D71F6B" w:rsidRPr="00D71F6B">
        <w:rPr>
          <w:vertAlign w:val="superscript"/>
        </w:rPr>
        <w:t>th</w:t>
      </w:r>
      <w:r w:rsidR="004137D6">
        <w:t xml:space="preserve"> April 2022</w:t>
      </w:r>
      <w:r w:rsidR="00FD1406">
        <w:t xml:space="preserve">, vacancy rates in the </w:t>
      </w:r>
      <w:r>
        <w:t xml:space="preserve">borough varied from </w:t>
      </w:r>
      <w:r w:rsidR="004137D6">
        <w:t>8.9</w:t>
      </w:r>
      <w:r>
        <w:t xml:space="preserve">% in Craigavon to </w:t>
      </w:r>
      <w:r w:rsidR="004137D6">
        <w:t>25.4</w:t>
      </w:r>
      <w:r w:rsidR="00FD1406">
        <w:t xml:space="preserve">% in </w:t>
      </w:r>
      <w:proofErr w:type="spellStart"/>
      <w:r w:rsidR="00FD1406">
        <w:t>Dromore</w:t>
      </w:r>
      <w:proofErr w:type="spellEnd"/>
      <w:r w:rsidR="00FD1406">
        <w:t xml:space="preserve">. </w:t>
      </w:r>
      <w:r w:rsidR="00D71F6B">
        <w:t xml:space="preserve"> </w:t>
      </w:r>
      <w:r w:rsidR="00FD1406">
        <w:t>This compares to a Northern Irela</w:t>
      </w:r>
      <w:r>
        <w:t xml:space="preserve">nd average vacancy level of </w:t>
      </w:r>
      <w:r w:rsidR="004137D6">
        <w:t>23.7</w:t>
      </w:r>
      <w:r w:rsidR="00FD1406">
        <w:t xml:space="preserve">%. </w:t>
      </w:r>
    </w:p>
    <w:tbl>
      <w:tblPr>
        <w:tblStyle w:val="GridTable1Light"/>
        <w:tblW w:w="7774" w:type="dxa"/>
        <w:tblLook w:val="04A0" w:firstRow="1" w:lastRow="0" w:firstColumn="1" w:lastColumn="0" w:noHBand="0" w:noVBand="1"/>
        <w:tblCaption w:val="City/town centre non-domestic property vacancy rates as at 30th April 2021"/>
      </w:tblPr>
      <w:tblGrid>
        <w:gridCol w:w="1717"/>
        <w:gridCol w:w="1972"/>
        <w:gridCol w:w="2127"/>
        <w:gridCol w:w="1958"/>
      </w:tblGrid>
      <w:tr w:rsidR="0011217B" w:rsidRPr="0011217B" w:rsidTr="003578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7" w:type="dxa"/>
            <w:vMerge w:val="restart"/>
            <w:hideMark/>
          </w:tcPr>
          <w:p w:rsidR="0011217B" w:rsidRPr="0011217B" w:rsidRDefault="0011217B" w:rsidP="0011217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bookmarkStart w:id="0" w:name="_GoBack" w:colFirst="0" w:colLast="0"/>
            <w:r w:rsidRPr="0011217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057" w:type="dxa"/>
            <w:gridSpan w:val="3"/>
            <w:noWrap/>
            <w:hideMark/>
          </w:tcPr>
          <w:p w:rsidR="0011217B" w:rsidRPr="0011217B" w:rsidRDefault="004137D6" w:rsidP="001121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30th April 2022</w:t>
            </w:r>
          </w:p>
        </w:tc>
      </w:tr>
      <w:bookmarkEnd w:id="0"/>
      <w:tr w:rsidR="0011217B" w:rsidRPr="0011217B" w:rsidTr="003578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7" w:type="dxa"/>
            <w:vMerge/>
            <w:hideMark/>
          </w:tcPr>
          <w:p w:rsidR="0011217B" w:rsidRPr="0011217B" w:rsidRDefault="0011217B" w:rsidP="0011217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72" w:type="dxa"/>
            <w:hideMark/>
          </w:tcPr>
          <w:p w:rsidR="0011217B" w:rsidRPr="0011217B" w:rsidRDefault="0011217B" w:rsidP="001121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r w:rsidRPr="0011217B">
              <w:rPr>
                <w:rFonts w:ascii="Calibri" w:eastAsia="Times New Roman" w:hAnsi="Calibri" w:cs="Calibri"/>
                <w:color w:val="000000"/>
                <w:lang w:eastAsia="en-GB"/>
              </w:rPr>
              <w:t>No. of Properties</w:t>
            </w:r>
          </w:p>
        </w:tc>
        <w:tc>
          <w:tcPr>
            <w:tcW w:w="2127" w:type="dxa"/>
            <w:hideMark/>
          </w:tcPr>
          <w:p w:rsidR="0011217B" w:rsidRPr="0011217B" w:rsidRDefault="0011217B" w:rsidP="001121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r w:rsidRPr="0011217B">
              <w:rPr>
                <w:rFonts w:ascii="Calibri" w:eastAsia="Times New Roman" w:hAnsi="Calibri" w:cs="Calibri"/>
                <w:color w:val="000000"/>
                <w:lang w:eastAsia="en-GB"/>
              </w:rPr>
              <w:t>No. of Vacant Properties</w:t>
            </w:r>
          </w:p>
        </w:tc>
        <w:tc>
          <w:tcPr>
            <w:tcW w:w="1958" w:type="dxa"/>
            <w:hideMark/>
          </w:tcPr>
          <w:p w:rsidR="0011217B" w:rsidRPr="0011217B" w:rsidRDefault="0011217B" w:rsidP="001121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r w:rsidRPr="0011217B">
              <w:rPr>
                <w:rFonts w:ascii="Calibri" w:eastAsia="Times New Roman" w:hAnsi="Calibri" w:cs="Calibri"/>
                <w:color w:val="000000"/>
                <w:lang w:eastAsia="en-GB"/>
              </w:rPr>
              <w:t>% of Properties Vacant</w:t>
            </w:r>
          </w:p>
        </w:tc>
      </w:tr>
      <w:tr w:rsidR="004137D6" w:rsidRPr="0011217B" w:rsidTr="001921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7" w:type="dxa"/>
            <w:hideMark/>
          </w:tcPr>
          <w:p w:rsidR="004137D6" w:rsidRPr="0011217B" w:rsidRDefault="004137D6" w:rsidP="004137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1217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Armagh</w:t>
            </w:r>
          </w:p>
        </w:tc>
        <w:tc>
          <w:tcPr>
            <w:tcW w:w="1972" w:type="dxa"/>
            <w:noWrap/>
            <w:vAlign w:val="bottom"/>
            <w:hideMark/>
          </w:tcPr>
          <w:p w:rsidR="004137D6" w:rsidRPr="004137D6" w:rsidRDefault="004137D6" w:rsidP="004137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4137D6">
              <w:rPr>
                <w:rFonts w:cstheme="minorHAnsi"/>
                <w:b w:val="0"/>
              </w:rPr>
              <w:t>736</w:t>
            </w:r>
          </w:p>
        </w:tc>
        <w:tc>
          <w:tcPr>
            <w:tcW w:w="2127" w:type="dxa"/>
            <w:noWrap/>
            <w:vAlign w:val="bottom"/>
            <w:hideMark/>
          </w:tcPr>
          <w:p w:rsidR="004137D6" w:rsidRPr="004137D6" w:rsidRDefault="004137D6" w:rsidP="004137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4137D6">
              <w:rPr>
                <w:rFonts w:cstheme="minorHAnsi"/>
                <w:b w:val="0"/>
              </w:rPr>
              <w:t>156</w:t>
            </w:r>
          </w:p>
        </w:tc>
        <w:tc>
          <w:tcPr>
            <w:tcW w:w="1958" w:type="dxa"/>
            <w:vAlign w:val="bottom"/>
            <w:hideMark/>
          </w:tcPr>
          <w:p w:rsidR="004137D6" w:rsidRPr="004137D6" w:rsidRDefault="004137D6" w:rsidP="004137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iCs/>
              </w:rPr>
            </w:pPr>
            <w:r w:rsidRPr="004137D6">
              <w:rPr>
                <w:rFonts w:cstheme="minorHAnsi"/>
                <w:b w:val="0"/>
                <w:iCs/>
              </w:rPr>
              <w:t>21.2%</w:t>
            </w:r>
          </w:p>
        </w:tc>
      </w:tr>
      <w:tr w:rsidR="004137D6" w:rsidRPr="0011217B" w:rsidTr="001921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7" w:type="dxa"/>
            <w:hideMark/>
          </w:tcPr>
          <w:p w:rsidR="004137D6" w:rsidRPr="0011217B" w:rsidRDefault="004137D6" w:rsidP="004137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1217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Banbridge</w:t>
            </w:r>
          </w:p>
        </w:tc>
        <w:tc>
          <w:tcPr>
            <w:tcW w:w="1972" w:type="dxa"/>
            <w:noWrap/>
            <w:vAlign w:val="bottom"/>
            <w:hideMark/>
          </w:tcPr>
          <w:p w:rsidR="004137D6" w:rsidRPr="004137D6" w:rsidRDefault="004137D6" w:rsidP="004137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4137D6">
              <w:rPr>
                <w:rFonts w:cstheme="minorHAnsi"/>
                <w:b w:val="0"/>
              </w:rPr>
              <w:t>443</w:t>
            </w:r>
          </w:p>
        </w:tc>
        <w:tc>
          <w:tcPr>
            <w:tcW w:w="2127" w:type="dxa"/>
            <w:noWrap/>
            <w:vAlign w:val="bottom"/>
            <w:hideMark/>
          </w:tcPr>
          <w:p w:rsidR="004137D6" w:rsidRPr="004137D6" w:rsidRDefault="004137D6" w:rsidP="004137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4137D6">
              <w:rPr>
                <w:rFonts w:cstheme="minorHAnsi"/>
                <w:b w:val="0"/>
              </w:rPr>
              <w:t>71</w:t>
            </w:r>
          </w:p>
        </w:tc>
        <w:tc>
          <w:tcPr>
            <w:tcW w:w="1958" w:type="dxa"/>
            <w:vAlign w:val="bottom"/>
            <w:hideMark/>
          </w:tcPr>
          <w:p w:rsidR="004137D6" w:rsidRPr="004137D6" w:rsidRDefault="004137D6" w:rsidP="004137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iCs/>
              </w:rPr>
            </w:pPr>
            <w:r w:rsidRPr="004137D6">
              <w:rPr>
                <w:rFonts w:cstheme="minorHAnsi"/>
                <w:b w:val="0"/>
                <w:iCs/>
              </w:rPr>
              <w:t>16.0%</w:t>
            </w:r>
          </w:p>
        </w:tc>
      </w:tr>
      <w:tr w:rsidR="004137D6" w:rsidRPr="0011217B" w:rsidTr="001921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7" w:type="dxa"/>
            <w:hideMark/>
          </w:tcPr>
          <w:p w:rsidR="004137D6" w:rsidRPr="0011217B" w:rsidRDefault="004137D6" w:rsidP="004137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1217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Craigavon</w:t>
            </w:r>
          </w:p>
        </w:tc>
        <w:tc>
          <w:tcPr>
            <w:tcW w:w="1972" w:type="dxa"/>
            <w:noWrap/>
            <w:vAlign w:val="bottom"/>
            <w:hideMark/>
          </w:tcPr>
          <w:p w:rsidR="004137D6" w:rsidRPr="004137D6" w:rsidRDefault="004137D6" w:rsidP="004137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4137D6">
              <w:rPr>
                <w:rFonts w:cstheme="minorHAnsi"/>
                <w:b w:val="0"/>
              </w:rPr>
              <w:t>101</w:t>
            </w:r>
          </w:p>
        </w:tc>
        <w:tc>
          <w:tcPr>
            <w:tcW w:w="2127" w:type="dxa"/>
            <w:noWrap/>
            <w:vAlign w:val="bottom"/>
            <w:hideMark/>
          </w:tcPr>
          <w:p w:rsidR="004137D6" w:rsidRPr="004137D6" w:rsidRDefault="004137D6" w:rsidP="004137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4137D6">
              <w:rPr>
                <w:rFonts w:cstheme="minorHAnsi"/>
                <w:b w:val="0"/>
              </w:rPr>
              <w:t>9</w:t>
            </w:r>
          </w:p>
        </w:tc>
        <w:tc>
          <w:tcPr>
            <w:tcW w:w="1958" w:type="dxa"/>
            <w:vAlign w:val="bottom"/>
            <w:hideMark/>
          </w:tcPr>
          <w:p w:rsidR="004137D6" w:rsidRPr="004137D6" w:rsidRDefault="004137D6" w:rsidP="004137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iCs/>
              </w:rPr>
            </w:pPr>
            <w:r w:rsidRPr="004137D6">
              <w:rPr>
                <w:rFonts w:cstheme="minorHAnsi"/>
                <w:b w:val="0"/>
                <w:iCs/>
              </w:rPr>
              <w:t>8.9%</w:t>
            </w:r>
          </w:p>
        </w:tc>
      </w:tr>
      <w:tr w:rsidR="004137D6" w:rsidRPr="0011217B" w:rsidTr="001921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7" w:type="dxa"/>
            <w:hideMark/>
          </w:tcPr>
          <w:p w:rsidR="004137D6" w:rsidRPr="0011217B" w:rsidRDefault="004137D6" w:rsidP="004137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11217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Dromore</w:t>
            </w:r>
            <w:proofErr w:type="spellEnd"/>
          </w:p>
        </w:tc>
        <w:tc>
          <w:tcPr>
            <w:tcW w:w="1972" w:type="dxa"/>
            <w:noWrap/>
            <w:vAlign w:val="bottom"/>
            <w:hideMark/>
          </w:tcPr>
          <w:p w:rsidR="004137D6" w:rsidRPr="004137D6" w:rsidRDefault="004137D6" w:rsidP="004137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4137D6">
              <w:rPr>
                <w:rFonts w:cstheme="minorHAnsi"/>
                <w:b w:val="0"/>
              </w:rPr>
              <w:t>118</w:t>
            </w:r>
          </w:p>
        </w:tc>
        <w:tc>
          <w:tcPr>
            <w:tcW w:w="2127" w:type="dxa"/>
            <w:noWrap/>
            <w:vAlign w:val="bottom"/>
            <w:hideMark/>
          </w:tcPr>
          <w:p w:rsidR="004137D6" w:rsidRPr="004137D6" w:rsidRDefault="004137D6" w:rsidP="004137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4137D6">
              <w:rPr>
                <w:rFonts w:cstheme="minorHAnsi"/>
                <w:b w:val="0"/>
              </w:rPr>
              <w:t>30</w:t>
            </w:r>
          </w:p>
        </w:tc>
        <w:tc>
          <w:tcPr>
            <w:tcW w:w="1958" w:type="dxa"/>
            <w:vAlign w:val="bottom"/>
            <w:hideMark/>
          </w:tcPr>
          <w:p w:rsidR="004137D6" w:rsidRPr="004137D6" w:rsidRDefault="004137D6" w:rsidP="004137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iCs/>
              </w:rPr>
            </w:pPr>
            <w:r w:rsidRPr="004137D6">
              <w:rPr>
                <w:rFonts w:cstheme="minorHAnsi"/>
                <w:b w:val="0"/>
                <w:iCs/>
              </w:rPr>
              <w:t>25.4%</w:t>
            </w:r>
          </w:p>
        </w:tc>
      </w:tr>
      <w:tr w:rsidR="004137D6" w:rsidRPr="0011217B" w:rsidTr="001921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7" w:type="dxa"/>
            <w:hideMark/>
          </w:tcPr>
          <w:p w:rsidR="004137D6" w:rsidRPr="0011217B" w:rsidRDefault="004137D6" w:rsidP="004137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11217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Lurgan</w:t>
            </w:r>
            <w:proofErr w:type="spellEnd"/>
          </w:p>
        </w:tc>
        <w:tc>
          <w:tcPr>
            <w:tcW w:w="1972" w:type="dxa"/>
            <w:noWrap/>
            <w:vAlign w:val="bottom"/>
            <w:hideMark/>
          </w:tcPr>
          <w:p w:rsidR="004137D6" w:rsidRPr="004137D6" w:rsidRDefault="004137D6" w:rsidP="004137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4137D6">
              <w:rPr>
                <w:rFonts w:cstheme="minorHAnsi"/>
                <w:b w:val="0"/>
              </w:rPr>
              <w:t>512</w:t>
            </w:r>
          </w:p>
        </w:tc>
        <w:tc>
          <w:tcPr>
            <w:tcW w:w="2127" w:type="dxa"/>
            <w:noWrap/>
            <w:vAlign w:val="bottom"/>
            <w:hideMark/>
          </w:tcPr>
          <w:p w:rsidR="004137D6" w:rsidRPr="004137D6" w:rsidRDefault="004137D6" w:rsidP="004137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4137D6">
              <w:rPr>
                <w:rFonts w:cstheme="minorHAnsi"/>
                <w:b w:val="0"/>
              </w:rPr>
              <w:t>113</w:t>
            </w:r>
          </w:p>
        </w:tc>
        <w:tc>
          <w:tcPr>
            <w:tcW w:w="1958" w:type="dxa"/>
            <w:vAlign w:val="bottom"/>
            <w:hideMark/>
          </w:tcPr>
          <w:p w:rsidR="004137D6" w:rsidRPr="004137D6" w:rsidRDefault="004137D6" w:rsidP="004137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iCs/>
              </w:rPr>
            </w:pPr>
            <w:r w:rsidRPr="004137D6">
              <w:rPr>
                <w:rFonts w:cstheme="minorHAnsi"/>
                <w:b w:val="0"/>
                <w:iCs/>
              </w:rPr>
              <w:t>22.1%</w:t>
            </w:r>
          </w:p>
        </w:tc>
      </w:tr>
      <w:tr w:rsidR="004137D6" w:rsidRPr="0011217B" w:rsidTr="001921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7" w:type="dxa"/>
            <w:hideMark/>
          </w:tcPr>
          <w:p w:rsidR="004137D6" w:rsidRPr="0011217B" w:rsidRDefault="004137D6" w:rsidP="004137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11217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Portadown</w:t>
            </w:r>
            <w:proofErr w:type="spellEnd"/>
          </w:p>
        </w:tc>
        <w:tc>
          <w:tcPr>
            <w:tcW w:w="1972" w:type="dxa"/>
            <w:noWrap/>
            <w:vAlign w:val="bottom"/>
            <w:hideMark/>
          </w:tcPr>
          <w:p w:rsidR="004137D6" w:rsidRPr="004137D6" w:rsidRDefault="004137D6" w:rsidP="004137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4137D6">
              <w:rPr>
                <w:rFonts w:cstheme="minorHAnsi"/>
                <w:b w:val="0"/>
              </w:rPr>
              <w:t>693</w:t>
            </w:r>
          </w:p>
        </w:tc>
        <w:tc>
          <w:tcPr>
            <w:tcW w:w="2127" w:type="dxa"/>
            <w:noWrap/>
            <w:vAlign w:val="bottom"/>
            <w:hideMark/>
          </w:tcPr>
          <w:p w:rsidR="004137D6" w:rsidRPr="004137D6" w:rsidRDefault="004137D6" w:rsidP="004137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4137D6">
              <w:rPr>
                <w:rFonts w:cstheme="minorHAnsi"/>
                <w:b w:val="0"/>
              </w:rPr>
              <w:t>146</w:t>
            </w:r>
          </w:p>
        </w:tc>
        <w:tc>
          <w:tcPr>
            <w:tcW w:w="1958" w:type="dxa"/>
            <w:vAlign w:val="bottom"/>
            <w:hideMark/>
          </w:tcPr>
          <w:p w:rsidR="004137D6" w:rsidRPr="004137D6" w:rsidRDefault="004137D6" w:rsidP="004137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iCs/>
              </w:rPr>
            </w:pPr>
            <w:r w:rsidRPr="004137D6">
              <w:rPr>
                <w:rFonts w:cstheme="minorHAnsi"/>
                <w:b w:val="0"/>
                <w:iCs/>
              </w:rPr>
              <w:t>21.1%</w:t>
            </w:r>
          </w:p>
        </w:tc>
      </w:tr>
      <w:tr w:rsidR="004137D6" w:rsidRPr="0011217B" w:rsidTr="001921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7" w:type="dxa"/>
            <w:hideMark/>
          </w:tcPr>
          <w:p w:rsidR="004137D6" w:rsidRPr="0011217B" w:rsidRDefault="004137D6" w:rsidP="004137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1217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Northern Ireland</w:t>
            </w:r>
          </w:p>
        </w:tc>
        <w:tc>
          <w:tcPr>
            <w:tcW w:w="1972" w:type="dxa"/>
            <w:noWrap/>
            <w:vAlign w:val="bottom"/>
            <w:hideMark/>
          </w:tcPr>
          <w:p w:rsidR="004137D6" w:rsidRPr="004137D6" w:rsidRDefault="004137D6" w:rsidP="004137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4137D6">
              <w:rPr>
                <w:rFonts w:cstheme="minorHAnsi"/>
                <w:b w:val="0"/>
                <w:bCs w:val="0"/>
              </w:rPr>
              <w:t>21,644</w:t>
            </w:r>
          </w:p>
        </w:tc>
        <w:tc>
          <w:tcPr>
            <w:tcW w:w="2127" w:type="dxa"/>
            <w:noWrap/>
            <w:vAlign w:val="bottom"/>
            <w:hideMark/>
          </w:tcPr>
          <w:p w:rsidR="004137D6" w:rsidRPr="004137D6" w:rsidRDefault="004137D6" w:rsidP="004137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 w:rsidRPr="004137D6">
              <w:rPr>
                <w:rFonts w:cstheme="minorHAnsi"/>
                <w:b w:val="0"/>
                <w:bCs w:val="0"/>
              </w:rPr>
              <w:t>5,134</w:t>
            </w:r>
          </w:p>
        </w:tc>
        <w:tc>
          <w:tcPr>
            <w:tcW w:w="1958" w:type="dxa"/>
            <w:vAlign w:val="bottom"/>
            <w:hideMark/>
          </w:tcPr>
          <w:p w:rsidR="004137D6" w:rsidRPr="004137D6" w:rsidRDefault="004137D6" w:rsidP="004137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iCs/>
              </w:rPr>
            </w:pPr>
            <w:r w:rsidRPr="004137D6">
              <w:rPr>
                <w:rFonts w:cstheme="minorHAnsi"/>
                <w:b w:val="0"/>
                <w:bCs w:val="0"/>
                <w:iCs/>
              </w:rPr>
              <w:t>23.7%</w:t>
            </w:r>
          </w:p>
        </w:tc>
      </w:tr>
    </w:tbl>
    <w:p w:rsidR="00163756" w:rsidRDefault="00C07F07" w:rsidP="00163756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Table 1: </w:t>
      </w:r>
      <w:r w:rsidR="00956354">
        <w:rPr>
          <w:i/>
          <w:sz w:val="20"/>
          <w:szCs w:val="20"/>
        </w:rPr>
        <w:t>City/town centre non-domestic</w:t>
      </w:r>
      <w:r w:rsidR="00AF041A">
        <w:rPr>
          <w:i/>
          <w:sz w:val="20"/>
          <w:szCs w:val="20"/>
        </w:rPr>
        <w:t xml:space="preserve"> property vacancy rates as at </w:t>
      </w:r>
      <w:r w:rsidR="00D71F6B">
        <w:rPr>
          <w:i/>
          <w:sz w:val="20"/>
          <w:szCs w:val="20"/>
        </w:rPr>
        <w:t>30</w:t>
      </w:r>
      <w:r w:rsidR="00D71F6B" w:rsidRPr="00D71F6B">
        <w:rPr>
          <w:i/>
          <w:sz w:val="20"/>
          <w:szCs w:val="20"/>
          <w:vertAlign w:val="superscript"/>
        </w:rPr>
        <w:t>th</w:t>
      </w:r>
      <w:r w:rsidR="00D71F6B">
        <w:rPr>
          <w:i/>
          <w:sz w:val="20"/>
          <w:szCs w:val="20"/>
        </w:rPr>
        <w:t xml:space="preserve"> April 202</w:t>
      </w:r>
      <w:r w:rsidR="004137D6">
        <w:rPr>
          <w:i/>
          <w:sz w:val="20"/>
          <w:szCs w:val="20"/>
        </w:rPr>
        <w:t>2</w:t>
      </w:r>
      <w:r w:rsidR="00163756" w:rsidRPr="002A2185">
        <w:rPr>
          <w:i/>
          <w:sz w:val="20"/>
          <w:szCs w:val="20"/>
        </w:rPr>
        <w:t>. Source:</w:t>
      </w:r>
      <w:r w:rsidR="00163756">
        <w:rPr>
          <w:i/>
          <w:sz w:val="20"/>
          <w:szCs w:val="20"/>
        </w:rPr>
        <w:t xml:space="preserve"> </w:t>
      </w:r>
      <w:r w:rsidR="00956354">
        <w:rPr>
          <w:i/>
          <w:sz w:val="20"/>
          <w:szCs w:val="20"/>
        </w:rPr>
        <w:t>Land and Property Services via Town Centre Database, Department for Communities</w:t>
      </w:r>
      <w:r w:rsidR="00163756" w:rsidRPr="002A2185">
        <w:rPr>
          <w:i/>
          <w:sz w:val="20"/>
          <w:szCs w:val="20"/>
        </w:rPr>
        <w:t>.</w:t>
      </w:r>
      <w:r w:rsidR="00163756">
        <w:rPr>
          <w:i/>
          <w:sz w:val="20"/>
          <w:szCs w:val="20"/>
        </w:rPr>
        <w:t xml:space="preserve"> </w:t>
      </w:r>
    </w:p>
    <w:p w:rsidR="004137D6" w:rsidRDefault="004137D6" w:rsidP="00163756">
      <w:pPr>
        <w:rPr>
          <w:i/>
          <w:sz w:val="20"/>
          <w:szCs w:val="20"/>
        </w:rPr>
      </w:pPr>
    </w:p>
    <w:p w:rsidR="004137D6" w:rsidRDefault="004137D6" w:rsidP="00956354">
      <w:pPr>
        <w:rPr>
          <w:i/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 wp14:anchorId="58408732" wp14:editId="22483BD3">
            <wp:extent cx="5181600" cy="3028950"/>
            <wp:effectExtent l="0" t="0" r="0" b="0"/>
            <wp:docPr id="2" name="Chart 2" title="City/town centre non-domestic property vacancy rates as at 30th April 20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56354" w:rsidRDefault="00C07F07" w:rsidP="00956354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Figure 1: </w:t>
      </w:r>
      <w:r w:rsidR="00956354">
        <w:rPr>
          <w:i/>
          <w:sz w:val="20"/>
          <w:szCs w:val="20"/>
        </w:rPr>
        <w:t>City/town centre non-domestic</w:t>
      </w:r>
      <w:r w:rsidR="00AF041A">
        <w:rPr>
          <w:i/>
          <w:sz w:val="20"/>
          <w:szCs w:val="20"/>
        </w:rPr>
        <w:t xml:space="preserve"> property vacancy rates as at </w:t>
      </w:r>
      <w:r w:rsidR="00D71F6B">
        <w:rPr>
          <w:i/>
          <w:sz w:val="20"/>
          <w:szCs w:val="20"/>
        </w:rPr>
        <w:t>30</w:t>
      </w:r>
      <w:r w:rsidR="00D71F6B" w:rsidRPr="00D71F6B">
        <w:rPr>
          <w:i/>
          <w:sz w:val="20"/>
          <w:szCs w:val="20"/>
          <w:vertAlign w:val="superscript"/>
        </w:rPr>
        <w:t>th</w:t>
      </w:r>
      <w:r w:rsidR="004137D6">
        <w:rPr>
          <w:i/>
          <w:sz w:val="20"/>
          <w:szCs w:val="20"/>
        </w:rPr>
        <w:t xml:space="preserve"> April 2022</w:t>
      </w:r>
      <w:r w:rsidR="00956354" w:rsidRPr="002A2185">
        <w:rPr>
          <w:i/>
          <w:sz w:val="20"/>
          <w:szCs w:val="20"/>
        </w:rPr>
        <w:t>. Source:</w:t>
      </w:r>
      <w:r w:rsidR="00956354">
        <w:rPr>
          <w:i/>
          <w:sz w:val="20"/>
          <w:szCs w:val="20"/>
        </w:rPr>
        <w:t xml:space="preserve"> Land and Property Services via Town Centre Database, Department for Communities</w:t>
      </w:r>
      <w:r w:rsidR="00956354" w:rsidRPr="002A2185">
        <w:rPr>
          <w:i/>
          <w:sz w:val="20"/>
          <w:szCs w:val="20"/>
        </w:rPr>
        <w:t>.</w:t>
      </w:r>
      <w:r w:rsidR="00956354">
        <w:rPr>
          <w:i/>
          <w:sz w:val="20"/>
          <w:szCs w:val="20"/>
        </w:rPr>
        <w:t xml:space="preserve"> </w:t>
      </w:r>
    </w:p>
    <w:p w:rsidR="00095AEC" w:rsidRDefault="00095AEC" w:rsidP="00956354">
      <w:pPr>
        <w:rPr>
          <w:i/>
          <w:sz w:val="20"/>
          <w:szCs w:val="20"/>
        </w:rPr>
      </w:pPr>
    </w:p>
    <w:p w:rsidR="00095AEC" w:rsidRDefault="00095AEC" w:rsidP="00956354">
      <w:pPr>
        <w:rPr>
          <w:i/>
          <w:sz w:val="20"/>
          <w:szCs w:val="20"/>
        </w:rPr>
      </w:pPr>
    </w:p>
    <w:p w:rsidR="00095AEC" w:rsidRDefault="00C51627" w:rsidP="00956354">
      <w:r>
        <w:lastRenderedPageBreak/>
        <w:t xml:space="preserve">The vacancy levels in the borough have been similar, with some fluctuations, since April 2016. </w:t>
      </w:r>
      <w:proofErr w:type="spellStart"/>
      <w:r>
        <w:t>Dromore</w:t>
      </w:r>
      <w:proofErr w:type="spellEnd"/>
      <w:r>
        <w:t xml:space="preserve"> has consistently had the highest vacancy rates while Craigavon has maintained the lowest.</w:t>
      </w:r>
    </w:p>
    <w:p w:rsidR="00A61EAC" w:rsidRDefault="00A61EAC" w:rsidP="00956354"/>
    <w:tbl>
      <w:tblPr>
        <w:tblW w:w="9062" w:type="dxa"/>
        <w:tblLook w:val="04A0" w:firstRow="1" w:lastRow="0" w:firstColumn="1" w:lastColumn="0" w:noHBand="0" w:noVBand="1"/>
      </w:tblPr>
      <w:tblGrid>
        <w:gridCol w:w="1780"/>
        <w:gridCol w:w="1040"/>
        <w:gridCol w:w="1040"/>
        <w:gridCol w:w="1040"/>
        <w:gridCol w:w="1041"/>
        <w:gridCol w:w="1040"/>
        <w:gridCol w:w="1040"/>
        <w:gridCol w:w="1041"/>
      </w:tblGrid>
      <w:tr w:rsidR="00A61EAC" w:rsidRPr="00A61EAC" w:rsidTr="00A61EAC">
        <w:trPr>
          <w:trHeight w:val="345"/>
        </w:trPr>
        <w:tc>
          <w:tcPr>
            <w:tcW w:w="1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1EAC" w:rsidRPr="00A61EAC" w:rsidRDefault="00A61EAC" w:rsidP="00A61E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61E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EAC" w:rsidRPr="00A61EAC" w:rsidRDefault="00A61EAC" w:rsidP="00A61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61EA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30</w:t>
            </w:r>
            <w:r w:rsidRPr="00A61EAC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en-GB"/>
              </w:rPr>
              <w:t>th</w:t>
            </w:r>
            <w:r w:rsidRPr="00A61EA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Apr 2016</w:t>
            </w:r>
          </w:p>
        </w:tc>
        <w:tc>
          <w:tcPr>
            <w:tcW w:w="1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EAC" w:rsidRPr="00A61EAC" w:rsidRDefault="00A61EAC" w:rsidP="00A61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61EA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7</w:t>
            </w:r>
            <w:r w:rsidRPr="00A61EAC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en-GB"/>
              </w:rPr>
              <w:t>th</w:t>
            </w:r>
            <w:r w:rsidRPr="00A61EA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May  2017</w:t>
            </w:r>
          </w:p>
        </w:tc>
        <w:tc>
          <w:tcPr>
            <w:tcW w:w="1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EAC" w:rsidRPr="00A61EAC" w:rsidRDefault="00A61EAC" w:rsidP="00A61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61EA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30</w:t>
            </w:r>
            <w:r w:rsidRPr="00A61EAC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en-GB"/>
              </w:rPr>
              <w:t>th</w:t>
            </w:r>
            <w:r w:rsidRPr="00A61EA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Apr 2018</w:t>
            </w:r>
          </w:p>
        </w:tc>
        <w:tc>
          <w:tcPr>
            <w:tcW w:w="10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EAC" w:rsidRPr="00A61EAC" w:rsidRDefault="00A61EAC" w:rsidP="00A61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61EA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30</w:t>
            </w:r>
            <w:r w:rsidRPr="00A61EAC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en-GB"/>
              </w:rPr>
              <w:t>th</w:t>
            </w:r>
            <w:r w:rsidRPr="00A61EA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Apr 2019</w:t>
            </w:r>
          </w:p>
        </w:tc>
        <w:tc>
          <w:tcPr>
            <w:tcW w:w="1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EAC" w:rsidRPr="00A61EAC" w:rsidRDefault="00A61EAC" w:rsidP="00A61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61EA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17</w:t>
            </w:r>
            <w:r w:rsidRPr="00A61EAC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en-GB"/>
              </w:rPr>
              <w:t>th</w:t>
            </w:r>
            <w:r w:rsidRPr="00A61EA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May 2020</w:t>
            </w:r>
          </w:p>
        </w:tc>
        <w:tc>
          <w:tcPr>
            <w:tcW w:w="1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EAC" w:rsidRPr="00A61EAC" w:rsidRDefault="00A61EAC" w:rsidP="00A61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61EA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30</w:t>
            </w:r>
            <w:r w:rsidRPr="00A61EAC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Apr</w:t>
            </w:r>
            <w:r w:rsidRPr="00A61EA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2021</w:t>
            </w:r>
          </w:p>
        </w:tc>
        <w:tc>
          <w:tcPr>
            <w:tcW w:w="10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EAC" w:rsidRPr="00A61EAC" w:rsidRDefault="00A61EAC" w:rsidP="00A61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61EA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30</w:t>
            </w:r>
            <w:r w:rsidRPr="00A61EAC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Apr</w:t>
            </w:r>
            <w:r w:rsidRPr="00A61EA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2022</w:t>
            </w:r>
          </w:p>
        </w:tc>
      </w:tr>
      <w:tr w:rsidR="00A61EAC" w:rsidRPr="00A61EAC" w:rsidTr="00A61EAC">
        <w:trPr>
          <w:trHeight w:val="408"/>
        </w:trPr>
        <w:tc>
          <w:tcPr>
            <w:tcW w:w="1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1EAC" w:rsidRPr="00A61EAC" w:rsidRDefault="00A61EAC" w:rsidP="00A61E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1EAC" w:rsidRPr="00A61EAC" w:rsidRDefault="00A61EAC" w:rsidP="00A61E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1EAC" w:rsidRPr="00A61EAC" w:rsidRDefault="00A61EAC" w:rsidP="00A61E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1EAC" w:rsidRPr="00A61EAC" w:rsidRDefault="00A61EAC" w:rsidP="00A61E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1EAC" w:rsidRPr="00A61EAC" w:rsidRDefault="00A61EAC" w:rsidP="00A61E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1EAC" w:rsidRPr="00A61EAC" w:rsidRDefault="00A61EAC" w:rsidP="00A61E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1EAC" w:rsidRPr="00A61EAC" w:rsidRDefault="00A61EAC" w:rsidP="00A61E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1EAC" w:rsidRPr="00A61EAC" w:rsidRDefault="00A61EAC" w:rsidP="00A61E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A61EAC" w:rsidRPr="00A61EAC" w:rsidTr="00A61EAC">
        <w:trPr>
          <w:trHeight w:val="31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1EAC" w:rsidRPr="00A61EAC" w:rsidRDefault="00A61EAC" w:rsidP="00A61E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61E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Armagh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EAC" w:rsidRPr="00A61EAC" w:rsidRDefault="00A61EAC" w:rsidP="00A61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1EAC">
              <w:rPr>
                <w:rFonts w:ascii="Calibri" w:eastAsia="Times New Roman" w:hAnsi="Calibri" w:cs="Calibri"/>
                <w:color w:val="000000"/>
                <w:lang w:eastAsia="en-GB"/>
              </w:rPr>
              <w:t>23.6%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EAC" w:rsidRPr="00A61EAC" w:rsidRDefault="00A61EAC" w:rsidP="00A61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1EAC">
              <w:rPr>
                <w:rFonts w:ascii="Calibri" w:eastAsia="Times New Roman" w:hAnsi="Calibri" w:cs="Calibri"/>
                <w:color w:val="000000"/>
                <w:lang w:eastAsia="en-GB"/>
              </w:rPr>
              <w:t>22.0%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EAC" w:rsidRPr="00A61EAC" w:rsidRDefault="00A61EAC" w:rsidP="00A61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1EAC">
              <w:rPr>
                <w:rFonts w:ascii="Calibri" w:eastAsia="Times New Roman" w:hAnsi="Calibri" w:cs="Calibri"/>
                <w:color w:val="000000"/>
                <w:lang w:eastAsia="en-GB"/>
              </w:rPr>
              <w:t>22.8%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EAC" w:rsidRPr="00A61EAC" w:rsidRDefault="00A61EAC" w:rsidP="00A61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1EAC">
              <w:rPr>
                <w:rFonts w:ascii="Calibri" w:eastAsia="Times New Roman" w:hAnsi="Calibri" w:cs="Calibri"/>
                <w:color w:val="000000"/>
                <w:lang w:eastAsia="en-GB"/>
              </w:rPr>
              <w:t>22.9%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EAC" w:rsidRPr="00A61EAC" w:rsidRDefault="00A61EAC" w:rsidP="00A61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1EAC">
              <w:rPr>
                <w:rFonts w:ascii="Calibri" w:eastAsia="Times New Roman" w:hAnsi="Calibri" w:cs="Calibri"/>
                <w:color w:val="000000"/>
                <w:lang w:eastAsia="en-GB"/>
              </w:rPr>
              <w:t>21.7%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EAC" w:rsidRPr="00A61EAC" w:rsidRDefault="00A61EAC" w:rsidP="00A61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1EAC">
              <w:rPr>
                <w:rFonts w:ascii="Calibri" w:eastAsia="Times New Roman" w:hAnsi="Calibri" w:cs="Calibri"/>
                <w:color w:val="000000"/>
                <w:lang w:eastAsia="en-GB"/>
              </w:rPr>
              <w:t>22.6%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EAC" w:rsidRPr="00A61EAC" w:rsidRDefault="00A61EAC" w:rsidP="00A61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1EAC">
              <w:rPr>
                <w:rFonts w:ascii="Calibri" w:eastAsia="Times New Roman" w:hAnsi="Calibri" w:cs="Calibri"/>
                <w:color w:val="000000"/>
                <w:lang w:eastAsia="en-GB"/>
              </w:rPr>
              <w:t>21.2%</w:t>
            </w:r>
          </w:p>
        </w:tc>
      </w:tr>
      <w:tr w:rsidR="00A61EAC" w:rsidRPr="00A61EAC" w:rsidTr="00A61EAC">
        <w:trPr>
          <w:trHeight w:val="31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1EAC" w:rsidRPr="00A61EAC" w:rsidRDefault="00A61EAC" w:rsidP="00A61E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61E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Banbridge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EAC" w:rsidRPr="00A61EAC" w:rsidRDefault="00A61EAC" w:rsidP="00A61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1EAC">
              <w:rPr>
                <w:rFonts w:ascii="Calibri" w:eastAsia="Times New Roman" w:hAnsi="Calibri" w:cs="Calibri"/>
                <w:color w:val="000000"/>
                <w:lang w:eastAsia="en-GB"/>
              </w:rPr>
              <w:t>20.7%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EAC" w:rsidRPr="00A61EAC" w:rsidRDefault="00A61EAC" w:rsidP="00A61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1EAC">
              <w:rPr>
                <w:rFonts w:ascii="Calibri" w:eastAsia="Times New Roman" w:hAnsi="Calibri" w:cs="Calibri"/>
                <w:color w:val="000000"/>
                <w:lang w:eastAsia="en-GB"/>
              </w:rPr>
              <w:t>22.1%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EAC" w:rsidRPr="00A61EAC" w:rsidRDefault="00A61EAC" w:rsidP="00A61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1EAC">
              <w:rPr>
                <w:rFonts w:ascii="Calibri" w:eastAsia="Times New Roman" w:hAnsi="Calibri" w:cs="Calibri"/>
                <w:color w:val="000000"/>
                <w:lang w:eastAsia="en-GB"/>
              </w:rPr>
              <w:t>20.8%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EAC" w:rsidRPr="00A61EAC" w:rsidRDefault="00A61EAC" w:rsidP="00A61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1EAC">
              <w:rPr>
                <w:rFonts w:ascii="Calibri" w:eastAsia="Times New Roman" w:hAnsi="Calibri" w:cs="Calibri"/>
                <w:color w:val="000000"/>
                <w:lang w:eastAsia="en-GB"/>
              </w:rPr>
              <w:t>20.1%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EAC" w:rsidRPr="00A61EAC" w:rsidRDefault="00A61EAC" w:rsidP="00A61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1EAC">
              <w:rPr>
                <w:rFonts w:ascii="Calibri" w:eastAsia="Times New Roman" w:hAnsi="Calibri" w:cs="Calibri"/>
                <w:color w:val="000000"/>
                <w:lang w:eastAsia="en-GB"/>
              </w:rPr>
              <w:t>18.0%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EAC" w:rsidRPr="00A61EAC" w:rsidRDefault="00A61EAC" w:rsidP="00A61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1EAC">
              <w:rPr>
                <w:rFonts w:ascii="Calibri" w:eastAsia="Times New Roman" w:hAnsi="Calibri" w:cs="Calibri"/>
                <w:color w:val="000000"/>
                <w:lang w:eastAsia="en-GB"/>
              </w:rPr>
              <w:t>15.9%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EAC" w:rsidRPr="00A61EAC" w:rsidRDefault="00A61EAC" w:rsidP="00A61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1EAC">
              <w:rPr>
                <w:rFonts w:ascii="Calibri" w:eastAsia="Times New Roman" w:hAnsi="Calibri" w:cs="Calibri"/>
                <w:color w:val="000000"/>
                <w:lang w:eastAsia="en-GB"/>
              </w:rPr>
              <w:t>16.0%</w:t>
            </w:r>
          </w:p>
        </w:tc>
      </w:tr>
      <w:tr w:rsidR="00A61EAC" w:rsidRPr="00A61EAC" w:rsidTr="00A61EAC">
        <w:trPr>
          <w:trHeight w:val="31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1EAC" w:rsidRPr="00A61EAC" w:rsidRDefault="00A61EAC" w:rsidP="00A61E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61E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Craigavon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EAC" w:rsidRPr="00A61EAC" w:rsidRDefault="00A61EAC" w:rsidP="00A61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1EAC">
              <w:rPr>
                <w:rFonts w:ascii="Calibri" w:eastAsia="Times New Roman" w:hAnsi="Calibri" w:cs="Calibri"/>
                <w:color w:val="000000"/>
                <w:lang w:eastAsia="en-GB"/>
              </w:rPr>
              <w:t>6.3%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EAC" w:rsidRPr="00A61EAC" w:rsidRDefault="00A61EAC" w:rsidP="00A61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1EAC">
              <w:rPr>
                <w:rFonts w:ascii="Calibri" w:eastAsia="Times New Roman" w:hAnsi="Calibri" w:cs="Calibri"/>
                <w:color w:val="000000"/>
                <w:lang w:eastAsia="en-GB"/>
              </w:rPr>
              <w:t>10.5%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EAC" w:rsidRPr="00A61EAC" w:rsidRDefault="00A61EAC" w:rsidP="00A61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1EAC">
              <w:rPr>
                <w:rFonts w:ascii="Calibri" w:eastAsia="Times New Roman" w:hAnsi="Calibri" w:cs="Calibri"/>
                <w:color w:val="000000"/>
                <w:lang w:eastAsia="en-GB"/>
              </w:rPr>
              <w:t>5.4%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EAC" w:rsidRPr="00A61EAC" w:rsidRDefault="00A61EAC" w:rsidP="00A61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1EAC">
              <w:rPr>
                <w:rFonts w:ascii="Calibri" w:eastAsia="Times New Roman" w:hAnsi="Calibri" w:cs="Calibri"/>
                <w:color w:val="000000"/>
                <w:lang w:eastAsia="en-GB"/>
              </w:rPr>
              <w:t>5.9%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EAC" w:rsidRPr="00A61EAC" w:rsidRDefault="00A61EAC" w:rsidP="00A61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1EAC">
              <w:rPr>
                <w:rFonts w:ascii="Calibri" w:eastAsia="Times New Roman" w:hAnsi="Calibri" w:cs="Calibri"/>
                <w:color w:val="000000"/>
                <w:lang w:eastAsia="en-GB"/>
              </w:rPr>
              <w:t>8.7%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EAC" w:rsidRPr="00A61EAC" w:rsidRDefault="00A61EAC" w:rsidP="00A61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1EAC">
              <w:rPr>
                <w:rFonts w:ascii="Calibri" w:eastAsia="Times New Roman" w:hAnsi="Calibri" w:cs="Calibri"/>
                <w:color w:val="000000"/>
                <w:lang w:eastAsia="en-GB"/>
              </w:rPr>
              <w:t>10.0%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EAC" w:rsidRPr="00A61EAC" w:rsidRDefault="00A61EAC" w:rsidP="00A61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1EAC">
              <w:rPr>
                <w:rFonts w:ascii="Calibri" w:eastAsia="Times New Roman" w:hAnsi="Calibri" w:cs="Calibri"/>
                <w:color w:val="000000"/>
                <w:lang w:eastAsia="en-GB"/>
              </w:rPr>
              <w:t>8.9%</w:t>
            </w:r>
          </w:p>
        </w:tc>
      </w:tr>
      <w:tr w:rsidR="00A61EAC" w:rsidRPr="00A61EAC" w:rsidTr="00A61EAC">
        <w:trPr>
          <w:trHeight w:val="31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1EAC" w:rsidRPr="00A61EAC" w:rsidRDefault="00A61EAC" w:rsidP="00A61E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A61E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Dromore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EAC" w:rsidRPr="00A61EAC" w:rsidRDefault="00A61EAC" w:rsidP="00A61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1EAC">
              <w:rPr>
                <w:rFonts w:ascii="Calibri" w:eastAsia="Times New Roman" w:hAnsi="Calibri" w:cs="Calibri"/>
                <w:color w:val="000000"/>
                <w:lang w:eastAsia="en-GB"/>
              </w:rPr>
              <w:t>30.2%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EAC" w:rsidRPr="00A61EAC" w:rsidRDefault="00A61EAC" w:rsidP="00A61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1EAC">
              <w:rPr>
                <w:rFonts w:ascii="Calibri" w:eastAsia="Times New Roman" w:hAnsi="Calibri" w:cs="Calibri"/>
                <w:color w:val="000000"/>
                <w:lang w:eastAsia="en-GB"/>
              </w:rPr>
              <w:t>29.5%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EAC" w:rsidRPr="00A61EAC" w:rsidRDefault="00A61EAC" w:rsidP="00A61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1EAC">
              <w:rPr>
                <w:rFonts w:ascii="Calibri" w:eastAsia="Times New Roman" w:hAnsi="Calibri" w:cs="Calibri"/>
                <w:color w:val="000000"/>
                <w:lang w:eastAsia="en-GB"/>
              </w:rPr>
              <w:t>29.1%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EAC" w:rsidRPr="00A61EAC" w:rsidRDefault="00A61EAC" w:rsidP="00A61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1EAC">
              <w:rPr>
                <w:rFonts w:ascii="Calibri" w:eastAsia="Times New Roman" w:hAnsi="Calibri" w:cs="Calibri"/>
                <w:color w:val="000000"/>
                <w:lang w:eastAsia="en-GB"/>
              </w:rPr>
              <w:t>28.0%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EAC" w:rsidRPr="00A61EAC" w:rsidRDefault="00A61EAC" w:rsidP="00A61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1EAC">
              <w:rPr>
                <w:rFonts w:ascii="Calibri" w:eastAsia="Times New Roman" w:hAnsi="Calibri" w:cs="Calibri"/>
                <w:color w:val="000000"/>
                <w:lang w:eastAsia="en-GB"/>
              </w:rPr>
              <w:t>27.4%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EAC" w:rsidRPr="00A61EAC" w:rsidRDefault="00A61EAC" w:rsidP="00A61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1EAC">
              <w:rPr>
                <w:rFonts w:ascii="Calibri" w:eastAsia="Times New Roman" w:hAnsi="Calibri" w:cs="Calibri"/>
                <w:color w:val="000000"/>
                <w:lang w:eastAsia="en-GB"/>
              </w:rPr>
              <w:t>27.1%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EAC" w:rsidRPr="00A61EAC" w:rsidRDefault="00A61EAC" w:rsidP="00A61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1EAC">
              <w:rPr>
                <w:rFonts w:ascii="Calibri" w:eastAsia="Times New Roman" w:hAnsi="Calibri" w:cs="Calibri"/>
                <w:color w:val="000000"/>
                <w:lang w:eastAsia="en-GB"/>
              </w:rPr>
              <w:t>25.4%</w:t>
            </w:r>
          </w:p>
        </w:tc>
      </w:tr>
      <w:tr w:rsidR="00A61EAC" w:rsidRPr="00A61EAC" w:rsidTr="00A61EAC">
        <w:trPr>
          <w:trHeight w:val="31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1EAC" w:rsidRPr="00A61EAC" w:rsidRDefault="00A61EAC" w:rsidP="00A61E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A61E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Lurgan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EAC" w:rsidRPr="00A61EAC" w:rsidRDefault="00A61EAC" w:rsidP="00A61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1EAC">
              <w:rPr>
                <w:rFonts w:ascii="Calibri" w:eastAsia="Times New Roman" w:hAnsi="Calibri" w:cs="Calibri"/>
                <w:color w:val="000000"/>
                <w:lang w:eastAsia="en-GB"/>
              </w:rPr>
              <w:t>25.5%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EAC" w:rsidRPr="00A61EAC" w:rsidRDefault="00A61EAC" w:rsidP="00A61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1EAC">
              <w:rPr>
                <w:rFonts w:ascii="Calibri" w:eastAsia="Times New Roman" w:hAnsi="Calibri" w:cs="Calibri"/>
                <w:color w:val="000000"/>
                <w:lang w:eastAsia="en-GB"/>
              </w:rPr>
              <w:t>24.2%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EAC" w:rsidRPr="00A61EAC" w:rsidRDefault="00A61EAC" w:rsidP="00A61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1EAC">
              <w:rPr>
                <w:rFonts w:ascii="Calibri" w:eastAsia="Times New Roman" w:hAnsi="Calibri" w:cs="Calibri"/>
                <w:color w:val="000000"/>
                <w:lang w:eastAsia="en-GB"/>
              </w:rPr>
              <w:t>25.3%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EAC" w:rsidRPr="00A61EAC" w:rsidRDefault="00A61EAC" w:rsidP="00A61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1EAC">
              <w:rPr>
                <w:rFonts w:ascii="Calibri" w:eastAsia="Times New Roman" w:hAnsi="Calibri" w:cs="Calibri"/>
                <w:color w:val="000000"/>
                <w:lang w:eastAsia="en-GB"/>
              </w:rPr>
              <w:t>26.0%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EAC" w:rsidRPr="00A61EAC" w:rsidRDefault="00A61EAC" w:rsidP="00A61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1EAC">
              <w:rPr>
                <w:rFonts w:ascii="Calibri" w:eastAsia="Times New Roman" w:hAnsi="Calibri" w:cs="Calibri"/>
                <w:color w:val="000000"/>
                <w:lang w:eastAsia="en-GB"/>
              </w:rPr>
              <w:t>23.0%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EAC" w:rsidRPr="00A61EAC" w:rsidRDefault="00A61EAC" w:rsidP="00A61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1EAC">
              <w:rPr>
                <w:rFonts w:ascii="Calibri" w:eastAsia="Times New Roman" w:hAnsi="Calibri" w:cs="Calibri"/>
                <w:color w:val="000000"/>
                <w:lang w:eastAsia="en-GB"/>
              </w:rPr>
              <w:t>22.5%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EAC" w:rsidRPr="00A61EAC" w:rsidRDefault="00A61EAC" w:rsidP="00A61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1EAC">
              <w:rPr>
                <w:rFonts w:ascii="Calibri" w:eastAsia="Times New Roman" w:hAnsi="Calibri" w:cs="Calibri"/>
                <w:color w:val="000000"/>
                <w:lang w:eastAsia="en-GB"/>
              </w:rPr>
              <w:t>22.1%</w:t>
            </w:r>
          </w:p>
        </w:tc>
      </w:tr>
      <w:tr w:rsidR="00A61EAC" w:rsidRPr="00A61EAC" w:rsidTr="00A61EAC">
        <w:trPr>
          <w:trHeight w:val="31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1EAC" w:rsidRPr="00A61EAC" w:rsidRDefault="00A61EAC" w:rsidP="00A61E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A61E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Portadown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EAC" w:rsidRPr="00A61EAC" w:rsidRDefault="00A61EAC" w:rsidP="00A61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1EAC">
              <w:rPr>
                <w:rFonts w:ascii="Calibri" w:eastAsia="Times New Roman" w:hAnsi="Calibri" w:cs="Calibri"/>
                <w:color w:val="000000"/>
                <w:lang w:eastAsia="en-GB"/>
              </w:rPr>
              <w:t>27.8%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EAC" w:rsidRPr="00A61EAC" w:rsidRDefault="00A61EAC" w:rsidP="00A61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1EAC">
              <w:rPr>
                <w:rFonts w:ascii="Calibri" w:eastAsia="Times New Roman" w:hAnsi="Calibri" w:cs="Calibri"/>
                <w:color w:val="000000"/>
                <w:lang w:eastAsia="en-GB"/>
              </w:rPr>
              <w:t>25.6%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EAC" w:rsidRPr="00A61EAC" w:rsidRDefault="00A61EAC" w:rsidP="00A61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1EAC">
              <w:rPr>
                <w:rFonts w:ascii="Calibri" w:eastAsia="Times New Roman" w:hAnsi="Calibri" w:cs="Calibri"/>
                <w:color w:val="000000"/>
                <w:lang w:eastAsia="en-GB"/>
              </w:rPr>
              <w:t>25.7%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EAC" w:rsidRPr="00A61EAC" w:rsidRDefault="00A61EAC" w:rsidP="00A61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1EAC">
              <w:rPr>
                <w:rFonts w:ascii="Calibri" w:eastAsia="Times New Roman" w:hAnsi="Calibri" w:cs="Calibri"/>
                <w:color w:val="000000"/>
                <w:lang w:eastAsia="en-GB"/>
              </w:rPr>
              <w:t>25.7%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EAC" w:rsidRPr="00A61EAC" w:rsidRDefault="00A61EAC" w:rsidP="00A61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1EAC">
              <w:rPr>
                <w:rFonts w:ascii="Calibri" w:eastAsia="Times New Roman" w:hAnsi="Calibri" w:cs="Calibri"/>
                <w:color w:val="000000"/>
                <w:lang w:eastAsia="en-GB"/>
              </w:rPr>
              <w:t>22.3%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EAC" w:rsidRPr="00A61EAC" w:rsidRDefault="00A61EAC" w:rsidP="00A61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1EAC">
              <w:rPr>
                <w:rFonts w:ascii="Calibri" w:eastAsia="Times New Roman" w:hAnsi="Calibri" w:cs="Calibri"/>
                <w:color w:val="000000"/>
                <w:lang w:eastAsia="en-GB"/>
              </w:rPr>
              <w:t>21.7%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EAC" w:rsidRPr="00A61EAC" w:rsidRDefault="00A61EAC" w:rsidP="00A61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1EAC">
              <w:rPr>
                <w:rFonts w:ascii="Calibri" w:eastAsia="Times New Roman" w:hAnsi="Calibri" w:cs="Calibri"/>
                <w:color w:val="000000"/>
                <w:lang w:eastAsia="en-GB"/>
              </w:rPr>
              <w:t>21.1%</w:t>
            </w:r>
          </w:p>
        </w:tc>
      </w:tr>
      <w:tr w:rsidR="00A61EAC" w:rsidRPr="00A61EAC" w:rsidTr="00A61EAC">
        <w:trPr>
          <w:trHeight w:val="31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1EAC" w:rsidRPr="00A61EAC" w:rsidRDefault="00A61EAC" w:rsidP="00A61E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61E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Northern Ireland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EAC" w:rsidRPr="00A61EAC" w:rsidRDefault="00A61EAC" w:rsidP="00A61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1EAC">
              <w:rPr>
                <w:rFonts w:ascii="Calibri" w:eastAsia="Times New Roman" w:hAnsi="Calibri" w:cs="Calibri"/>
                <w:color w:val="000000"/>
                <w:lang w:eastAsia="en-GB"/>
              </w:rPr>
              <w:t>24.8%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EAC" w:rsidRPr="00A61EAC" w:rsidRDefault="00A61EAC" w:rsidP="00A61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1EAC">
              <w:rPr>
                <w:rFonts w:ascii="Calibri" w:eastAsia="Times New Roman" w:hAnsi="Calibri" w:cs="Calibri"/>
                <w:color w:val="000000"/>
                <w:lang w:eastAsia="en-GB"/>
              </w:rPr>
              <w:t>24.2%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EAC" w:rsidRPr="00A61EAC" w:rsidRDefault="00A61EAC" w:rsidP="00A61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1EAC">
              <w:rPr>
                <w:rFonts w:ascii="Calibri" w:eastAsia="Times New Roman" w:hAnsi="Calibri" w:cs="Calibri"/>
                <w:color w:val="000000"/>
                <w:lang w:eastAsia="en-GB"/>
              </w:rPr>
              <w:t>25.3%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EAC" w:rsidRPr="00A61EAC" w:rsidRDefault="00A61EAC" w:rsidP="00A61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1EAC">
              <w:rPr>
                <w:rFonts w:ascii="Calibri" w:eastAsia="Times New Roman" w:hAnsi="Calibri" w:cs="Calibri"/>
                <w:color w:val="000000"/>
                <w:lang w:eastAsia="en-GB"/>
              </w:rPr>
              <w:t>25.0%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EAC" w:rsidRPr="00A61EAC" w:rsidRDefault="00A61EAC" w:rsidP="00A61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1EAC">
              <w:rPr>
                <w:rFonts w:ascii="Calibri" w:eastAsia="Times New Roman" w:hAnsi="Calibri" w:cs="Calibri"/>
                <w:color w:val="000000"/>
                <w:lang w:eastAsia="en-GB"/>
              </w:rPr>
              <w:t>24.1%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EAC" w:rsidRPr="00A61EAC" w:rsidRDefault="00A61EAC" w:rsidP="00A61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1EAC">
              <w:rPr>
                <w:rFonts w:ascii="Calibri" w:eastAsia="Times New Roman" w:hAnsi="Calibri" w:cs="Calibri"/>
                <w:color w:val="000000"/>
                <w:lang w:eastAsia="en-GB"/>
              </w:rPr>
              <w:t>24.3%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EAC" w:rsidRPr="00A61EAC" w:rsidRDefault="00A61EAC" w:rsidP="00A61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1EAC">
              <w:rPr>
                <w:rFonts w:ascii="Calibri" w:eastAsia="Times New Roman" w:hAnsi="Calibri" w:cs="Calibri"/>
                <w:color w:val="000000"/>
                <w:lang w:eastAsia="en-GB"/>
              </w:rPr>
              <w:t>23.7%</w:t>
            </w:r>
          </w:p>
        </w:tc>
      </w:tr>
    </w:tbl>
    <w:p w:rsidR="005C2415" w:rsidRDefault="005C2415" w:rsidP="005C2415">
      <w:pPr>
        <w:rPr>
          <w:i/>
          <w:sz w:val="20"/>
          <w:szCs w:val="20"/>
        </w:rPr>
      </w:pPr>
      <w:r>
        <w:rPr>
          <w:i/>
          <w:sz w:val="20"/>
          <w:szCs w:val="20"/>
        </w:rPr>
        <w:t>Table 2: City/town centre non-domestic property vacancy rates between 30</w:t>
      </w:r>
      <w:r w:rsidRPr="00C51627">
        <w:rPr>
          <w:i/>
          <w:sz w:val="20"/>
          <w:szCs w:val="20"/>
          <w:vertAlign w:val="superscript"/>
        </w:rPr>
        <w:t>th</w:t>
      </w:r>
      <w:r>
        <w:rPr>
          <w:i/>
          <w:sz w:val="20"/>
          <w:szCs w:val="20"/>
        </w:rPr>
        <w:t xml:space="preserve"> April 2016 and 30</w:t>
      </w:r>
      <w:r w:rsidRPr="005C2415">
        <w:rPr>
          <w:i/>
          <w:sz w:val="20"/>
          <w:szCs w:val="20"/>
          <w:vertAlign w:val="superscript"/>
        </w:rPr>
        <w:t>th</w:t>
      </w:r>
      <w:r w:rsidR="00A61EAC">
        <w:rPr>
          <w:i/>
          <w:sz w:val="20"/>
          <w:szCs w:val="20"/>
        </w:rPr>
        <w:t xml:space="preserve"> April 2022</w:t>
      </w:r>
      <w:r w:rsidRPr="002A2185">
        <w:rPr>
          <w:i/>
          <w:sz w:val="20"/>
          <w:szCs w:val="20"/>
        </w:rPr>
        <w:t>. Source:</w:t>
      </w:r>
      <w:r>
        <w:rPr>
          <w:i/>
          <w:sz w:val="20"/>
          <w:szCs w:val="20"/>
        </w:rPr>
        <w:t xml:space="preserve"> Land and Property Services via Town Centre Database, Department for Communities</w:t>
      </w:r>
      <w:r w:rsidRPr="002A2185">
        <w:rPr>
          <w:i/>
          <w:sz w:val="20"/>
          <w:szCs w:val="20"/>
        </w:rPr>
        <w:t>.</w:t>
      </w:r>
      <w:r>
        <w:rPr>
          <w:i/>
          <w:sz w:val="20"/>
          <w:szCs w:val="20"/>
        </w:rPr>
        <w:t xml:space="preserve"> </w:t>
      </w:r>
    </w:p>
    <w:p w:rsidR="004172DA" w:rsidRDefault="004172DA" w:rsidP="00956354"/>
    <w:p w:rsidR="00C51627" w:rsidRDefault="00C51627" w:rsidP="00956354">
      <w:r>
        <w:t xml:space="preserve">Of the 41 towns and cities contained within the Town Centre </w:t>
      </w:r>
      <w:r w:rsidR="00936C9E">
        <w:t xml:space="preserve">Database, </w:t>
      </w:r>
      <w:proofErr w:type="spellStart"/>
      <w:r w:rsidR="00936C9E">
        <w:t>Dromore</w:t>
      </w:r>
      <w:proofErr w:type="spellEnd"/>
      <w:r w:rsidR="00936C9E">
        <w:t xml:space="preserve"> has the fourth </w:t>
      </w:r>
      <w:r>
        <w:t>highest</w:t>
      </w:r>
      <w:r w:rsidR="00AA2364">
        <w:t xml:space="preserve"> non-domestic property vacancy rate</w:t>
      </w:r>
      <w:r>
        <w:t xml:space="preserve">. </w:t>
      </w:r>
      <w:r w:rsidR="00B445E3">
        <w:t xml:space="preserve"> </w:t>
      </w:r>
      <w:proofErr w:type="spellStart"/>
      <w:r w:rsidR="00807126">
        <w:t>Lurgan</w:t>
      </w:r>
      <w:proofErr w:type="spellEnd"/>
      <w:r w:rsidR="00807126">
        <w:t xml:space="preserve">, Armagh </w:t>
      </w:r>
      <w:r w:rsidR="00AA2364">
        <w:t xml:space="preserve">and </w:t>
      </w:r>
      <w:proofErr w:type="spellStart"/>
      <w:r w:rsidR="00936C9E">
        <w:t>Portadown</w:t>
      </w:r>
      <w:proofErr w:type="spellEnd"/>
      <w:r w:rsidR="00936C9E">
        <w:t xml:space="preserve"> are ranked </w:t>
      </w:r>
      <w:r w:rsidR="00B445E3">
        <w:t xml:space="preserve">eleventh, </w:t>
      </w:r>
      <w:r w:rsidR="00807126">
        <w:t>sixteenth</w:t>
      </w:r>
      <w:r w:rsidR="00936C9E">
        <w:t xml:space="preserve"> and </w:t>
      </w:r>
      <w:r w:rsidR="00807126">
        <w:t>seven</w:t>
      </w:r>
      <w:r w:rsidR="00936C9E">
        <w:t>teenth respectively</w:t>
      </w:r>
      <w:r w:rsidR="00AA2364">
        <w:t>. Craigavon has the</w:t>
      </w:r>
      <w:r w:rsidR="00936C9E">
        <w:t xml:space="preserve"> second</w:t>
      </w:r>
      <w:r w:rsidR="00AA2364">
        <w:t xml:space="preserve"> lowest vacancy rate of the 41 towns and cities.</w:t>
      </w:r>
    </w:p>
    <w:p w:rsidR="00C51627" w:rsidRDefault="00807126" w:rsidP="00956354">
      <w:r>
        <w:rPr>
          <w:noProof/>
          <w:lang w:eastAsia="en-GB"/>
        </w:rPr>
        <w:drawing>
          <wp:inline distT="0" distB="0" distL="0" distR="0" wp14:anchorId="5EFE5926" wp14:editId="2C10A5B9">
            <wp:extent cx="6048375" cy="3248025"/>
            <wp:effectExtent l="0" t="0" r="9525" b="9525"/>
            <wp:docPr id="1" name="Chart 1" title="city/town cente non-domestic property vacancy rates as at 30th April 20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A2364" w:rsidRPr="00AA2364" w:rsidRDefault="00C07F07" w:rsidP="00AA2364">
      <w:r>
        <w:rPr>
          <w:i/>
          <w:sz w:val="20"/>
          <w:szCs w:val="20"/>
        </w:rPr>
        <w:t xml:space="preserve">Figure 2: </w:t>
      </w:r>
      <w:r w:rsidR="00AA2364">
        <w:rPr>
          <w:i/>
          <w:sz w:val="20"/>
          <w:szCs w:val="20"/>
        </w:rPr>
        <w:t>City/town centre non-domestic</w:t>
      </w:r>
      <w:r w:rsidR="007D43A5">
        <w:rPr>
          <w:i/>
          <w:sz w:val="20"/>
          <w:szCs w:val="20"/>
        </w:rPr>
        <w:t xml:space="preserve"> property vacancy rates as at </w:t>
      </w:r>
      <w:r w:rsidR="005C2415">
        <w:rPr>
          <w:i/>
          <w:sz w:val="20"/>
          <w:szCs w:val="20"/>
        </w:rPr>
        <w:t>30</w:t>
      </w:r>
      <w:r w:rsidR="005C2415" w:rsidRPr="005C2415">
        <w:rPr>
          <w:i/>
          <w:sz w:val="20"/>
          <w:szCs w:val="20"/>
          <w:vertAlign w:val="superscript"/>
        </w:rPr>
        <w:t>th</w:t>
      </w:r>
      <w:r w:rsidR="00807126">
        <w:rPr>
          <w:i/>
          <w:sz w:val="20"/>
          <w:szCs w:val="20"/>
        </w:rPr>
        <w:t xml:space="preserve"> April 2022</w:t>
      </w:r>
      <w:r w:rsidR="00AA2364" w:rsidRPr="002A2185">
        <w:rPr>
          <w:i/>
          <w:sz w:val="20"/>
          <w:szCs w:val="20"/>
        </w:rPr>
        <w:t>. Source:</w:t>
      </w:r>
      <w:r w:rsidR="00AA2364">
        <w:rPr>
          <w:i/>
          <w:sz w:val="20"/>
          <w:szCs w:val="20"/>
        </w:rPr>
        <w:t xml:space="preserve"> Land and Property Services via Town Centre Database, Department for Communities</w:t>
      </w:r>
      <w:r w:rsidR="00AA2364" w:rsidRPr="002A2185">
        <w:rPr>
          <w:i/>
          <w:sz w:val="20"/>
          <w:szCs w:val="20"/>
        </w:rPr>
        <w:t>.</w:t>
      </w:r>
      <w:r w:rsidR="00AA2364">
        <w:rPr>
          <w:i/>
          <w:sz w:val="20"/>
          <w:szCs w:val="20"/>
        </w:rPr>
        <w:t xml:space="preserve"> </w:t>
      </w:r>
    </w:p>
    <w:p w:rsidR="00AA2364" w:rsidRDefault="00AA2364" w:rsidP="00956354">
      <w:r>
        <w:t>Further information on town centre vacancy rates can be found via the following link:</w:t>
      </w:r>
    </w:p>
    <w:p w:rsidR="00C51627" w:rsidRPr="00956354" w:rsidRDefault="00FF5A1C" w:rsidP="00956354">
      <w:hyperlink r:id="rId8" w:history="1">
        <w:r w:rsidR="00AA2364">
          <w:rPr>
            <w:rStyle w:val="Hyperlink"/>
          </w:rPr>
          <w:t>https://www.communities-ni.gov.uk/publications/town-centre-database</w:t>
        </w:r>
      </w:hyperlink>
    </w:p>
    <w:sectPr w:rsidR="00C51627" w:rsidRPr="00956354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F07" w:rsidRDefault="00C07F07" w:rsidP="00C07F07">
      <w:pPr>
        <w:spacing w:after="0" w:line="240" w:lineRule="auto"/>
      </w:pPr>
      <w:r>
        <w:separator/>
      </w:r>
    </w:p>
  </w:endnote>
  <w:endnote w:type="continuationSeparator" w:id="0">
    <w:p w:rsidR="00C07F07" w:rsidRDefault="00C07F07" w:rsidP="00C07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13154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07F07" w:rsidRDefault="00C07F0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5A1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07F07" w:rsidRDefault="00C07F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F07" w:rsidRDefault="00C07F07" w:rsidP="00C07F07">
      <w:pPr>
        <w:spacing w:after="0" w:line="240" w:lineRule="auto"/>
      </w:pPr>
      <w:r>
        <w:separator/>
      </w:r>
    </w:p>
  </w:footnote>
  <w:footnote w:type="continuationSeparator" w:id="0">
    <w:p w:rsidR="00C07F07" w:rsidRDefault="00C07F07" w:rsidP="00C07F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756"/>
    <w:rsid w:val="00095AEC"/>
    <w:rsid w:val="0011217B"/>
    <w:rsid w:val="00163756"/>
    <w:rsid w:val="0027097C"/>
    <w:rsid w:val="0035789F"/>
    <w:rsid w:val="004137D6"/>
    <w:rsid w:val="004172DA"/>
    <w:rsid w:val="004239CA"/>
    <w:rsid w:val="00595145"/>
    <w:rsid w:val="005A6B8B"/>
    <w:rsid w:val="005C2415"/>
    <w:rsid w:val="007D43A5"/>
    <w:rsid w:val="00807126"/>
    <w:rsid w:val="00936C9E"/>
    <w:rsid w:val="00956354"/>
    <w:rsid w:val="00A02E53"/>
    <w:rsid w:val="00A61EAC"/>
    <w:rsid w:val="00AA2364"/>
    <w:rsid w:val="00AB0D40"/>
    <w:rsid w:val="00AF041A"/>
    <w:rsid w:val="00B445E3"/>
    <w:rsid w:val="00C07F07"/>
    <w:rsid w:val="00C51627"/>
    <w:rsid w:val="00D11E50"/>
    <w:rsid w:val="00D71F6B"/>
    <w:rsid w:val="00F2398A"/>
    <w:rsid w:val="00FD1406"/>
    <w:rsid w:val="00FF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F024B"/>
  <w15:chartTrackingRefBased/>
  <w15:docId w15:val="{02E1B8DA-A8E0-42A4-A4F1-3F0DD5E45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7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A236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7F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F07"/>
  </w:style>
  <w:style w:type="paragraph" w:styleId="Footer">
    <w:name w:val="footer"/>
    <w:basedOn w:val="Normal"/>
    <w:link w:val="FooterChar"/>
    <w:uiPriority w:val="99"/>
    <w:unhideWhenUsed/>
    <w:rsid w:val="00C07F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F07"/>
  </w:style>
  <w:style w:type="character" w:styleId="FollowedHyperlink">
    <w:name w:val="FollowedHyperlink"/>
    <w:basedOn w:val="DefaultParagraphFont"/>
    <w:uiPriority w:val="99"/>
    <w:semiHidden/>
    <w:unhideWhenUsed/>
    <w:rsid w:val="0011217B"/>
    <w:rPr>
      <w:color w:val="954F72" w:themeColor="followedHyperlink"/>
      <w:u w:val="single"/>
    </w:rPr>
  </w:style>
  <w:style w:type="table" w:styleId="GridTable1Light">
    <w:name w:val="Grid Table 1 Light"/>
    <w:basedOn w:val="TableNormal"/>
    <w:uiPriority w:val="46"/>
    <w:rsid w:val="00D71F6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1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munities-ni.gov.uk/publications/town-centre-database" TargetMode="Externa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Sheet3!$J$52</c:f>
              <c:strCache>
                <c:ptCount val="1"/>
                <c:pt idx="0">
                  <c:v>% of Vancant Properties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Sheet3!$I$53:$I$58</c:f>
              <c:strCache>
                <c:ptCount val="6"/>
                <c:pt idx="0">
                  <c:v>Dromore</c:v>
                </c:pt>
                <c:pt idx="1">
                  <c:v>Lurgan</c:v>
                </c:pt>
                <c:pt idx="2">
                  <c:v>Armagh</c:v>
                </c:pt>
                <c:pt idx="3">
                  <c:v>Portadown</c:v>
                </c:pt>
                <c:pt idx="4">
                  <c:v>Banbridge</c:v>
                </c:pt>
                <c:pt idx="5">
                  <c:v>Craigavon</c:v>
                </c:pt>
              </c:strCache>
            </c:strRef>
          </c:cat>
          <c:val>
            <c:numRef>
              <c:f>Sheet3!$J$53:$J$58</c:f>
              <c:numCache>
                <c:formatCode>General</c:formatCode>
                <c:ptCount val="6"/>
                <c:pt idx="0">
                  <c:v>25.4</c:v>
                </c:pt>
                <c:pt idx="1">
                  <c:v>22.1</c:v>
                </c:pt>
                <c:pt idx="2">
                  <c:v>21.2</c:v>
                </c:pt>
                <c:pt idx="3">
                  <c:v>21.1</c:v>
                </c:pt>
                <c:pt idx="4">
                  <c:v>16</c:v>
                </c:pt>
                <c:pt idx="5">
                  <c:v>8.9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01A-40B0-B2CA-95DA4F5198D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7"/>
        <c:axId val="371220080"/>
        <c:axId val="371221744"/>
      </c:barChart>
      <c:catAx>
        <c:axId val="3712200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71221744"/>
        <c:crosses val="autoZero"/>
        <c:auto val="1"/>
        <c:lblAlgn val="ctr"/>
        <c:lblOffset val="100"/>
        <c:noMultiLvlLbl val="0"/>
      </c:catAx>
      <c:valAx>
        <c:axId val="371221744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712200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Sheet2!$I$8</c:f>
              <c:strCache>
                <c:ptCount val="1"/>
                <c:pt idx="0">
                  <c:v>% of Vacant Properties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3"/>
            <c:invertIfNegative val="0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CD4F-4B0F-A6D4-68864BE31AC2}"/>
              </c:ext>
            </c:extLst>
          </c:dPt>
          <c:dPt>
            <c:idx val="10"/>
            <c:invertIfNegative val="0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CD4F-4B0F-A6D4-68864BE31AC2}"/>
              </c:ext>
            </c:extLst>
          </c:dPt>
          <c:dPt>
            <c:idx val="15"/>
            <c:invertIfNegative val="0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CD4F-4B0F-A6D4-68864BE31AC2}"/>
              </c:ext>
            </c:extLst>
          </c:dPt>
          <c:dPt>
            <c:idx val="16"/>
            <c:invertIfNegative val="0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CD4F-4B0F-A6D4-68864BE31AC2}"/>
              </c:ext>
            </c:extLst>
          </c:dPt>
          <c:dPt>
            <c:idx val="31"/>
            <c:invertIfNegative val="0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CD4F-4B0F-A6D4-68864BE31AC2}"/>
              </c:ext>
            </c:extLst>
          </c:dPt>
          <c:dPt>
            <c:idx val="39"/>
            <c:invertIfNegative val="0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B-CD4F-4B0F-A6D4-68864BE31AC2}"/>
              </c:ext>
            </c:extLst>
          </c:dPt>
          <c:cat>
            <c:strRef>
              <c:f>Sheet2!$H$9:$H$49</c:f>
              <c:strCache>
                <c:ptCount val="41"/>
                <c:pt idx="0">
                  <c:v>BELFAST CITY</c:v>
                </c:pt>
                <c:pt idx="1">
                  <c:v>RANDALSTOWN</c:v>
                </c:pt>
                <c:pt idx="2">
                  <c:v>COALISLAND</c:v>
                </c:pt>
                <c:pt idx="3">
                  <c:v>DROMORE</c:v>
                </c:pt>
                <c:pt idx="4">
                  <c:v>COLERAINE</c:v>
                </c:pt>
                <c:pt idx="5">
                  <c:v>STRABANE</c:v>
                </c:pt>
                <c:pt idx="6">
                  <c:v>BANGOR</c:v>
                </c:pt>
                <c:pt idx="7">
                  <c:v>LARNE</c:v>
                </c:pt>
                <c:pt idx="8">
                  <c:v>KILKEEL</c:v>
                </c:pt>
                <c:pt idx="9">
                  <c:v>ANTRIM</c:v>
                </c:pt>
                <c:pt idx="10">
                  <c:v>LURGAN</c:v>
                </c:pt>
                <c:pt idx="11">
                  <c:v>BALLYMENA</c:v>
                </c:pt>
                <c:pt idx="12">
                  <c:v>BALLYNAHINCH</c:v>
                </c:pt>
                <c:pt idx="13">
                  <c:v>DUNGANNON</c:v>
                </c:pt>
                <c:pt idx="14">
                  <c:v>DERRY</c:v>
                </c:pt>
                <c:pt idx="15">
                  <c:v>ARMAGH</c:v>
                </c:pt>
                <c:pt idx="16">
                  <c:v>PORTADOWN</c:v>
                </c:pt>
                <c:pt idx="17">
                  <c:v>ENNISKILLEN</c:v>
                </c:pt>
                <c:pt idx="18">
                  <c:v>BALLYCASTLE</c:v>
                </c:pt>
                <c:pt idx="19">
                  <c:v>OMAGH</c:v>
                </c:pt>
                <c:pt idx="20">
                  <c:v>NEWRY</c:v>
                </c:pt>
                <c:pt idx="21">
                  <c:v>DOWNPATRICK</c:v>
                </c:pt>
                <c:pt idx="22">
                  <c:v>COOKSTOWN</c:v>
                </c:pt>
                <c:pt idx="23">
                  <c:v>BALLYMONEY</c:v>
                </c:pt>
                <c:pt idx="24">
                  <c:v>LISBURN CITY</c:v>
                </c:pt>
                <c:pt idx="25">
                  <c:v>NEWTOWNARDS</c:v>
                </c:pt>
                <c:pt idx="26">
                  <c:v>WARRENPOINT / BURREN</c:v>
                </c:pt>
                <c:pt idx="27">
                  <c:v>LIMAVADY</c:v>
                </c:pt>
                <c:pt idx="28">
                  <c:v>CARRICKFERGUS</c:v>
                </c:pt>
                <c:pt idx="29">
                  <c:v>DONAGHADEE</c:v>
                </c:pt>
                <c:pt idx="30">
                  <c:v>BALLYCLARE</c:v>
                </c:pt>
                <c:pt idx="31">
                  <c:v>BANBRIDGE</c:v>
                </c:pt>
                <c:pt idx="32">
                  <c:v>COMBER</c:v>
                </c:pt>
                <c:pt idx="33">
                  <c:v>PORTRUSH</c:v>
                </c:pt>
                <c:pt idx="34">
                  <c:v>CRUMLIN</c:v>
                </c:pt>
                <c:pt idx="35">
                  <c:v>MAGHERAFELT</c:v>
                </c:pt>
                <c:pt idx="36">
                  <c:v>HOLYWOOD</c:v>
                </c:pt>
                <c:pt idx="37">
                  <c:v>PORTSTEWART</c:v>
                </c:pt>
                <c:pt idx="38">
                  <c:v>NEWCASTLE</c:v>
                </c:pt>
                <c:pt idx="39">
                  <c:v>CRAIGAVON</c:v>
                </c:pt>
                <c:pt idx="40">
                  <c:v>CARRYDUFF</c:v>
                </c:pt>
              </c:strCache>
            </c:strRef>
          </c:cat>
          <c:val>
            <c:numRef>
              <c:f>Sheet2!$I$9:$I$49</c:f>
              <c:numCache>
                <c:formatCode>0.0%</c:formatCode>
                <c:ptCount val="41"/>
                <c:pt idx="0">
                  <c:v>0.34164859002169196</c:v>
                </c:pt>
                <c:pt idx="1">
                  <c:v>0.29365079365079366</c:v>
                </c:pt>
                <c:pt idx="2">
                  <c:v>0.28985507246376813</c:v>
                </c:pt>
                <c:pt idx="3">
                  <c:v>0.25423728813559321</c:v>
                </c:pt>
                <c:pt idx="4">
                  <c:v>0.25106990014265335</c:v>
                </c:pt>
                <c:pt idx="5">
                  <c:v>0.23641304347826086</c:v>
                </c:pt>
                <c:pt idx="6">
                  <c:v>0.22953216374269006</c:v>
                </c:pt>
                <c:pt idx="7">
                  <c:v>0.228643216080402</c:v>
                </c:pt>
                <c:pt idx="8">
                  <c:v>0.22727272727272727</c:v>
                </c:pt>
                <c:pt idx="9">
                  <c:v>0.22697368421052633</c:v>
                </c:pt>
                <c:pt idx="10">
                  <c:v>0.220703125</c:v>
                </c:pt>
                <c:pt idx="11">
                  <c:v>0.21954314720812182</c:v>
                </c:pt>
                <c:pt idx="12">
                  <c:v>0.21938775510204081</c:v>
                </c:pt>
                <c:pt idx="13">
                  <c:v>0.21881390593047034</c:v>
                </c:pt>
                <c:pt idx="14">
                  <c:v>0.21261682242990654</c:v>
                </c:pt>
                <c:pt idx="15">
                  <c:v>0.21195652173913043</c:v>
                </c:pt>
                <c:pt idx="16">
                  <c:v>0.21067821067821069</c:v>
                </c:pt>
                <c:pt idx="17">
                  <c:v>0.20950965824665677</c:v>
                </c:pt>
                <c:pt idx="18">
                  <c:v>0.20886075949367089</c:v>
                </c:pt>
                <c:pt idx="19">
                  <c:v>0.20260492040520983</c:v>
                </c:pt>
                <c:pt idx="20">
                  <c:v>0.20184426229508196</c:v>
                </c:pt>
                <c:pt idx="21">
                  <c:v>0.19732441471571907</c:v>
                </c:pt>
                <c:pt idx="22">
                  <c:v>0.19554455445544555</c:v>
                </c:pt>
                <c:pt idx="23">
                  <c:v>0.19230769230769232</c:v>
                </c:pt>
                <c:pt idx="24">
                  <c:v>0.18867924528301888</c:v>
                </c:pt>
                <c:pt idx="25">
                  <c:v>0.18301886792452829</c:v>
                </c:pt>
                <c:pt idx="26">
                  <c:v>0.17525773195876287</c:v>
                </c:pt>
                <c:pt idx="27">
                  <c:v>0.17301038062283736</c:v>
                </c:pt>
                <c:pt idx="28">
                  <c:v>0.16190476190476191</c:v>
                </c:pt>
                <c:pt idx="29">
                  <c:v>0.16101694915254236</c:v>
                </c:pt>
                <c:pt idx="30">
                  <c:v>0.16097560975609757</c:v>
                </c:pt>
                <c:pt idx="31">
                  <c:v>0.16027088036117382</c:v>
                </c:pt>
                <c:pt idx="32">
                  <c:v>0.15671641791044777</c:v>
                </c:pt>
                <c:pt idx="33">
                  <c:v>0.15555555555555556</c:v>
                </c:pt>
                <c:pt idx="34">
                  <c:v>0.14432989690721648</c:v>
                </c:pt>
                <c:pt idx="35">
                  <c:v>0.13381995133819952</c:v>
                </c:pt>
                <c:pt idx="36">
                  <c:v>0.13333333333333333</c:v>
                </c:pt>
                <c:pt idx="37">
                  <c:v>0.11538461538461539</c:v>
                </c:pt>
                <c:pt idx="38">
                  <c:v>0.10480349344978165</c:v>
                </c:pt>
                <c:pt idx="39">
                  <c:v>8.9108910891089105E-2</c:v>
                </c:pt>
                <c:pt idx="40">
                  <c:v>6.1224489795918366E-2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CD4F-4B0F-A6D4-68864BE31AC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76672912"/>
        <c:axId val="376670000"/>
      </c:barChart>
      <c:catAx>
        <c:axId val="3766729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76670000"/>
        <c:crosses val="autoZero"/>
        <c:auto val="1"/>
        <c:lblAlgn val="ctr"/>
        <c:lblOffset val="100"/>
        <c:tickLblSkip val="1"/>
        <c:noMultiLvlLbl val="0"/>
      </c:catAx>
      <c:valAx>
        <c:axId val="376670000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766729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Aileen Gordon</dc:creator>
  <cp:keywords/>
  <dc:description/>
  <cp:lastModifiedBy>Jessica Bennett</cp:lastModifiedBy>
  <cp:revision>7</cp:revision>
  <dcterms:created xsi:type="dcterms:W3CDTF">2022-07-06T14:21:00Z</dcterms:created>
  <dcterms:modified xsi:type="dcterms:W3CDTF">2022-07-06T14:52:00Z</dcterms:modified>
</cp:coreProperties>
</file>