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59" w:rsidRPr="006A7EB5" w:rsidRDefault="003F3042">
      <w:pPr>
        <w:rPr>
          <w:b/>
        </w:rPr>
      </w:pPr>
      <w:r w:rsidRPr="006A7EB5">
        <w:rPr>
          <w:b/>
        </w:rPr>
        <w:t>Residential Property</w:t>
      </w:r>
    </w:p>
    <w:p w:rsidR="00381E1E" w:rsidRPr="006A7EB5" w:rsidRDefault="008C3787">
      <w:r w:rsidRPr="006A7EB5">
        <w:t xml:space="preserve">The </w:t>
      </w:r>
      <w:r w:rsidR="003F3042" w:rsidRPr="006A7EB5">
        <w:t>Northern Ireland House Price Index</w:t>
      </w:r>
      <w:r w:rsidR="003F3042" w:rsidRPr="006A7EB5">
        <w:rPr>
          <w:rStyle w:val="FootnoteReference"/>
        </w:rPr>
        <w:footnoteReference w:id="1"/>
      </w:r>
      <w:r w:rsidR="003F3042" w:rsidRPr="006A7EB5">
        <w:t xml:space="preserve"> provides both a standardised price and property price index. The index reference period is Quarter 1 2015 which equals 100. This quarter is then used as a benchmark for other periods.</w:t>
      </w:r>
    </w:p>
    <w:p w:rsidR="00620D8C" w:rsidRPr="00042D0A" w:rsidRDefault="003C13E3">
      <w:r w:rsidRPr="00042D0A">
        <w:t xml:space="preserve">The standardised residential property price in Armagh City, </w:t>
      </w:r>
      <w:proofErr w:type="spellStart"/>
      <w:r w:rsidRPr="00042D0A">
        <w:t>Banbridge</w:t>
      </w:r>
      <w:proofErr w:type="spellEnd"/>
      <w:r w:rsidRPr="00042D0A">
        <w:t xml:space="preserve"> and Craigavon </w:t>
      </w:r>
      <w:r w:rsidR="00BA281D" w:rsidRPr="00042D0A">
        <w:t xml:space="preserve">Borough in quarter </w:t>
      </w:r>
      <w:r w:rsidR="004A38AC" w:rsidRPr="00042D0A">
        <w:t>one of 2022</w:t>
      </w:r>
      <w:r w:rsidR="00BA281D" w:rsidRPr="00042D0A">
        <w:t xml:space="preserve"> stood at £</w:t>
      </w:r>
      <w:r w:rsidR="004A38AC" w:rsidRPr="00042D0A">
        <w:t>146,577</w:t>
      </w:r>
      <w:r w:rsidRPr="00042D0A">
        <w:t xml:space="preserve">, </w:t>
      </w:r>
      <w:r w:rsidR="00042D0A" w:rsidRPr="00042D0A">
        <w:t>an increase of 4.7</w:t>
      </w:r>
      <w:r w:rsidR="00BA281D" w:rsidRPr="00042D0A">
        <w:t xml:space="preserve">% on quarter </w:t>
      </w:r>
      <w:r w:rsidR="00042D0A" w:rsidRPr="00042D0A">
        <w:t xml:space="preserve">four </w:t>
      </w:r>
      <w:r w:rsidR="005757B8" w:rsidRPr="00042D0A">
        <w:t>2021</w:t>
      </w:r>
      <w:r w:rsidR="00BA281D" w:rsidRPr="00042D0A">
        <w:t xml:space="preserve"> (£</w:t>
      </w:r>
      <w:r w:rsidR="00042D0A" w:rsidRPr="00042D0A">
        <w:t>139,998</w:t>
      </w:r>
      <w:r w:rsidRPr="00042D0A">
        <w:t>).</w:t>
      </w:r>
      <w:r w:rsidR="00BA281D" w:rsidRPr="00042D0A">
        <w:t xml:space="preserve"> </w:t>
      </w:r>
      <w:r w:rsidRPr="00042D0A">
        <w:t xml:space="preserve">The standardised residential property price in Northern Ireland overall </w:t>
      </w:r>
      <w:r w:rsidR="00BA281D" w:rsidRPr="00042D0A">
        <w:t xml:space="preserve">in quarter </w:t>
      </w:r>
      <w:r w:rsidR="00042D0A" w:rsidRPr="00042D0A">
        <w:t>one 2022</w:t>
      </w:r>
      <w:r w:rsidR="00BF4296" w:rsidRPr="00042D0A">
        <w:t xml:space="preserve"> </w:t>
      </w:r>
      <w:r w:rsidR="002A0E8C" w:rsidRPr="00042D0A">
        <w:t>(£</w:t>
      </w:r>
      <w:r w:rsidR="00042D0A" w:rsidRPr="00042D0A">
        <w:t>164,590</w:t>
      </w:r>
      <w:r w:rsidR="002A0E8C" w:rsidRPr="00042D0A">
        <w:t xml:space="preserve">) </w:t>
      </w:r>
      <w:r w:rsidRPr="00042D0A">
        <w:t xml:space="preserve">is </w:t>
      </w:r>
      <w:r w:rsidR="002A0E8C" w:rsidRPr="00042D0A">
        <w:t xml:space="preserve">an increase of </w:t>
      </w:r>
      <w:r w:rsidR="00042D0A" w:rsidRPr="00042D0A">
        <w:t>3.4</w:t>
      </w:r>
      <w:r w:rsidR="005757B8" w:rsidRPr="00042D0A">
        <w:t xml:space="preserve">% on quarter </w:t>
      </w:r>
      <w:r w:rsidR="00042D0A" w:rsidRPr="00042D0A">
        <w:t>four</w:t>
      </w:r>
      <w:r w:rsidR="005757B8" w:rsidRPr="00042D0A">
        <w:t xml:space="preserve"> 2021</w:t>
      </w:r>
      <w:r w:rsidR="005757B8" w:rsidRPr="00042D0A">
        <w:rPr>
          <w:rStyle w:val="FootnoteReference"/>
        </w:rPr>
        <w:footnoteReference w:id="2"/>
      </w:r>
      <w:r w:rsidR="00BF4296" w:rsidRPr="00042D0A">
        <w:t xml:space="preserve">. </w:t>
      </w:r>
      <w:r w:rsidR="00B5562A" w:rsidRPr="00042D0A">
        <w:t xml:space="preserve">The borough has the </w:t>
      </w:r>
      <w:r w:rsidR="00042D0A" w:rsidRPr="00042D0A">
        <w:t xml:space="preserve">second </w:t>
      </w:r>
      <w:r w:rsidR="00B5562A" w:rsidRPr="00042D0A">
        <w:t>lowest standardised house prices in Northern Ireland</w:t>
      </w:r>
      <w:r w:rsidR="00042D0A" w:rsidRPr="00042D0A">
        <w:t xml:space="preserve"> after Derry and Strabane</w:t>
      </w:r>
      <w:r w:rsidR="00B5562A" w:rsidRPr="00042D0A">
        <w:t>.</w:t>
      </w:r>
    </w:p>
    <w:tbl>
      <w:tblPr>
        <w:tblStyle w:val="GridTable1Light"/>
        <w:tblW w:w="9209" w:type="dxa"/>
        <w:tblLook w:val="04A0" w:firstRow="1" w:lastRow="0" w:firstColumn="1" w:lastColumn="0" w:noHBand="0" w:noVBand="1"/>
        <w:tblCaption w:val="Standardised residential property price and house price index for Armagh City, Banbridge and Craigavon Borough and Northern Ireland Q1 2015 to Q4 2021"/>
      </w:tblPr>
      <w:tblGrid>
        <w:gridCol w:w="1276"/>
        <w:gridCol w:w="1983"/>
        <w:gridCol w:w="1983"/>
        <w:gridCol w:w="1983"/>
        <w:gridCol w:w="1984"/>
      </w:tblGrid>
      <w:tr w:rsidR="009F2BD0" w:rsidRPr="009F2BD0" w:rsidTr="00BE25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9F2BD0" w:rsidRPr="009F2BD0" w:rsidRDefault="009F2BD0" w:rsidP="009F2B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66" w:type="dxa"/>
            <w:gridSpan w:val="2"/>
            <w:noWrap/>
            <w:hideMark/>
          </w:tcPr>
          <w:p w:rsidR="009F2BD0" w:rsidRPr="009F2BD0" w:rsidRDefault="009F2BD0" w:rsidP="009F2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Armagh City, </w:t>
            </w:r>
            <w:proofErr w:type="spellStart"/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Banbridge</w:t>
            </w:r>
            <w:proofErr w:type="spellEnd"/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Craigavon</w:t>
            </w:r>
          </w:p>
          <w:p w:rsidR="009F2BD0" w:rsidRPr="009F2BD0" w:rsidRDefault="009F2BD0" w:rsidP="009F2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67" w:type="dxa"/>
            <w:gridSpan w:val="2"/>
            <w:hideMark/>
          </w:tcPr>
          <w:p w:rsidR="009F2BD0" w:rsidRPr="009F2BD0" w:rsidRDefault="009F2BD0" w:rsidP="009F2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Northern Ireland</w:t>
            </w:r>
          </w:p>
          <w:p w:rsidR="009F2BD0" w:rsidRPr="009F2BD0" w:rsidRDefault="009F2BD0" w:rsidP="009F2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F2BD0" w:rsidRPr="009F2BD0" w:rsidTr="009F2BD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9F2BD0" w:rsidRPr="009F2BD0" w:rsidRDefault="009F2BD0" w:rsidP="009F2B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3" w:type="dxa"/>
            <w:noWrap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Standardised Price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House Price Index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Standardised Price</w:t>
            </w:r>
          </w:p>
        </w:tc>
        <w:tc>
          <w:tcPr>
            <w:tcW w:w="1984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House Price Index</w:t>
            </w:r>
          </w:p>
        </w:tc>
      </w:tr>
      <w:tr w:rsidR="009F2BD0" w:rsidRPr="009F2BD0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9F2BD0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2015 – Q1</w:t>
            </w:r>
          </w:p>
        </w:tc>
        <w:tc>
          <w:tcPr>
            <w:tcW w:w="1983" w:type="dxa"/>
            <w:noWrap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£98,572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£110,940</w:t>
            </w:r>
          </w:p>
        </w:tc>
        <w:tc>
          <w:tcPr>
            <w:tcW w:w="1984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9F2BD0" w:rsidRPr="009F2BD0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9F2BD0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2015 – Q2</w:t>
            </w:r>
          </w:p>
        </w:tc>
        <w:tc>
          <w:tcPr>
            <w:tcW w:w="1983" w:type="dxa"/>
            <w:noWrap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£100,809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102.3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£114,340</w:t>
            </w:r>
          </w:p>
        </w:tc>
        <w:tc>
          <w:tcPr>
            <w:tcW w:w="1984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103.1</w:t>
            </w:r>
          </w:p>
        </w:tc>
      </w:tr>
      <w:tr w:rsidR="009F2BD0" w:rsidRPr="009F2BD0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9F2BD0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2015 – Q3</w:t>
            </w:r>
          </w:p>
        </w:tc>
        <w:tc>
          <w:tcPr>
            <w:tcW w:w="1983" w:type="dxa"/>
            <w:noWrap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£104,149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105.7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£117,716</w:t>
            </w:r>
          </w:p>
        </w:tc>
        <w:tc>
          <w:tcPr>
            <w:tcW w:w="1984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106.1</w:t>
            </w:r>
          </w:p>
        </w:tc>
      </w:tr>
      <w:tr w:rsidR="009F2BD0" w:rsidRPr="009F2BD0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9F2BD0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2015 – Q4</w:t>
            </w:r>
          </w:p>
        </w:tc>
        <w:tc>
          <w:tcPr>
            <w:tcW w:w="1983" w:type="dxa"/>
            <w:noWrap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£106,688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108.2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£118,756</w:t>
            </w:r>
          </w:p>
        </w:tc>
        <w:tc>
          <w:tcPr>
            <w:tcW w:w="1984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</w:tr>
      <w:tr w:rsidR="009F2BD0" w:rsidRPr="009F2BD0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9F2BD0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3" w:type="dxa"/>
            <w:noWrap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F2BD0" w:rsidRPr="009F2BD0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9F2BD0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2016 – Q1</w:t>
            </w:r>
          </w:p>
        </w:tc>
        <w:tc>
          <w:tcPr>
            <w:tcW w:w="1983" w:type="dxa"/>
            <w:noWrap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£107,669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109.3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£118,851</w:t>
            </w:r>
          </w:p>
        </w:tc>
        <w:tc>
          <w:tcPr>
            <w:tcW w:w="1984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107.1</w:t>
            </w:r>
          </w:p>
        </w:tc>
      </w:tr>
      <w:tr w:rsidR="009F2BD0" w:rsidRPr="009F2BD0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9F2BD0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2016 – Q2</w:t>
            </w:r>
          </w:p>
        </w:tc>
        <w:tc>
          <w:tcPr>
            <w:tcW w:w="1983" w:type="dxa"/>
            <w:noWrap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£111,344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113.0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£123,249</w:t>
            </w:r>
          </w:p>
        </w:tc>
        <w:tc>
          <w:tcPr>
            <w:tcW w:w="1984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111.1</w:t>
            </w:r>
          </w:p>
        </w:tc>
      </w:tr>
      <w:tr w:rsidR="009F2BD0" w:rsidRPr="009F2BD0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9F2BD0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2016 – Q3</w:t>
            </w:r>
          </w:p>
        </w:tc>
        <w:tc>
          <w:tcPr>
            <w:tcW w:w="1983" w:type="dxa"/>
            <w:noWrap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£110,290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111.9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£124,731</w:t>
            </w:r>
          </w:p>
        </w:tc>
        <w:tc>
          <w:tcPr>
            <w:tcW w:w="1984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112.4</w:t>
            </w:r>
          </w:p>
        </w:tc>
      </w:tr>
      <w:tr w:rsidR="009F2BD0" w:rsidRPr="009F2BD0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9F2BD0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2016 – Q4</w:t>
            </w:r>
          </w:p>
        </w:tc>
        <w:tc>
          <w:tcPr>
            <w:tcW w:w="1983" w:type="dxa"/>
            <w:noWrap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£111,384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113.0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£125,059</w:t>
            </w:r>
          </w:p>
        </w:tc>
        <w:tc>
          <w:tcPr>
            <w:tcW w:w="1984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112.7</w:t>
            </w:r>
          </w:p>
        </w:tc>
      </w:tr>
      <w:tr w:rsidR="009F2BD0" w:rsidRPr="009F2BD0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9F2BD0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3" w:type="dxa"/>
            <w:noWrap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F2BD0" w:rsidRPr="009F2BD0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9F2BD0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2017 – Q1</w:t>
            </w:r>
          </w:p>
        </w:tc>
        <w:tc>
          <w:tcPr>
            <w:tcW w:w="1983" w:type="dxa"/>
            <w:noWrap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£113,867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115.5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£124,786</w:t>
            </w:r>
          </w:p>
        </w:tc>
        <w:tc>
          <w:tcPr>
            <w:tcW w:w="1984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112.5</w:t>
            </w:r>
          </w:p>
        </w:tc>
      </w:tr>
      <w:tr w:rsidR="009F2BD0" w:rsidRPr="009F2BD0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9F2BD0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2017 – Q2</w:t>
            </w:r>
          </w:p>
        </w:tc>
        <w:tc>
          <w:tcPr>
            <w:tcW w:w="1983" w:type="dxa"/>
            <w:noWrap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£113,596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115.2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£127,178</w:t>
            </w:r>
          </w:p>
        </w:tc>
        <w:tc>
          <w:tcPr>
            <w:tcW w:w="1984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114.6</w:t>
            </w:r>
          </w:p>
        </w:tc>
      </w:tr>
      <w:tr w:rsidR="009F2BD0" w:rsidRPr="009F2BD0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9F2BD0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2017 – Q3</w:t>
            </w:r>
          </w:p>
        </w:tc>
        <w:tc>
          <w:tcPr>
            <w:tcW w:w="1983" w:type="dxa"/>
            <w:noWrap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£114,181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115.8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£128,878</w:t>
            </w:r>
          </w:p>
        </w:tc>
        <w:tc>
          <w:tcPr>
            <w:tcW w:w="1984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116.2</w:t>
            </w:r>
          </w:p>
        </w:tc>
      </w:tr>
      <w:tr w:rsidR="009F2BD0" w:rsidRPr="009F2BD0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9F2BD0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2017 – Q4</w:t>
            </w:r>
          </w:p>
        </w:tc>
        <w:tc>
          <w:tcPr>
            <w:tcW w:w="1983" w:type="dxa"/>
            <w:noWrap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£116,312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118.0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£129,601</w:t>
            </w:r>
          </w:p>
        </w:tc>
        <w:tc>
          <w:tcPr>
            <w:tcW w:w="1984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116.8</w:t>
            </w:r>
          </w:p>
        </w:tc>
      </w:tr>
      <w:tr w:rsidR="009F2BD0" w:rsidRPr="009F2BD0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9F2BD0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3" w:type="dxa"/>
            <w:noWrap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F2BD0" w:rsidRPr="009F2BD0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9F2BD0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2018 – Q1</w:t>
            </w:r>
          </w:p>
        </w:tc>
        <w:tc>
          <w:tcPr>
            <w:tcW w:w="1983" w:type="dxa"/>
            <w:noWrap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£116,042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117.7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£130,292</w:t>
            </w:r>
          </w:p>
        </w:tc>
        <w:tc>
          <w:tcPr>
            <w:tcW w:w="1984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117.4</w:t>
            </w:r>
          </w:p>
        </w:tc>
      </w:tr>
      <w:tr w:rsidR="009F2BD0" w:rsidRPr="009F2BD0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9F2BD0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2018 – Q2</w:t>
            </w:r>
          </w:p>
        </w:tc>
        <w:tc>
          <w:tcPr>
            <w:tcW w:w="1983" w:type="dxa"/>
            <w:noWrap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£117,042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118.7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£132,095</w:t>
            </w:r>
          </w:p>
        </w:tc>
        <w:tc>
          <w:tcPr>
            <w:tcW w:w="1984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119.1</w:t>
            </w:r>
          </w:p>
        </w:tc>
      </w:tr>
      <w:tr w:rsidR="009F2BD0" w:rsidRPr="009F2BD0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9F2BD0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2018 – Q3</w:t>
            </w:r>
          </w:p>
        </w:tc>
        <w:tc>
          <w:tcPr>
            <w:tcW w:w="1983" w:type="dxa"/>
            <w:noWrap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£116,741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118.4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£134,619</w:t>
            </w:r>
          </w:p>
        </w:tc>
        <w:tc>
          <w:tcPr>
            <w:tcW w:w="1984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121.3</w:t>
            </w:r>
          </w:p>
        </w:tc>
      </w:tr>
      <w:tr w:rsidR="009F2BD0" w:rsidRPr="009F2BD0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9F2BD0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2018 – Q4</w:t>
            </w:r>
          </w:p>
        </w:tc>
        <w:tc>
          <w:tcPr>
            <w:tcW w:w="1983" w:type="dxa"/>
            <w:noWrap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£119,929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121.7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£136,764</w:t>
            </w:r>
          </w:p>
        </w:tc>
        <w:tc>
          <w:tcPr>
            <w:tcW w:w="1984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123.3</w:t>
            </w:r>
          </w:p>
        </w:tc>
      </w:tr>
      <w:tr w:rsidR="009F2BD0" w:rsidRPr="009F2BD0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9F2BD0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3" w:type="dxa"/>
            <w:noWrap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F2BD0" w:rsidRPr="009F2BD0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9F2BD0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2019 – Q1</w:t>
            </w:r>
          </w:p>
        </w:tc>
        <w:tc>
          <w:tcPr>
            <w:tcW w:w="1983" w:type="dxa"/>
            <w:noWrap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£120,820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122.6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£135,434</w:t>
            </w:r>
          </w:p>
        </w:tc>
        <w:tc>
          <w:tcPr>
            <w:tcW w:w="1984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122.1</w:t>
            </w:r>
          </w:p>
        </w:tc>
      </w:tr>
      <w:tr w:rsidR="009F2BD0" w:rsidRPr="009F2BD0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9F2BD0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2019 – Q2</w:t>
            </w:r>
          </w:p>
        </w:tc>
        <w:tc>
          <w:tcPr>
            <w:tcW w:w="1983" w:type="dxa"/>
            <w:noWrap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£119,928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121.7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£136,960</w:t>
            </w:r>
          </w:p>
        </w:tc>
        <w:tc>
          <w:tcPr>
            <w:tcW w:w="1984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123.5</w:t>
            </w:r>
          </w:p>
        </w:tc>
      </w:tr>
      <w:tr w:rsidR="009F2BD0" w:rsidRPr="009F2BD0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9F2BD0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2019 – Q3</w:t>
            </w:r>
          </w:p>
        </w:tc>
        <w:tc>
          <w:tcPr>
            <w:tcW w:w="1983" w:type="dxa"/>
            <w:noWrap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£124,268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126.1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£139,838</w:t>
            </w:r>
          </w:p>
        </w:tc>
        <w:tc>
          <w:tcPr>
            <w:tcW w:w="1984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126.0</w:t>
            </w:r>
          </w:p>
        </w:tc>
      </w:tr>
      <w:tr w:rsidR="009F2BD0" w:rsidRPr="009F2BD0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9F2BD0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2019 – Q4</w:t>
            </w:r>
          </w:p>
        </w:tc>
        <w:tc>
          <w:tcPr>
            <w:tcW w:w="1983" w:type="dxa"/>
            <w:noWrap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£124,039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125.8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£140,141</w:t>
            </w:r>
          </w:p>
        </w:tc>
        <w:tc>
          <w:tcPr>
            <w:tcW w:w="1984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126.3</w:t>
            </w:r>
          </w:p>
        </w:tc>
      </w:tr>
      <w:tr w:rsidR="009F2BD0" w:rsidRPr="009F2BD0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9F2BD0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3" w:type="dxa"/>
            <w:noWrap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F2BD0" w:rsidRPr="009F2BD0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9F2BD0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2020 – Q1</w:t>
            </w:r>
          </w:p>
        </w:tc>
        <w:tc>
          <w:tcPr>
            <w:tcW w:w="1983" w:type="dxa"/>
            <w:noWrap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£124,618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126.4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£140,722</w:t>
            </w:r>
          </w:p>
        </w:tc>
        <w:tc>
          <w:tcPr>
            <w:tcW w:w="1984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126.8</w:t>
            </w:r>
          </w:p>
        </w:tc>
      </w:tr>
      <w:tr w:rsidR="009F2BD0" w:rsidRPr="009F2BD0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9F2BD0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2020 - Q2</w:t>
            </w:r>
          </w:p>
        </w:tc>
        <w:tc>
          <w:tcPr>
            <w:tcW w:w="1983" w:type="dxa"/>
            <w:noWrap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£125,312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127.1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£140,841</w:t>
            </w:r>
          </w:p>
        </w:tc>
        <w:tc>
          <w:tcPr>
            <w:tcW w:w="1984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127.0</w:t>
            </w:r>
          </w:p>
        </w:tc>
      </w:tr>
      <w:tr w:rsidR="009F2BD0" w:rsidRPr="009F2BD0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9F2BD0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2020 - Q3</w:t>
            </w:r>
          </w:p>
        </w:tc>
        <w:tc>
          <w:tcPr>
            <w:tcW w:w="1983" w:type="dxa"/>
            <w:noWrap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£126,736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128.6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£143,723</w:t>
            </w:r>
          </w:p>
        </w:tc>
        <w:tc>
          <w:tcPr>
            <w:tcW w:w="1984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129.6</w:t>
            </w:r>
          </w:p>
        </w:tc>
      </w:tr>
      <w:tr w:rsidR="009F2BD0" w:rsidRPr="009F2BD0" w:rsidTr="009F2B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9F2BD0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2020 - Q4</w:t>
            </w:r>
          </w:p>
        </w:tc>
        <w:tc>
          <w:tcPr>
            <w:tcW w:w="1983" w:type="dxa"/>
            <w:noWrap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£128,989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130.9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£147,475</w:t>
            </w:r>
          </w:p>
        </w:tc>
        <w:tc>
          <w:tcPr>
            <w:tcW w:w="1984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132.9</w:t>
            </w:r>
          </w:p>
        </w:tc>
      </w:tr>
      <w:tr w:rsidR="009F2BD0" w:rsidRPr="009F2BD0" w:rsidTr="009F2B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9F2BD0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3" w:type="dxa"/>
            <w:noWrap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F2BD0" w:rsidRPr="009F2BD0" w:rsidTr="009F2B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9F2BD0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2021 - Q1</w:t>
            </w:r>
          </w:p>
        </w:tc>
        <w:tc>
          <w:tcPr>
            <w:tcW w:w="1983" w:type="dxa"/>
            <w:noWrap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£128,520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130.4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£149,084</w:t>
            </w:r>
          </w:p>
        </w:tc>
        <w:tc>
          <w:tcPr>
            <w:tcW w:w="1984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134.4</w:t>
            </w:r>
          </w:p>
        </w:tc>
      </w:tr>
      <w:tr w:rsidR="009F2BD0" w:rsidRPr="009F2BD0" w:rsidTr="009F2B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9F2BD0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2021 - Q2</w:t>
            </w:r>
          </w:p>
        </w:tc>
        <w:tc>
          <w:tcPr>
            <w:tcW w:w="1983" w:type="dxa"/>
            <w:noWrap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£135,476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137.4</w:t>
            </w:r>
          </w:p>
        </w:tc>
        <w:tc>
          <w:tcPr>
            <w:tcW w:w="1983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£154,323</w:t>
            </w:r>
          </w:p>
        </w:tc>
        <w:tc>
          <w:tcPr>
            <w:tcW w:w="1984" w:type="dxa"/>
            <w:hideMark/>
          </w:tcPr>
          <w:p w:rsidR="009F2BD0" w:rsidRPr="009F2BD0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139.1</w:t>
            </w:r>
          </w:p>
        </w:tc>
      </w:tr>
      <w:tr w:rsidR="00BC3F49" w:rsidRPr="009F2BD0" w:rsidTr="00F553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BC3F49" w:rsidRPr="009F2BD0" w:rsidRDefault="00BC3F49" w:rsidP="00BC3F4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2021 - Q3</w:t>
            </w:r>
          </w:p>
        </w:tc>
        <w:tc>
          <w:tcPr>
            <w:tcW w:w="1983" w:type="dxa"/>
            <w:noWrap/>
            <w:vAlign w:val="center"/>
            <w:hideMark/>
          </w:tcPr>
          <w:p w:rsidR="00BC3F49" w:rsidRPr="00BC3F49" w:rsidRDefault="00BC3F49" w:rsidP="00BC3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3F49">
              <w:rPr>
                <w:rFonts w:ascii="Calibri" w:eastAsia="Times New Roman" w:hAnsi="Calibri" w:cs="Calibri"/>
                <w:color w:val="000000"/>
                <w:lang w:eastAsia="en-GB"/>
              </w:rPr>
              <w:t>£141,523</w:t>
            </w:r>
          </w:p>
        </w:tc>
        <w:tc>
          <w:tcPr>
            <w:tcW w:w="1983" w:type="dxa"/>
            <w:vAlign w:val="center"/>
            <w:hideMark/>
          </w:tcPr>
          <w:p w:rsidR="00BC3F49" w:rsidRPr="00BC3F49" w:rsidRDefault="00BC3F49" w:rsidP="00BC3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3F49">
              <w:rPr>
                <w:rFonts w:ascii="Calibri" w:eastAsia="Times New Roman" w:hAnsi="Calibri" w:cs="Calibri"/>
                <w:color w:val="000000"/>
                <w:lang w:eastAsia="en-GB"/>
              </w:rPr>
              <w:t>143.6</w:t>
            </w:r>
          </w:p>
        </w:tc>
        <w:tc>
          <w:tcPr>
            <w:tcW w:w="1983" w:type="dxa"/>
            <w:vAlign w:val="center"/>
            <w:hideMark/>
          </w:tcPr>
          <w:p w:rsidR="00BC3F49" w:rsidRPr="00BC3F49" w:rsidRDefault="00BC3F49" w:rsidP="00BC3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3F49">
              <w:rPr>
                <w:rFonts w:ascii="Calibri" w:eastAsia="Times New Roman" w:hAnsi="Calibri" w:cs="Calibri"/>
                <w:color w:val="000000"/>
                <w:lang w:eastAsia="en-GB"/>
              </w:rPr>
              <w:t>£159,098</w:t>
            </w:r>
          </w:p>
        </w:tc>
        <w:tc>
          <w:tcPr>
            <w:tcW w:w="1984" w:type="dxa"/>
            <w:vAlign w:val="center"/>
            <w:hideMark/>
          </w:tcPr>
          <w:p w:rsidR="00BC3F49" w:rsidRPr="00BC3F49" w:rsidRDefault="00BC3F49" w:rsidP="00BC3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3F49">
              <w:rPr>
                <w:rFonts w:ascii="Calibri" w:eastAsia="Times New Roman" w:hAnsi="Calibri" w:cs="Calibri"/>
                <w:color w:val="000000"/>
                <w:lang w:eastAsia="en-GB"/>
              </w:rPr>
              <w:t>143.4</w:t>
            </w:r>
          </w:p>
        </w:tc>
      </w:tr>
      <w:tr w:rsidR="00BC3F49" w:rsidRPr="009F2BD0" w:rsidTr="00F553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BC3F49" w:rsidRPr="009F2BD0" w:rsidRDefault="00BC3F49" w:rsidP="00BC3F4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2BD0">
              <w:rPr>
                <w:rFonts w:ascii="Calibri" w:eastAsia="Times New Roman" w:hAnsi="Calibri" w:cs="Calibri"/>
                <w:color w:val="000000"/>
                <w:lang w:eastAsia="en-GB"/>
              </w:rPr>
              <w:t>2021 - Q4</w:t>
            </w:r>
          </w:p>
        </w:tc>
        <w:tc>
          <w:tcPr>
            <w:tcW w:w="1983" w:type="dxa"/>
            <w:noWrap/>
            <w:vAlign w:val="center"/>
            <w:hideMark/>
          </w:tcPr>
          <w:p w:rsidR="00BC3F49" w:rsidRPr="00BC3F49" w:rsidRDefault="00BC3F49" w:rsidP="00BC3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3F49">
              <w:rPr>
                <w:rFonts w:ascii="Calibri" w:eastAsia="Times New Roman" w:hAnsi="Calibri" w:cs="Calibri"/>
                <w:color w:val="000000"/>
                <w:lang w:eastAsia="en-GB"/>
              </w:rPr>
              <w:t>£139,998</w:t>
            </w:r>
          </w:p>
        </w:tc>
        <w:tc>
          <w:tcPr>
            <w:tcW w:w="1983" w:type="dxa"/>
            <w:vAlign w:val="center"/>
            <w:hideMark/>
          </w:tcPr>
          <w:p w:rsidR="00BC3F49" w:rsidRPr="00BC3F49" w:rsidRDefault="00BC3F49" w:rsidP="00BC3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3F49">
              <w:rPr>
                <w:rFonts w:ascii="Calibri" w:eastAsia="Times New Roman" w:hAnsi="Calibri" w:cs="Calibri"/>
                <w:color w:val="000000"/>
                <w:lang w:eastAsia="en-GB"/>
              </w:rPr>
              <w:t>142.0</w:t>
            </w:r>
          </w:p>
        </w:tc>
        <w:tc>
          <w:tcPr>
            <w:tcW w:w="1983" w:type="dxa"/>
            <w:vAlign w:val="center"/>
            <w:hideMark/>
          </w:tcPr>
          <w:p w:rsidR="00BC3F49" w:rsidRPr="00BC3F49" w:rsidRDefault="00BC3F49" w:rsidP="00BC3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3F49">
              <w:rPr>
                <w:rFonts w:ascii="Calibri" w:eastAsia="Times New Roman" w:hAnsi="Calibri" w:cs="Calibri"/>
                <w:color w:val="000000"/>
                <w:lang w:eastAsia="en-GB"/>
              </w:rPr>
              <w:t>£159,131</w:t>
            </w:r>
          </w:p>
        </w:tc>
        <w:tc>
          <w:tcPr>
            <w:tcW w:w="1984" w:type="dxa"/>
            <w:vAlign w:val="center"/>
            <w:hideMark/>
          </w:tcPr>
          <w:p w:rsidR="00BC3F49" w:rsidRPr="00BC3F49" w:rsidRDefault="00BC3F49" w:rsidP="00BC3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3F49">
              <w:rPr>
                <w:rFonts w:ascii="Calibri" w:eastAsia="Times New Roman" w:hAnsi="Calibri" w:cs="Calibri"/>
                <w:color w:val="000000"/>
                <w:lang w:eastAsia="en-GB"/>
              </w:rPr>
              <w:t>143.4</w:t>
            </w:r>
          </w:p>
        </w:tc>
      </w:tr>
      <w:tr w:rsidR="00BC3F49" w:rsidRPr="009F2BD0" w:rsidTr="00F553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</w:tcPr>
          <w:p w:rsidR="00BC3F49" w:rsidRPr="009F2BD0" w:rsidRDefault="00BC3F49" w:rsidP="00BC3F4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3F49">
              <w:rPr>
                <w:rFonts w:ascii="Calibri" w:eastAsia="Times New Roman" w:hAnsi="Calibri" w:cs="Calibri"/>
                <w:color w:val="000000"/>
                <w:lang w:eastAsia="en-GB"/>
              </w:rPr>
              <w:t>2022 - Q1</w:t>
            </w:r>
          </w:p>
        </w:tc>
        <w:tc>
          <w:tcPr>
            <w:tcW w:w="1983" w:type="dxa"/>
            <w:noWrap/>
            <w:vAlign w:val="center"/>
          </w:tcPr>
          <w:p w:rsidR="00BC3F49" w:rsidRPr="00BC3F49" w:rsidRDefault="00BC3F49" w:rsidP="00BC3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3F49">
              <w:rPr>
                <w:rFonts w:ascii="Calibri" w:eastAsia="Times New Roman" w:hAnsi="Calibri" w:cs="Calibri"/>
                <w:color w:val="000000"/>
                <w:lang w:eastAsia="en-GB"/>
              </w:rPr>
              <w:t>£146,577</w:t>
            </w:r>
          </w:p>
        </w:tc>
        <w:tc>
          <w:tcPr>
            <w:tcW w:w="1983" w:type="dxa"/>
            <w:vAlign w:val="center"/>
          </w:tcPr>
          <w:p w:rsidR="00BC3F49" w:rsidRPr="00BC3F49" w:rsidRDefault="00BC3F49" w:rsidP="00BC3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3F49">
              <w:rPr>
                <w:rFonts w:ascii="Calibri" w:eastAsia="Times New Roman" w:hAnsi="Calibri" w:cs="Calibri"/>
                <w:color w:val="000000"/>
                <w:lang w:eastAsia="en-GB"/>
              </w:rPr>
              <w:t>148.7</w:t>
            </w:r>
          </w:p>
        </w:tc>
        <w:tc>
          <w:tcPr>
            <w:tcW w:w="1983" w:type="dxa"/>
            <w:vAlign w:val="center"/>
          </w:tcPr>
          <w:p w:rsidR="00BC3F49" w:rsidRPr="00BC3F49" w:rsidRDefault="00BC3F49" w:rsidP="00BC3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3F49">
              <w:rPr>
                <w:rFonts w:ascii="Calibri" w:eastAsia="Times New Roman" w:hAnsi="Calibri" w:cs="Calibri"/>
                <w:color w:val="000000"/>
                <w:lang w:eastAsia="en-GB"/>
              </w:rPr>
              <w:t>£164,590</w:t>
            </w:r>
          </w:p>
        </w:tc>
        <w:tc>
          <w:tcPr>
            <w:tcW w:w="1984" w:type="dxa"/>
            <w:vAlign w:val="center"/>
          </w:tcPr>
          <w:p w:rsidR="00BC3F49" w:rsidRPr="00BC3F49" w:rsidRDefault="00BC3F49" w:rsidP="00BC3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3F49">
              <w:rPr>
                <w:rFonts w:ascii="Calibri" w:eastAsia="Times New Roman" w:hAnsi="Calibri" w:cs="Calibri"/>
                <w:color w:val="000000"/>
                <w:lang w:eastAsia="en-GB"/>
              </w:rPr>
              <w:t>148.4</w:t>
            </w:r>
          </w:p>
        </w:tc>
      </w:tr>
    </w:tbl>
    <w:p w:rsidR="00381E1E" w:rsidRDefault="008C1EDC">
      <w:pPr>
        <w:rPr>
          <w:i/>
          <w:sz w:val="20"/>
          <w:szCs w:val="20"/>
        </w:rPr>
      </w:pPr>
      <w:r w:rsidRPr="008C1EDC">
        <w:rPr>
          <w:i/>
          <w:sz w:val="20"/>
          <w:szCs w:val="20"/>
        </w:rPr>
        <w:t xml:space="preserve">Table 1: </w:t>
      </w:r>
      <w:r w:rsidR="00353B8B">
        <w:rPr>
          <w:i/>
          <w:sz w:val="20"/>
          <w:szCs w:val="20"/>
        </w:rPr>
        <w:t>Standardised r</w:t>
      </w:r>
      <w:r w:rsidR="003C13E3">
        <w:rPr>
          <w:i/>
          <w:sz w:val="20"/>
          <w:szCs w:val="20"/>
        </w:rPr>
        <w:t xml:space="preserve">esidential property price and </w:t>
      </w:r>
      <w:r w:rsidR="00353B8B">
        <w:rPr>
          <w:i/>
          <w:sz w:val="20"/>
          <w:szCs w:val="20"/>
        </w:rPr>
        <w:t xml:space="preserve">house price </w:t>
      </w:r>
      <w:r w:rsidR="003C13E3">
        <w:rPr>
          <w:i/>
          <w:sz w:val="20"/>
          <w:szCs w:val="20"/>
        </w:rPr>
        <w:t>index for</w:t>
      </w:r>
      <w:r w:rsidRPr="008C1EDC">
        <w:rPr>
          <w:i/>
          <w:sz w:val="20"/>
          <w:szCs w:val="20"/>
        </w:rPr>
        <w:t xml:space="preserve"> Armagh City, </w:t>
      </w:r>
      <w:proofErr w:type="spellStart"/>
      <w:r w:rsidRPr="008C1EDC">
        <w:rPr>
          <w:i/>
          <w:sz w:val="20"/>
          <w:szCs w:val="20"/>
        </w:rPr>
        <w:t>Banbridge</w:t>
      </w:r>
      <w:proofErr w:type="spellEnd"/>
      <w:r w:rsidRPr="008C1EDC">
        <w:rPr>
          <w:i/>
          <w:sz w:val="20"/>
          <w:szCs w:val="20"/>
        </w:rPr>
        <w:t xml:space="preserve"> and Craigavon Borough </w:t>
      </w:r>
      <w:r w:rsidR="008C513E">
        <w:rPr>
          <w:i/>
          <w:sz w:val="20"/>
          <w:szCs w:val="20"/>
        </w:rPr>
        <w:t xml:space="preserve">and Northern Ireland </w:t>
      </w:r>
      <w:r w:rsidR="003C13E3">
        <w:rPr>
          <w:i/>
          <w:sz w:val="20"/>
          <w:szCs w:val="20"/>
        </w:rPr>
        <w:t xml:space="preserve">Q1 </w:t>
      </w:r>
      <w:r w:rsidR="008C513E">
        <w:rPr>
          <w:i/>
          <w:sz w:val="20"/>
          <w:szCs w:val="20"/>
        </w:rPr>
        <w:t>2015 to</w:t>
      </w:r>
      <w:r w:rsidR="00BC3F49">
        <w:rPr>
          <w:i/>
          <w:sz w:val="20"/>
          <w:szCs w:val="20"/>
        </w:rPr>
        <w:t xml:space="preserve"> Q1</w:t>
      </w:r>
      <w:r w:rsidR="00B5562A">
        <w:rPr>
          <w:i/>
          <w:sz w:val="20"/>
          <w:szCs w:val="20"/>
        </w:rPr>
        <w:t xml:space="preserve"> 202</w:t>
      </w:r>
      <w:r w:rsidR="00BC3F49">
        <w:rPr>
          <w:i/>
          <w:sz w:val="20"/>
          <w:szCs w:val="20"/>
        </w:rPr>
        <w:t>2</w:t>
      </w:r>
      <w:r w:rsidRPr="008C1EDC">
        <w:rPr>
          <w:i/>
          <w:sz w:val="20"/>
          <w:szCs w:val="20"/>
        </w:rPr>
        <w:t xml:space="preserve">. Source: </w:t>
      </w:r>
      <w:r w:rsidR="008C513E">
        <w:rPr>
          <w:i/>
          <w:sz w:val="20"/>
          <w:szCs w:val="20"/>
        </w:rPr>
        <w:t>Land and Property Services</w:t>
      </w:r>
      <w:r w:rsidR="003C13E3">
        <w:rPr>
          <w:i/>
          <w:sz w:val="20"/>
          <w:szCs w:val="20"/>
        </w:rPr>
        <w:t>, NISRA</w:t>
      </w:r>
      <w:r w:rsidRPr="008C1EDC">
        <w:rPr>
          <w:i/>
          <w:sz w:val="20"/>
          <w:szCs w:val="20"/>
        </w:rPr>
        <w:t>.</w:t>
      </w:r>
    </w:p>
    <w:p w:rsidR="008D2053" w:rsidRDefault="008D2053">
      <w:pPr>
        <w:rPr>
          <w:i/>
          <w:sz w:val="20"/>
          <w:szCs w:val="20"/>
        </w:rPr>
      </w:pPr>
    </w:p>
    <w:p w:rsidR="00BC3F49" w:rsidRDefault="00BC3F49">
      <w:pPr>
        <w:rPr>
          <w:i/>
          <w:sz w:val="20"/>
          <w:szCs w:val="20"/>
        </w:rPr>
      </w:pPr>
    </w:p>
    <w:p w:rsidR="00BC3F49" w:rsidRDefault="00BC3F49">
      <w:pPr>
        <w:rPr>
          <w:i/>
          <w:sz w:val="20"/>
          <w:szCs w:val="20"/>
        </w:rPr>
      </w:pPr>
    </w:p>
    <w:p w:rsidR="006A7EB5" w:rsidRDefault="006A7EB5">
      <w:pPr>
        <w:rPr>
          <w:i/>
          <w:sz w:val="20"/>
          <w:szCs w:val="20"/>
        </w:rPr>
      </w:pPr>
    </w:p>
    <w:p w:rsidR="006A7EB5" w:rsidRDefault="006A7EB5">
      <w:pPr>
        <w:rPr>
          <w:i/>
          <w:sz w:val="20"/>
          <w:szCs w:val="20"/>
        </w:rPr>
      </w:pPr>
    </w:p>
    <w:p w:rsidR="006A7EB5" w:rsidRDefault="006A7EB5">
      <w:pPr>
        <w:rPr>
          <w:i/>
          <w:sz w:val="20"/>
          <w:szCs w:val="20"/>
        </w:rPr>
      </w:pPr>
    </w:p>
    <w:p w:rsidR="006A7EB5" w:rsidRDefault="006A7EB5">
      <w:pPr>
        <w:rPr>
          <w:i/>
          <w:sz w:val="20"/>
          <w:szCs w:val="20"/>
        </w:rPr>
      </w:pPr>
    </w:p>
    <w:p w:rsidR="006A7EB5" w:rsidRDefault="006A7EB5">
      <w:pPr>
        <w:rPr>
          <w:i/>
          <w:sz w:val="20"/>
          <w:szCs w:val="20"/>
        </w:rPr>
      </w:pPr>
    </w:p>
    <w:p w:rsidR="006A7EB5" w:rsidRDefault="006A7EB5">
      <w:pPr>
        <w:rPr>
          <w:i/>
          <w:sz w:val="20"/>
          <w:szCs w:val="20"/>
        </w:rPr>
      </w:pPr>
    </w:p>
    <w:p w:rsidR="006A7EB5" w:rsidRDefault="006A7EB5">
      <w:pPr>
        <w:rPr>
          <w:i/>
          <w:sz w:val="20"/>
          <w:szCs w:val="20"/>
        </w:rPr>
      </w:pPr>
    </w:p>
    <w:p w:rsidR="006A7EB5" w:rsidRDefault="006A7EB5">
      <w:pPr>
        <w:rPr>
          <w:i/>
          <w:sz w:val="20"/>
          <w:szCs w:val="20"/>
        </w:rPr>
      </w:pPr>
    </w:p>
    <w:p w:rsidR="006A7EB5" w:rsidRDefault="006A7EB5">
      <w:pPr>
        <w:rPr>
          <w:i/>
          <w:sz w:val="20"/>
          <w:szCs w:val="20"/>
        </w:rPr>
      </w:pPr>
    </w:p>
    <w:p w:rsidR="006A7EB5" w:rsidRDefault="006A7EB5">
      <w:pPr>
        <w:rPr>
          <w:i/>
          <w:sz w:val="20"/>
          <w:szCs w:val="20"/>
        </w:rPr>
      </w:pPr>
    </w:p>
    <w:p w:rsidR="006A7EB5" w:rsidRDefault="006A7EB5">
      <w:pPr>
        <w:rPr>
          <w:i/>
          <w:sz w:val="20"/>
          <w:szCs w:val="20"/>
        </w:rPr>
      </w:pPr>
    </w:p>
    <w:p w:rsidR="006A7EB5" w:rsidRDefault="006A7EB5">
      <w:pPr>
        <w:rPr>
          <w:i/>
          <w:sz w:val="20"/>
          <w:szCs w:val="20"/>
        </w:rPr>
      </w:pPr>
    </w:p>
    <w:p w:rsidR="006A7EB5" w:rsidRDefault="006A7EB5">
      <w:pPr>
        <w:rPr>
          <w:i/>
          <w:sz w:val="20"/>
          <w:szCs w:val="20"/>
        </w:rPr>
      </w:pPr>
    </w:p>
    <w:p w:rsidR="006A7EB5" w:rsidRDefault="006A7EB5">
      <w:pPr>
        <w:rPr>
          <w:i/>
          <w:sz w:val="20"/>
          <w:szCs w:val="20"/>
        </w:rPr>
      </w:pPr>
    </w:p>
    <w:p w:rsidR="006A7EB5" w:rsidRDefault="006A7EB5">
      <w:pPr>
        <w:rPr>
          <w:i/>
          <w:sz w:val="20"/>
          <w:szCs w:val="20"/>
        </w:rPr>
      </w:pPr>
    </w:p>
    <w:p w:rsidR="006A7EB5" w:rsidRDefault="006A7EB5">
      <w:pPr>
        <w:rPr>
          <w:i/>
          <w:sz w:val="20"/>
          <w:szCs w:val="20"/>
        </w:rPr>
      </w:pPr>
    </w:p>
    <w:p w:rsidR="006A7EB5" w:rsidRDefault="006A7EB5">
      <w:pPr>
        <w:rPr>
          <w:i/>
          <w:sz w:val="20"/>
          <w:szCs w:val="20"/>
        </w:rPr>
      </w:pPr>
    </w:p>
    <w:p w:rsidR="006A7EB5" w:rsidRDefault="006A7EB5">
      <w:pPr>
        <w:rPr>
          <w:i/>
          <w:sz w:val="20"/>
          <w:szCs w:val="20"/>
        </w:rPr>
      </w:pPr>
    </w:p>
    <w:p w:rsidR="006A7EB5" w:rsidRDefault="006A7EB5">
      <w:pPr>
        <w:rPr>
          <w:i/>
          <w:sz w:val="20"/>
          <w:szCs w:val="20"/>
        </w:rPr>
      </w:pPr>
    </w:p>
    <w:p w:rsidR="006A7EB5" w:rsidRDefault="006A7EB5">
      <w:pPr>
        <w:rPr>
          <w:i/>
          <w:sz w:val="20"/>
          <w:szCs w:val="20"/>
        </w:rPr>
        <w:sectPr w:rsidR="006A7EB5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757B8" w:rsidRDefault="006A7EB5" w:rsidP="008D2053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2D697AAF" wp14:editId="3AB525E2">
            <wp:extent cx="9182100" cy="5067300"/>
            <wp:effectExtent l="0" t="0" r="0" b="0"/>
            <wp:docPr id="4" name="Chart 4" title="Standardised residential property price for Armagh City, Banbridge and Craigavon Borough and Northern Ireland Q1 2008 - Q1 20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2053" w:rsidRPr="008D2053" w:rsidRDefault="008D2053" w:rsidP="008D2053">
      <w:pPr>
        <w:rPr>
          <w:i/>
          <w:sz w:val="20"/>
          <w:szCs w:val="20"/>
        </w:rPr>
      </w:pPr>
      <w:r>
        <w:rPr>
          <w:i/>
          <w:sz w:val="20"/>
          <w:szCs w:val="20"/>
        </w:rPr>
        <w:t>Figure</w:t>
      </w:r>
      <w:r w:rsidRPr="008C1EDC">
        <w:rPr>
          <w:i/>
          <w:sz w:val="20"/>
          <w:szCs w:val="20"/>
        </w:rPr>
        <w:t xml:space="preserve"> 1: </w:t>
      </w:r>
      <w:r w:rsidR="00353B8B">
        <w:rPr>
          <w:i/>
          <w:sz w:val="20"/>
          <w:szCs w:val="20"/>
        </w:rPr>
        <w:t xml:space="preserve">Standardised residential property price for </w:t>
      </w:r>
      <w:r w:rsidRPr="008C1EDC">
        <w:rPr>
          <w:i/>
          <w:sz w:val="20"/>
          <w:szCs w:val="20"/>
        </w:rPr>
        <w:t xml:space="preserve">Armagh City, </w:t>
      </w:r>
      <w:proofErr w:type="spellStart"/>
      <w:r w:rsidRPr="008C1EDC">
        <w:rPr>
          <w:i/>
          <w:sz w:val="20"/>
          <w:szCs w:val="20"/>
        </w:rPr>
        <w:t>Banbridge</w:t>
      </w:r>
      <w:proofErr w:type="spellEnd"/>
      <w:r w:rsidRPr="008C1EDC">
        <w:rPr>
          <w:i/>
          <w:sz w:val="20"/>
          <w:szCs w:val="20"/>
        </w:rPr>
        <w:t xml:space="preserve"> and Craigavon Borough </w:t>
      </w:r>
      <w:r>
        <w:rPr>
          <w:i/>
          <w:sz w:val="20"/>
          <w:szCs w:val="20"/>
        </w:rPr>
        <w:t xml:space="preserve">and Northern Ireland Q1 </w:t>
      </w:r>
      <w:r w:rsidR="005757B8">
        <w:rPr>
          <w:i/>
          <w:sz w:val="20"/>
          <w:szCs w:val="20"/>
        </w:rPr>
        <w:t>2008 to Q</w:t>
      </w:r>
      <w:r w:rsidR="006A7EB5">
        <w:rPr>
          <w:i/>
          <w:sz w:val="20"/>
          <w:szCs w:val="20"/>
        </w:rPr>
        <w:t>1</w:t>
      </w:r>
      <w:r w:rsidR="005757B8">
        <w:rPr>
          <w:i/>
          <w:sz w:val="20"/>
          <w:szCs w:val="20"/>
        </w:rPr>
        <w:t xml:space="preserve"> 202</w:t>
      </w:r>
      <w:r w:rsidR="006A7EB5">
        <w:rPr>
          <w:i/>
          <w:sz w:val="20"/>
          <w:szCs w:val="20"/>
        </w:rPr>
        <w:t>2</w:t>
      </w:r>
      <w:r w:rsidRPr="008C1EDC">
        <w:rPr>
          <w:i/>
          <w:sz w:val="20"/>
          <w:szCs w:val="20"/>
        </w:rPr>
        <w:t xml:space="preserve">. Source: </w:t>
      </w:r>
      <w:r>
        <w:rPr>
          <w:i/>
          <w:sz w:val="20"/>
          <w:szCs w:val="20"/>
        </w:rPr>
        <w:t>Land and Property Services, NISRA</w:t>
      </w:r>
      <w:r w:rsidRPr="008C1EDC">
        <w:rPr>
          <w:i/>
          <w:sz w:val="20"/>
          <w:szCs w:val="20"/>
        </w:rPr>
        <w:t>.</w:t>
      </w:r>
    </w:p>
    <w:p w:rsidR="008D2053" w:rsidRPr="008D2053" w:rsidRDefault="008D2053" w:rsidP="008D2053">
      <w:pPr>
        <w:rPr>
          <w:sz w:val="20"/>
          <w:szCs w:val="20"/>
        </w:rPr>
        <w:sectPr w:rsidR="008D2053" w:rsidRPr="008D2053" w:rsidSect="008D205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353B8B" w:rsidRDefault="005757B8" w:rsidP="008D2053">
      <w:pPr>
        <w:rPr>
          <w:i/>
          <w:sz w:val="20"/>
          <w:szCs w:val="20"/>
        </w:rPr>
        <w:sectPr w:rsidR="00353B8B" w:rsidSect="008D205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5757B8">
        <w:rPr>
          <w:i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6774180</wp:posOffset>
                </wp:positionH>
                <wp:positionV relativeFrom="paragraph">
                  <wp:posOffset>533401</wp:posOffset>
                </wp:positionV>
                <wp:extent cx="1965960" cy="510540"/>
                <wp:effectExtent l="0" t="0" r="1524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BA1E62" w:rsidRDefault="00BA1E62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3.4pt;margin-top:42pt;width:154.8pt;height:40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NVIwIAAEY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:rsidR="00BA1E62" w:rsidRDefault="00BA1E62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F5387">
        <w:rPr>
          <w:noProof/>
          <w:lang w:eastAsia="en-GB"/>
        </w:rPr>
        <w:drawing>
          <wp:inline distT="0" distB="0" distL="0" distR="0" wp14:anchorId="2137C5E5" wp14:editId="5B158BBB">
            <wp:extent cx="9250680" cy="5257800"/>
            <wp:effectExtent l="0" t="0" r="7620" b="0"/>
            <wp:docPr id="1" name="Chart 1" title="House price index for Armagh City, Banbridge and Craigavon Borough and Northern Ireland Q1 2008 to Q1 20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2F5387">
        <w:rPr>
          <w:i/>
          <w:sz w:val="20"/>
          <w:szCs w:val="20"/>
        </w:rPr>
        <w:t xml:space="preserve"> </w:t>
      </w:r>
      <w:r w:rsidR="008D2053">
        <w:rPr>
          <w:i/>
          <w:sz w:val="20"/>
          <w:szCs w:val="20"/>
        </w:rPr>
        <w:t>Figure</w:t>
      </w:r>
      <w:r w:rsidR="00353B8B">
        <w:rPr>
          <w:i/>
          <w:sz w:val="20"/>
          <w:szCs w:val="20"/>
        </w:rPr>
        <w:t xml:space="preserve"> 2</w:t>
      </w:r>
      <w:r w:rsidR="008D2053" w:rsidRPr="008C1EDC">
        <w:rPr>
          <w:i/>
          <w:sz w:val="20"/>
          <w:szCs w:val="20"/>
        </w:rPr>
        <w:t xml:space="preserve">: </w:t>
      </w:r>
      <w:r w:rsidR="00353B8B">
        <w:rPr>
          <w:i/>
          <w:sz w:val="20"/>
          <w:szCs w:val="20"/>
        </w:rPr>
        <w:t xml:space="preserve">House price </w:t>
      </w:r>
      <w:r w:rsidR="008D2053">
        <w:rPr>
          <w:i/>
          <w:sz w:val="20"/>
          <w:szCs w:val="20"/>
        </w:rPr>
        <w:t>index for</w:t>
      </w:r>
      <w:r w:rsidR="008D2053" w:rsidRPr="008C1EDC">
        <w:rPr>
          <w:i/>
          <w:sz w:val="20"/>
          <w:szCs w:val="20"/>
        </w:rPr>
        <w:t xml:space="preserve"> Armagh City, </w:t>
      </w:r>
      <w:proofErr w:type="spellStart"/>
      <w:r w:rsidR="008D2053" w:rsidRPr="008C1EDC">
        <w:rPr>
          <w:i/>
          <w:sz w:val="20"/>
          <w:szCs w:val="20"/>
        </w:rPr>
        <w:t>Banbridge</w:t>
      </w:r>
      <w:proofErr w:type="spellEnd"/>
      <w:r w:rsidR="008D2053" w:rsidRPr="008C1EDC">
        <w:rPr>
          <w:i/>
          <w:sz w:val="20"/>
          <w:szCs w:val="20"/>
        </w:rPr>
        <w:t xml:space="preserve"> and Craigavon Borough </w:t>
      </w:r>
      <w:r w:rsidR="008D2053">
        <w:rPr>
          <w:i/>
          <w:sz w:val="20"/>
          <w:szCs w:val="20"/>
        </w:rPr>
        <w:t xml:space="preserve">and Northern Ireland Q1 </w:t>
      </w:r>
      <w:r w:rsidR="002F5387">
        <w:rPr>
          <w:i/>
          <w:sz w:val="20"/>
          <w:szCs w:val="20"/>
        </w:rPr>
        <w:t>2008 to Q1</w:t>
      </w:r>
      <w:r>
        <w:rPr>
          <w:i/>
          <w:sz w:val="20"/>
          <w:szCs w:val="20"/>
        </w:rPr>
        <w:t xml:space="preserve"> 202</w:t>
      </w:r>
      <w:r w:rsidR="002F5387">
        <w:rPr>
          <w:i/>
          <w:sz w:val="20"/>
          <w:szCs w:val="20"/>
        </w:rPr>
        <w:t>2</w:t>
      </w:r>
      <w:r w:rsidR="008D2053" w:rsidRPr="008C1EDC">
        <w:rPr>
          <w:i/>
          <w:sz w:val="20"/>
          <w:szCs w:val="20"/>
        </w:rPr>
        <w:t xml:space="preserve">. Source: </w:t>
      </w:r>
      <w:r w:rsidR="008D2053">
        <w:rPr>
          <w:i/>
          <w:sz w:val="20"/>
          <w:szCs w:val="20"/>
        </w:rPr>
        <w:t>Land and Property Services, NISRA</w:t>
      </w:r>
      <w:r w:rsidR="008D2053" w:rsidRPr="008C1EDC">
        <w:rPr>
          <w:i/>
          <w:sz w:val="20"/>
          <w:szCs w:val="20"/>
        </w:rPr>
        <w:t>.</w:t>
      </w:r>
    </w:p>
    <w:p w:rsidR="00280A60" w:rsidRDefault="00EF616C" w:rsidP="008D2053">
      <w:r w:rsidRPr="00CD5C85">
        <w:lastRenderedPageBreak/>
        <w:t xml:space="preserve">The </w:t>
      </w:r>
      <w:r w:rsidR="005757B8" w:rsidRPr="00CD5C85">
        <w:t xml:space="preserve">total </w:t>
      </w:r>
      <w:r w:rsidR="0058671C" w:rsidRPr="00CD5C85">
        <w:t xml:space="preserve">number of verified residential property sales in Armagh City, </w:t>
      </w:r>
      <w:proofErr w:type="spellStart"/>
      <w:r w:rsidR="0058671C" w:rsidRPr="00CD5C85">
        <w:t>Banbridge</w:t>
      </w:r>
      <w:proofErr w:type="spellEnd"/>
      <w:r w:rsidR="0058671C" w:rsidRPr="00CD5C85">
        <w:t xml:space="preserve"> and C</w:t>
      </w:r>
      <w:r w:rsidR="00FD06D7" w:rsidRPr="00CD5C85">
        <w:t>r</w:t>
      </w:r>
      <w:r w:rsidR="00114D48" w:rsidRPr="00CD5C85">
        <w:t xml:space="preserve">aigavon Borough was </w:t>
      </w:r>
      <w:r w:rsidR="005757B8" w:rsidRPr="00CD5C85">
        <w:t>3,</w:t>
      </w:r>
      <w:r w:rsidR="00CD5C85" w:rsidRPr="00CD5C85">
        <w:t>439</w:t>
      </w:r>
      <w:r w:rsidR="00114D48" w:rsidRPr="00CD5C85">
        <w:t xml:space="preserve"> in </w:t>
      </w:r>
      <w:r w:rsidR="005757B8" w:rsidRPr="00CD5C85">
        <w:t>2021</w:t>
      </w:r>
      <w:r w:rsidR="00FD06D7" w:rsidRPr="00CD5C85">
        <w:t xml:space="preserve">, </w:t>
      </w:r>
      <w:r w:rsidR="005757B8" w:rsidRPr="00CD5C85">
        <w:t xml:space="preserve">an increase of </w:t>
      </w:r>
      <w:r w:rsidR="00CD5C85" w:rsidRPr="00CD5C85">
        <w:t>36</w:t>
      </w:r>
      <w:r w:rsidR="005757B8" w:rsidRPr="00CD5C85">
        <w:t xml:space="preserve">% on 2020 sales (2,521).  </w:t>
      </w:r>
      <w:r w:rsidR="001C4719" w:rsidRPr="00CD5C85">
        <w:t xml:space="preserve">It should be noted that figures for </w:t>
      </w:r>
      <w:r w:rsidR="00390ACA">
        <w:t>the most recent quarters</w:t>
      </w:r>
      <w:r w:rsidR="001C4719" w:rsidRPr="00CD5C85">
        <w:t xml:space="preserve"> are provisional and </w:t>
      </w:r>
      <w:r w:rsidR="00390ACA">
        <w:t>will</w:t>
      </w:r>
      <w:r w:rsidR="001C4719" w:rsidRPr="00CD5C85">
        <w:t xml:space="preserve"> increase due to late sales returns and new dwellings being added to the Valuation List after the quarter. </w:t>
      </w:r>
    </w:p>
    <w:p w:rsidR="0066786B" w:rsidRPr="004A1E55" w:rsidRDefault="00280A60" w:rsidP="008D2053">
      <w:r w:rsidRPr="004A1E55">
        <w:t xml:space="preserve">The provisional figures for </w:t>
      </w:r>
      <w:r w:rsidR="00CD5C85" w:rsidRPr="004A1E55">
        <w:t>Q1 2022</w:t>
      </w:r>
      <w:r w:rsidRPr="004A1E55">
        <w:t xml:space="preserve"> show </w:t>
      </w:r>
      <w:r w:rsidR="00CD5C85" w:rsidRPr="004A1E55">
        <w:t>173</w:t>
      </w:r>
      <w:r w:rsidR="0041571F" w:rsidRPr="004A1E55">
        <w:t xml:space="preserve"> </w:t>
      </w:r>
      <w:r w:rsidR="00647E43" w:rsidRPr="004A1E55">
        <w:t>detached properties were sold in Armagh City,</w:t>
      </w:r>
      <w:r w:rsidR="00FD06D7" w:rsidRPr="004A1E55">
        <w:t xml:space="preserve"> </w:t>
      </w:r>
      <w:proofErr w:type="spellStart"/>
      <w:r w:rsidR="00FD06D7" w:rsidRPr="004A1E55">
        <w:t>Banbridge</w:t>
      </w:r>
      <w:proofErr w:type="spellEnd"/>
      <w:r w:rsidR="00FD06D7" w:rsidRPr="004A1E55">
        <w:t xml:space="preserve"> and Craigavon</w:t>
      </w:r>
      <w:r w:rsidR="004919D3" w:rsidRPr="004A1E55">
        <w:t xml:space="preserve"> Borough</w:t>
      </w:r>
      <w:r w:rsidR="00FD06D7" w:rsidRPr="004A1E55">
        <w:t xml:space="preserve"> </w:t>
      </w:r>
      <w:r w:rsidR="00CD5C85" w:rsidRPr="004A1E55">
        <w:t xml:space="preserve">between </w:t>
      </w:r>
      <w:proofErr w:type="gramStart"/>
      <w:r w:rsidR="00CD5C85" w:rsidRPr="004A1E55">
        <w:t>January</w:t>
      </w:r>
      <w:proofErr w:type="gramEnd"/>
      <w:r w:rsidR="00CD5C85" w:rsidRPr="004A1E55">
        <w:t xml:space="preserve"> - March</w:t>
      </w:r>
      <w:r w:rsidR="00FD06D7" w:rsidRPr="004A1E55">
        <w:t xml:space="preserve"> </w:t>
      </w:r>
      <w:r w:rsidR="0041571F" w:rsidRPr="004A1E55">
        <w:t>202</w:t>
      </w:r>
      <w:r w:rsidR="00CD5C85" w:rsidRPr="004A1E55">
        <w:t>2</w:t>
      </w:r>
      <w:r w:rsidR="0041571F" w:rsidRPr="004A1E55">
        <w:t xml:space="preserve">, accounting for </w:t>
      </w:r>
      <w:r w:rsidR="004A1E55" w:rsidRPr="004A1E55">
        <w:t>30</w:t>
      </w:r>
      <w:r w:rsidR="00647E43" w:rsidRPr="004A1E55">
        <w:t>% of all residential property sales in the borough</w:t>
      </w:r>
      <w:r w:rsidRPr="004A1E55">
        <w:t xml:space="preserve">. </w:t>
      </w:r>
      <w:r w:rsidR="004A1E55" w:rsidRPr="004A1E55">
        <w:t xml:space="preserve"> Semi-detached properties accounted for almost 3</w:t>
      </w:r>
      <w:r w:rsidR="00063DC9">
        <w:t>3</w:t>
      </w:r>
      <w:bookmarkStart w:id="0" w:name="_GoBack"/>
      <w:bookmarkEnd w:id="0"/>
      <w:r w:rsidR="004A1E55" w:rsidRPr="004A1E55">
        <w:t xml:space="preserve">% of the total sales while </w:t>
      </w:r>
      <w:r w:rsidRPr="004A1E55">
        <w:t xml:space="preserve">Apartments made up just </w:t>
      </w:r>
      <w:r w:rsidR="004A1E55" w:rsidRPr="004A1E55">
        <w:t>2.8</w:t>
      </w:r>
      <w:r w:rsidR="00CD25E3" w:rsidRPr="004A1E55">
        <w:t>% of verified residential property</w:t>
      </w:r>
      <w:r w:rsidR="0041571F" w:rsidRPr="004A1E55">
        <w:t xml:space="preserve"> sales in the borough in </w:t>
      </w:r>
      <w:r w:rsidR="004A1E55" w:rsidRPr="004A1E55">
        <w:t>Q1 2022</w:t>
      </w:r>
      <w:r w:rsidR="00CD25E3" w:rsidRPr="004A1E55">
        <w:t>.</w:t>
      </w:r>
    </w:p>
    <w:tbl>
      <w:tblPr>
        <w:tblStyle w:val="GridTable1Light"/>
        <w:tblW w:w="9038" w:type="dxa"/>
        <w:tblLook w:val="04A0" w:firstRow="1" w:lastRow="0" w:firstColumn="1" w:lastColumn="0" w:noHBand="0" w:noVBand="1"/>
        <w:tblCaption w:val="Number of verified residential property sales by type in Armagh City, Banbridge and Craigavon Borough Q1 2015 to Q4 2021"/>
      </w:tblPr>
      <w:tblGrid>
        <w:gridCol w:w="1338"/>
        <w:gridCol w:w="1540"/>
        <w:gridCol w:w="1540"/>
        <w:gridCol w:w="1540"/>
        <w:gridCol w:w="1540"/>
        <w:gridCol w:w="1540"/>
      </w:tblGrid>
      <w:tr w:rsidR="005757B8" w:rsidRPr="005757B8" w:rsidTr="00BE25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5757B8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757B8" w:rsidRPr="005757B8" w:rsidRDefault="005757B8" w:rsidP="00575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  <w:p w:rsidR="005757B8" w:rsidRPr="005757B8" w:rsidRDefault="005757B8" w:rsidP="00575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Apartments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  <w:p w:rsidR="005757B8" w:rsidRPr="005757B8" w:rsidRDefault="005757B8" w:rsidP="00575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Detached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  <w:p w:rsidR="005757B8" w:rsidRPr="005757B8" w:rsidRDefault="005757B8" w:rsidP="00575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Semi-detached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  <w:p w:rsidR="005757B8" w:rsidRPr="005757B8" w:rsidRDefault="005757B8" w:rsidP="00575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Terrace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  <w:p w:rsidR="005757B8" w:rsidRPr="005757B8" w:rsidRDefault="005757B8" w:rsidP="00575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Total</w:t>
            </w:r>
          </w:p>
        </w:tc>
      </w:tr>
      <w:tr w:rsidR="005757B8" w:rsidRPr="005757B8" w:rsidTr="005757B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5757B8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2015 – Q1</w:t>
            </w:r>
          </w:p>
        </w:tc>
        <w:tc>
          <w:tcPr>
            <w:tcW w:w="1540" w:type="dxa"/>
            <w:noWrap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188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191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131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515</w:t>
            </w:r>
          </w:p>
        </w:tc>
      </w:tr>
      <w:tr w:rsidR="005757B8" w:rsidRPr="005757B8" w:rsidTr="005757B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5757B8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2015 – Q2</w:t>
            </w:r>
          </w:p>
        </w:tc>
        <w:tc>
          <w:tcPr>
            <w:tcW w:w="1540" w:type="dxa"/>
            <w:noWrap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208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197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151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566</w:t>
            </w:r>
          </w:p>
        </w:tc>
      </w:tr>
      <w:tr w:rsidR="005757B8" w:rsidRPr="005757B8" w:rsidTr="005757B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5757B8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2015 – Q3</w:t>
            </w:r>
          </w:p>
        </w:tc>
        <w:tc>
          <w:tcPr>
            <w:tcW w:w="1540" w:type="dxa"/>
            <w:noWrap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225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227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152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613</w:t>
            </w:r>
          </w:p>
        </w:tc>
      </w:tr>
      <w:tr w:rsidR="005757B8" w:rsidRPr="005757B8" w:rsidTr="005757B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5757B8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2015 – Q4</w:t>
            </w:r>
          </w:p>
        </w:tc>
        <w:tc>
          <w:tcPr>
            <w:tcW w:w="1540" w:type="dxa"/>
            <w:noWrap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234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267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175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683</w:t>
            </w:r>
          </w:p>
        </w:tc>
      </w:tr>
      <w:tr w:rsidR="005757B8" w:rsidRPr="005757B8" w:rsidTr="005757B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5757B8" w:rsidRDefault="005757B8" w:rsidP="005757B8">
            <w:pPr>
              <w:jc w:val="center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iCs/>
                <w:lang w:eastAsia="en-GB"/>
              </w:rPr>
              <w:t>2015 Total</w:t>
            </w:r>
          </w:p>
        </w:tc>
        <w:tc>
          <w:tcPr>
            <w:tcW w:w="1540" w:type="dxa"/>
            <w:noWrap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iCs/>
                <w:lang w:eastAsia="en-GB"/>
              </w:rPr>
              <w:t>31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iCs/>
                <w:lang w:eastAsia="en-GB"/>
              </w:rPr>
              <w:t>855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iCs/>
                <w:lang w:eastAsia="en-GB"/>
              </w:rPr>
              <w:t>882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iCs/>
                <w:lang w:eastAsia="en-GB"/>
              </w:rPr>
              <w:t>609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iCs/>
                <w:lang w:eastAsia="en-GB"/>
              </w:rPr>
              <w:t>2,377</w:t>
            </w:r>
          </w:p>
        </w:tc>
      </w:tr>
      <w:tr w:rsidR="005757B8" w:rsidRPr="005757B8" w:rsidTr="005757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:rsidR="005757B8" w:rsidRPr="005757B8" w:rsidRDefault="005757B8" w:rsidP="005757B8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</w:p>
        </w:tc>
        <w:tc>
          <w:tcPr>
            <w:tcW w:w="1540" w:type="dxa"/>
            <w:noWrap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757B8" w:rsidRPr="005757B8" w:rsidTr="005757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5757B8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2016 – Q1</w:t>
            </w:r>
          </w:p>
        </w:tc>
        <w:tc>
          <w:tcPr>
            <w:tcW w:w="1540" w:type="dxa"/>
            <w:noWrap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245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241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196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692</w:t>
            </w:r>
          </w:p>
        </w:tc>
      </w:tr>
      <w:tr w:rsidR="005757B8" w:rsidRPr="005757B8" w:rsidTr="005757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5757B8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2016 – Q2</w:t>
            </w:r>
          </w:p>
        </w:tc>
        <w:tc>
          <w:tcPr>
            <w:tcW w:w="1540" w:type="dxa"/>
            <w:noWrap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194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205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124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534</w:t>
            </w:r>
          </w:p>
        </w:tc>
      </w:tr>
      <w:tr w:rsidR="005757B8" w:rsidRPr="005757B8" w:rsidTr="005757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5757B8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2016 – Q3</w:t>
            </w:r>
          </w:p>
        </w:tc>
        <w:tc>
          <w:tcPr>
            <w:tcW w:w="1540" w:type="dxa"/>
            <w:noWrap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222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252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162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643</w:t>
            </w:r>
          </w:p>
        </w:tc>
      </w:tr>
      <w:tr w:rsidR="005757B8" w:rsidRPr="005757B8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5757B8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2016 – Q4</w:t>
            </w:r>
          </w:p>
        </w:tc>
        <w:tc>
          <w:tcPr>
            <w:tcW w:w="1540" w:type="dxa"/>
            <w:noWrap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254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274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166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706</w:t>
            </w:r>
          </w:p>
        </w:tc>
      </w:tr>
      <w:tr w:rsidR="005757B8" w:rsidRPr="005757B8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5757B8" w:rsidRDefault="005757B8" w:rsidP="005757B8">
            <w:pPr>
              <w:jc w:val="center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iCs/>
                <w:lang w:eastAsia="en-GB"/>
              </w:rPr>
              <w:t>2016 Total</w:t>
            </w:r>
          </w:p>
        </w:tc>
        <w:tc>
          <w:tcPr>
            <w:tcW w:w="1540" w:type="dxa"/>
            <w:noWrap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iCs/>
                <w:lang w:eastAsia="en-GB"/>
              </w:rPr>
              <w:t>40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iCs/>
                <w:lang w:eastAsia="en-GB"/>
              </w:rPr>
              <w:t>915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iCs/>
                <w:lang w:eastAsia="en-GB"/>
              </w:rPr>
              <w:t>972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iCs/>
                <w:lang w:eastAsia="en-GB"/>
              </w:rPr>
              <w:t>648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iCs/>
                <w:lang w:eastAsia="en-GB"/>
              </w:rPr>
              <w:t>2,575</w:t>
            </w:r>
          </w:p>
        </w:tc>
      </w:tr>
      <w:tr w:rsidR="005757B8" w:rsidRPr="005757B8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:rsidR="005757B8" w:rsidRPr="005757B8" w:rsidRDefault="005757B8" w:rsidP="005757B8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</w:p>
        </w:tc>
        <w:tc>
          <w:tcPr>
            <w:tcW w:w="1540" w:type="dxa"/>
            <w:noWrap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757B8" w:rsidRPr="005757B8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5757B8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2017 – Q1</w:t>
            </w:r>
          </w:p>
        </w:tc>
        <w:tc>
          <w:tcPr>
            <w:tcW w:w="1540" w:type="dxa"/>
            <w:noWrap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195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248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147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600</w:t>
            </w:r>
          </w:p>
        </w:tc>
      </w:tr>
      <w:tr w:rsidR="005757B8" w:rsidRPr="005757B8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5757B8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2017 – Q2</w:t>
            </w:r>
          </w:p>
        </w:tc>
        <w:tc>
          <w:tcPr>
            <w:tcW w:w="1540" w:type="dxa"/>
            <w:noWrap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17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257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241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171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686</w:t>
            </w:r>
          </w:p>
        </w:tc>
      </w:tr>
      <w:tr w:rsidR="005757B8" w:rsidRPr="005757B8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5757B8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2017 – Q3</w:t>
            </w:r>
          </w:p>
        </w:tc>
        <w:tc>
          <w:tcPr>
            <w:tcW w:w="1540" w:type="dxa"/>
            <w:noWrap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265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292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171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738</w:t>
            </w:r>
          </w:p>
        </w:tc>
      </w:tr>
      <w:tr w:rsidR="005757B8" w:rsidRPr="005757B8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5757B8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2017 – Q4</w:t>
            </w:r>
          </w:p>
        </w:tc>
        <w:tc>
          <w:tcPr>
            <w:tcW w:w="1540" w:type="dxa"/>
            <w:noWrap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264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357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189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823</w:t>
            </w:r>
          </w:p>
        </w:tc>
      </w:tr>
      <w:tr w:rsidR="005757B8" w:rsidRPr="005757B8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5757B8" w:rsidRDefault="005757B8" w:rsidP="005757B8">
            <w:pPr>
              <w:jc w:val="center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iCs/>
                <w:lang w:eastAsia="en-GB"/>
              </w:rPr>
              <w:t>2017 Total</w:t>
            </w:r>
          </w:p>
        </w:tc>
        <w:tc>
          <w:tcPr>
            <w:tcW w:w="1540" w:type="dxa"/>
            <w:noWrap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iCs/>
                <w:lang w:eastAsia="en-GB"/>
              </w:rPr>
              <w:t>50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iCs/>
                <w:lang w:eastAsia="en-GB"/>
              </w:rPr>
              <w:t>981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iCs/>
                <w:lang w:eastAsia="en-GB"/>
              </w:rPr>
              <w:t>1,138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iCs/>
                <w:lang w:eastAsia="en-GB"/>
              </w:rPr>
              <w:t>678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iCs/>
                <w:lang w:eastAsia="en-GB"/>
              </w:rPr>
              <w:t>2,847</w:t>
            </w:r>
          </w:p>
        </w:tc>
      </w:tr>
      <w:tr w:rsidR="005757B8" w:rsidRPr="005757B8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:rsidR="005757B8" w:rsidRPr="005757B8" w:rsidRDefault="005757B8" w:rsidP="005757B8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</w:p>
        </w:tc>
        <w:tc>
          <w:tcPr>
            <w:tcW w:w="1540" w:type="dxa"/>
            <w:noWrap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757B8" w:rsidRPr="005757B8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5757B8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2018 – Q1</w:t>
            </w:r>
          </w:p>
        </w:tc>
        <w:tc>
          <w:tcPr>
            <w:tcW w:w="1540" w:type="dxa"/>
            <w:noWrap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223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240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141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611</w:t>
            </w:r>
          </w:p>
        </w:tc>
      </w:tr>
      <w:tr w:rsidR="005757B8" w:rsidRPr="005757B8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5757B8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2018 – Q2</w:t>
            </w:r>
          </w:p>
        </w:tc>
        <w:tc>
          <w:tcPr>
            <w:tcW w:w="1540" w:type="dxa"/>
            <w:noWrap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263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264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171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711</w:t>
            </w:r>
          </w:p>
        </w:tc>
      </w:tr>
      <w:tr w:rsidR="005757B8" w:rsidRPr="005757B8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5757B8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2018 – Q3</w:t>
            </w:r>
          </w:p>
        </w:tc>
        <w:tc>
          <w:tcPr>
            <w:tcW w:w="1540" w:type="dxa"/>
            <w:noWrap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268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301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165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744</w:t>
            </w:r>
          </w:p>
        </w:tc>
      </w:tr>
      <w:tr w:rsidR="005757B8" w:rsidRPr="005757B8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5757B8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2018 – Q4</w:t>
            </w:r>
          </w:p>
        </w:tc>
        <w:tc>
          <w:tcPr>
            <w:tcW w:w="1540" w:type="dxa"/>
            <w:noWrap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14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250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302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193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759</w:t>
            </w:r>
          </w:p>
        </w:tc>
      </w:tr>
      <w:tr w:rsidR="005757B8" w:rsidRPr="005757B8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5757B8" w:rsidRDefault="005757B8" w:rsidP="005757B8">
            <w:pPr>
              <w:jc w:val="center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iCs/>
                <w:lang w:eastAsia="en-GB"/>
              </w:rPr>
              <w:t>2018 Total</w:t>
            </w:r>
          </w:p>
        </w:tc>
        <w:tc>
          <w:tcPr>
            <w:tcW w:w="1540" w:type="dxa"/>
            <w:noWrap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iCs/>
                <w:lang w:eastAsia="en-GB"/>
              </w:rPr>
              <w:t>44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iCs/>
                <w:lang w:eastAsia="en-GB"/>
              </w:rPr>
              <w:t>1,004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iCs/>
                <w:lang w:eastAsia="en-GB"/>
              </w:rPr>
              <w:t>1,107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iCs/>
                <w:lang w:eastAsia="en-GB"/>
              </w:rPr>
              <w:t>670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iCs/>
                <w:lang w:eastAsia="en-GB"/>
              </w:rPr>
              <w:t>2,825</w:t>
            </w:r>
          </w:p>
        </w:tc>
      </w:tr>
      <w:tr w:rsidR="005757B8" w:rsidRPr="005757B8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:rsidR="005757B8" w:rsidRPr="005757B8" w:rsidRDefault="005757B8" w:rsidP="005757B8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</w:p>
        </w:tc>
        <w:tc>
          <w:tcPr>
            <w:tcW w:w="1540" w:type="dxa"/>
            <w:noWrap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757B8" w:rsidRPr="005757B8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5757B8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2019 – Q1</w:t>
            </w:r>
          </w:p>
        </w:tc>
        <w:tc>
          <w:tcPr>
            <w:tcW w:w="1540" w:type="dxa"/>
            <w:noWrap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166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233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142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553</w:t>
            </w:r>
          </w:p>
        </w:tc>
      </w:tr>
      <w:tr w:rsidR="005757B8" w:rsidRPr="005757B8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5757B8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2019 – Q2</w:t>
            </w:r>
          </w:p>
        </w:tc>
        <w:tc>
          <w:tcPr>
            <w:tcW w:w="1540" w:type="dxa"/>
            <w:noWrap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244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295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172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719</w:t>
            </w:r>
          </w:p>
        </w:tc>
      </w:tr>
      <w:tr w:rsidR="005757B8" w:rsidRPr="005757B8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5757B8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2019 – Q3</w:t>
            </w:r>
          </w:p>
        </w:tc>
        <w:tc>
          <w:tcPr>
            <w:tcW w:w="1540" w:type="dxa"/>
            <w:noWrap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266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268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191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735</w:t>
            </w:r>
          </w:p>
        </w:tc>
      </w:tr>
      <w:tr w:rsidR="005757B8" w:rsidRPr="005757B8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5757B8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2019 – Q4</w:t>
            </w:r>
          </w:p>
        </w:tc>
        <w:tc>
          <w:tcPr>
            <w:tcW w:w="1540" w:type="dxa"/>
            <w:noWrap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19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259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326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230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834</w:t>
            </w:r>
          </w:p>
        </w:tc>
      </w:tr>
      <w:tr w:rsidR="005757B8" w:rsidRPr="005757B8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5757B8" w:rsidRDefault="005757B8" w:rsidP="005757B8">
            <w:pPr>
              <w:jc w:val="center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iCs/>
                <w:lang w:eastAsia="en-GB"/>
              </w:rPr>
              <w:lastRenderedPageBreak/>
              <w:t>2019 Total</w:t>
            </w:r>
          </w:p>
        </w:tc>
        <w:tc>
          <w:tcPr>
            <w:tcW w:w="1540" w:type="dxa"/>
            <w:noWrap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iCs/>
                <w:lang w:eastAsia="en-GB"/>
              </w:rPr>
              <w:t>49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iCs/>
                <w:lang w:eastAsia="en-GB"/>
              </w:rPr>
              <w:t>935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iCs/>
                <w:lang w:eastAsia="en-GB"/>
              </w:rPr>
              <w:t>1,122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iCs/>
                <w:lang w:eastAsia="en-GB"/>
              </w:rPr>
              <w:t>735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iCs/>
                <w:lang w:eastAsia="en-GB"/>
              </w:rPr>
              <w:t>2,841</w:t>
            </w:r>
          </w:p>
        </w:tc>
      </w:tr>
      <w:tr w:rsidR="005757B8" w:rsidRPr="005757B8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:rsidR="005757B8" w:rsidRPr="005757B8" w:rsidRDefault="005757B8" w:rsidP="005757B8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</w:p>
        </w:tc>
        <w:tc>
          <w:tcPr>
            <w:tcW w:w="1540" w:type="dxa"/>
            <w:noWrap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757B8" w:rsidRPr="005757B8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5757B8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2020 – Q1</w:t>
            </w:r>
          </w:p>
        </w:tc>
        <w:tc>
          <w:tcPr>
            <w:tcW w:w="1540" w:type="dxa"/>
            <w:noWrap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244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229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150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638</w:t>
            </w:r>
          </w:p>
        </w:tc>
      </w:tr>
      <w:tr w:rsidR="005757B8" w:rsidRPr="005757B8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5757B8" w:rsidRDefault="005757B8" w:rsidP="005757B8">
            <w:pPr>
              <w:jc w:val="center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iCs/>
                <w:lang w:eastAsia="en-GB"/>
              </w:rPr>
              <w:t>2020 - Q2</w:t>
            </w:r>
          </w:p>
        </w:tc>
        <w:tc>
          <w:tcPr>
            <w:tcW w:w="1540" w:type="dxa"/>
            <w:noWrap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iCs/>
                <w:lang w:eastAsia="en-GB"/>
              </w:rPr>
              <w:t>1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iCs/>
                <w:lang w:eastAsia="en-GB"/>
              </w:rPr>
              <w:t>107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iCs/>
                <w:lang w:eastAsia="en-GB"/>
              </w:rPr>
              <w:t>113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iCs/>
                <w:lang w:eastAsia="en-GB"/>
              </w:rPr>
              <w:t>58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iCs/>
                <w:lang w:eastAsia="en-GB"/>
              </w:rPr>
              <w:t>279</w:t>
            </w:r>
          </w:p>
        </w:tc>
      </w:tr>
      <w:tr w:rsidR="005757B8" w:rsidRPr="005757B8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5757B8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2020 - Q3</w:t>
            </w:r>
          </w:p>
        </w:tc>
        <w:tc>
          <w:tcPr>
            <w:tcW w:w="1540" w:type="dxa"/>
            <w:noWrap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216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236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168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630</w:t>
            </w:r>
          </w:p>
        </w:tc>
      </w:tr>
      <w:tr w:rsidR="005757B8" w:rsidRPr="005757B8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5757B8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2020 - Q4</w:t>
            </w:r>
          </w:p>
        </w:tc>
        <w:tc>
          <w:tcPr>
            <w:tcW w:w="1540" w:type="dxa"/>
            <w:noWrap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386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350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223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974</w:t>
            </w:r>
          </w:p>
        </w:tc>
      </w:tr>
      <w:tr w:rsidR="005757B8" w:rsidRPr="005757B8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5757B8" w:rsidRDefault="005757B8" w:rsidP="005757B8">
            <w:pPr>
              <w:jc w:val="center"/>
              <w:rPr>
                <w:rFonts w:ascii="Calibri" w:eastAsia="Times New Roman" w:hAnsi="Calibri" w:cs="Calibri"/>
                <w:i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lang w:eastAsia="en-GB"/>
              </w:rPr>
              <w:t xml:space="preserve">2020 Total </w:t>
            </w:r>
          </w:p>
        </w:tc>
        <w:tc>
          <w:tcPr>
            <w:tcW w:w="1540" w:type="dxa"/>
            <w:noWrap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lang w:eastAsia="en-GB"/>
              </w:rPr>
              <w:t>41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lang w:eastAsia="en-GB"/>
              </w:rPr>
              <w:t>953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lang w:eastAsia="en-GB"/>
              </w:rPr>
              <w:t>928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lang w:eastAsia="en-GB"/>
              </w:rPr>
              <w:t>599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lang w:eastAsia="en-GB"/>
              </w:rPr>
              <w:t>2,521</w:t>
            </w:r>
          </w:p>
        </w:tc>
      </w:tr>
      <w:tr w:rsidR="005757B8" w:rsidRPr="005757B8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:rsidR="005757B8" w:rsidRPr="005757B8" w:rsidRDefault="005757B8" w:rsidP="005757B8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</w:p>
        </w:tc>
        <w:tc>
          <w:tcPr>
            <w:tcW w:w="1540" w:type="dxa"/>
            <w:noWrap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757B8" w:rsidRPr="005757B8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5757B8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2021 - Q1</w:t>
            </w:r>
          </w:p>
        </w:tc>
        <w:tc>
          <w:tcPr>
            <w:tcW w:w="1540" w:type="dxa"/>
            <w:noWrap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17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314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319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199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849</w:t>
            </w:r>
          </w:p>
        </w:tc>
      </w:tr>
      <w:tr w:rsidR="005757B8" w:rsidRPr="005757B8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5757B8" w:rsidRDefault="005757B8" w:rsidP="005757B8">
            <w:pPr>
              <w:jc w:val="center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iCs/>
                <w:lang w:eastAsia="en-GB"/>
              </w:rPr>
              <w:t>2021 - Q2</w:t>
            </w:r>
          </w:p>
        </w:tc>
        <w:tc>
          <w:tcPr>
            <w:tcW w:w="1540" w:type="dxa"/>
            <w:noWrap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iCs/>
                <w:lang w:eastAsia="en-GB"/>
              </w:rPr>
              <w:t>15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iCs/>
                <w:lang w:eastAsia="en-GB"/>
              </w:rPr>
              <w:t>278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iCs/>
                <w:lang w:eastAsia="en-GB"/>
              </w:rPr>
              <w:t>323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iCs/>
                <w:lang w:eastAsia="en-GB"/>
              </w:rPr>
              <w:t>207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iCs/>
                <w:lang w:eastAsia="en-GB"/>
              </w:rPr>
              <w:t>823</w:t>
            </w:r>
          </w:p>
        </w:tc>
      </w:tr>
      <w:tr w:rsidR="005757B8" w:rsidRPr="005757B8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5757B8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2021 - Q3</w:t>
            </w:r>
          </w:p>
        </w:tc>
        <w:tc>
          <w:tcPr>
            <w:tcW w:w="1540" w:type="dxa"/>
            <w:noWrap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  <w:tc>
          <w:tcPr>
            <w:tcW w:w="1540" w:type="dxa"/>
            <w:hideMark/>
          </w:tcPr>
          <w:p w:rsidR="005757B8" w:rsidRPr="005757B8" w:rsidRDefault="005757B8" w:rsidP="00CD5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3</w:t>
            </w:r>
            <w:r w:rsidR="00CD5C85">
              <w:rPr>
                <w:rFonts w:ascii="Calibri" w:eastAsia="Times New Roman" w:hAnsi="Calibri" w:cs="Calibri"/>
                <w:lang w:eastAsia="en-GB"/>
              </w:rPr>
              <w:t>33</w:t>
            </w:r>
          </w:p>
        </w:tc>
        <w:tc>
          <w:tcPr>
            <w:tcW w:w="1540" w:type="dxa"/>
            <w:hideMark/>
          </w:tcPr>
          <w:p w:rsidR="005757B8" w:rsidRPr="005757B8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3</w:t>
            </w:r>
            <w:r w:rsidR="00CD5C85">
              <w:rPr>
                <w:rFonts w:ascii="Calibri" w:eastAsia="Times New Roman" w:hAnsi="Calibri" w:cs="Calibri"/>
                <w:lang w:eastAsia="en-GB"/>
              </w:rPr>
              <w:t>68</w:t>
            </w:r>
          </w:p>
        </w:tc>
        <w:tc>
          <w:tcPr>
            <w:tcW w:w="1540" w:type="dxa"/>
            <w:hideMark/>
          </w:tcPr>
          <w:p w:rsidR="005757B8" w:rsidRPr="005757B8" w:rsidRDefault="00CD5C85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232</w:t>
            </w:r>
          </w:p>
        </w:tc>
        <w:tc>
          <w:tcPr>
            <w:tcW w:w="1540" w:type="dxa"/>
            <w:hideMark/>
          </w:tcPr>
          <w:p w:rsidR="005757B8" w:rsidRPr="005757B8" w:rsidRDefault="00CD5C85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948</w:t>
            </w:r>
          </w:p>
        </w:tc>
      </w:tr>
      <w:tr w:rsidR="005757B8" w:rsidRPr="005757B8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5757B8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2021 - Q4</w:t>
            </w:r>
          </w:p>
        </w:tc>
        <w:tc>
          <w:tcPr>
            <w:tcW w:w="1540" w:type="dxa"/>
            <w:noWrap/>
            <w:hideMark/>
          </w:tcPr>
          <w:p w:rsidR="005757B8" w:rsidRPr="005757B8" w:rsidRDefault="005757B8" w:rsidP="00CD5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1</w:t>
            </w:r>
            <w:r w:rsidR="00CD5C85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1540" w:type="dxa"/>
            <w:hideMark/>
          </w:tcPr>
          <w:p w:rsidR="005757B8" w:rsidRPr="005757B8" w:rsidRDefault="005757B8" w:rsidP="00CD5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</w:t>
            </w:r>
            <w:r w:rsidR="00CD5C85">
              <w:rPr>
                <w:rFonts w:ascii="Calibri" w:eastAsia="Times New Roman" w:hAnsi="Calibri" w:cs="Calibri"/>
                <w:lang w:eastAsia="en-GB"/>
              </w:rPr>
              <w:t>2</w:t>
            </w:r>
            <w:r w:rsidRPr="005757B8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1540" w:type="dxa"/>
            <w:hideMark/>
          </w:tcPr>
          <w:p w:rsidR="005757B8" w:rsidRPr="005757B8" w:rsidRDefault="00CD5C85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34</w:t>
            </w:r>
            <w:r w:rsidR="005757B8" w:rsidRPr="005757B8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1540" w:type="dxa"/>
            <w:hideMark/>
          </w:tcPr>
          <w:p w:rsidR="005757B8" w:rsidRPr="005757B8" w:rsidRDefault="005757B8" w:rsidP="00CD5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lang w:eastAsia="en-GB"/>
              </w:rPr>
              <w:t>2</w:t>
            </w:r>
            <w:r w:rsidR="00CD5C85">
              <w:rPr>
                <w:rFonts w:ascii="Calibri" w:eastAsia="Times New Roman" w:hAnsi="Calibri" w:cs="Calibri"/>
                <w:lang w:eastAsia="en-GB"/>
              </w:rPr>
              <w:t>35</w:t>
            </w:r>
          </w:p>
        </w:tc>
        <w:tc>
          <w:tcPr>
            <w:tcW w:w="1540" w:type="dxa"/>
            <w:hideMark/>
          </w:tcPr>
          <w:p w:rsidR="005757B8" w:rsidRPr="005757B8" w:rsidRDefault="00CD5C85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819</w:t>
            </w:r>
          </w:p>
        </w:tc>
      </w:tr>
      <w:tr w:rsidR="005757B8" w:rsidRPr="005757B8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5757B8" w:rsidRDefault="005757B8" w:rsidP="005757B8">
            <w:pPr>
              <w:jc w:val="center"/>
              <w:rPr>
                <w:rFonts w:ascii="Calibri" w:eastAsia="Times New Roman" w:hAnsi="Calibri" w:cs="Calibri"/>
                <w:i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lang w:eastAsia="en-GB"/>
              </w:rPr>
              <w:t xml:space="preserve">2021 Total </w:t>
            </w:r>
          </w:p>
        </w:tc>
        <w:tc>
          <w:tcPr>
            <w:tcW w:w="1540" w:type="dxa"/>
            <w:noWrap/>
            <w:hideMark/>
          </w:tcPr>
          <w:p w:rsidR="005757B8" w:rsidRPr="005757B8" w:rsidRDefault="005757B8" w:rsidP="00CD5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lang w:eastAsia="en-GB"/>
              </w:rPr>
              <w:t>5</w:t>
            </w:r>
            <w:r w:rsidR="00CD5C85">
              <w:rPr>
                <w:rFonts w:ascii="Calibri" w:eastAsia="Times New Roman" w:hAnsi="Calibri" w:cs="Calibri"/>
                <w:i/>
                <w:lang w:eastAsia="en-GB"/>
              </w:rPr>
              <w:t>9</w:t>
            </w:r>
          </w:p>
        </w:tc>
        <w:tc>
          <w:tcPr>
            <w:tcW w:w="1540" w:type="dxa"/>
            <w:hideMark/>
          </w:tcPr>
          <w:p w:rsidR="005757B8" w:rsidRPr="005757B8" w:rsidRDefault="005757B8" w:rsidP="00CD5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lang w:eastAsia="en-GB"/>
              </w:rPr>
              <w:t>1,1</w:t>
            </w:r>
            <w:r w:rsidR="00CD5C85">
              <w:rPr>
                <w:rFonts w:ascii="Calibri" w:eastAsia="Times New Roman" w:hAnsi="Calibri" w:cs="Calibri"/>
                <w:i/>
                <w:lang w:eastAsia="en-GB"/>
              </w:rPr>
              <w:t>53</w:t>
            </w:r>
          </w:p>
        </w:tc>
        <w:tc>
          <w:tcPr>
            <w:tcW w:w="1540" w:type="dxa"/>
            <w:hideMark/>
          </w:tcPr>
          <w:p w:rsidR="005757B8" w:rsidRPr="005757B8" w:rsidRDefault="005757B8" w:rsidP="00CD5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lang w:eastAsia="en-GB"/>
              </w:rPr>
              <w:t>1,</w:t>
            </w:r>
            <w:r w:rsidR="00CD5C85">
              <w:rPr>
                <w:rFonts w:ascii="Calibri" w:eastAsia="Times New Roman" w:hAnsi="Calibri" w:cs="Calibri"/>
                <w:i/>
                <w:lang w:eastAsia="en-GB"/>
              </w:rPr>
              <w:t>354</w:t>
            </w:r>
          </w:p>
        </w:tc>
        <w:tc>
          <w:tcPr>
            <w:tcW w:w="1540" w:type="dxa"/>
            <w:hideMark/>
          </w:tcPr>
          <w:p w:rsidR="005757B8" w:rsidRPr="005757B8" w:rsidRDefault="005757B8" w:rsidP="00CD5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lang w:eastAsia="en-GB"/>
              </w:rPr>
              <w:t>8</w:t>
            </w:r>
            <w:r w:rsidR="00CD5C85">
              <w:rPr>
                <w:rFonts w:ascii="Calibri" w:eastAsia="Times New Roman" w:hAnsi="Calibri" w:cs="Calibri"/>
                <w:i/>
                <w:lang w:eastAsia="en-GB"/>
              </w:rPr>
              <w:t>73</w:t>
            </w:r>
          </w:p>
        </w:tc>
        <w:tc>
          <w:tcPr>
            <w:tcW w:w="1540" w:type="dxa"/>
            <w:hideMark/>
          </w:tcPr>
          <w:p w:rsidR="005757B8" w:rsidRPr="005757B8" w:rsidRDefault="005757B8" w:rsidP="00CD5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lang w:eastAsia="en-GB"/>
              </w:rPr>
            </w:pPr>
            <w:r w:rsidRPr="005757B8">
              <w:rPr>
                <w:rFonts w:ascii="Calibri" w:eastAsia="Times New Roman" w:hAnsi="Calibri" w:cs="Calibri"/>
                <w:i/>
                <w:lang w:eastAsia="en-GB"/>
              </w:rPr>
              <w:t>3,</w:t>
            </w:r>
            <w:r w:rsidR="00CD5C85">
              <w:rPr>
                <w:rFonts w:ascii="Calibri" w:eastAsia="Times New Roman" w:hAnsi="Calibri" w:cs="Calibri"/>
                <w:i/>
                <w:lang w:eastAsia="en-GB"/>
              </w:rPr>
              <w:t>439</w:t>
            </w:r>
          </w:p>
        </w:tc>
      </w:tr>
      <w:tr w:rsidR="00CD5C85" w:rsidRPr="00CD5C85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:rsidR="00CD5C85" w:rsidRPr="00CD5C85" w:rsidRDefault="00CD5C85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D5C85">
              <w:rPr>
                <w:rFonts w:ascii="Calibri" w:eastAsia="Times New Roman" w:hAnsi="Calibri" w:cs="Calibri"/>
                <w:lang w:eastAsia="en-GB"/>
              </w:rPr>
              <w:t>2022 – Q1</w:t>
            </w:r>
          </w:p>
        </w:tc>
        <w:tc>
          <w:tcPr>
            <w:tcW w:w="1540" w:type="dxa"/>
            <w:noWrap/>
          </w:tcPr>
          <w:p w:rsidR="00CD5C85" w:rsidRPr="00CD5C85" w:rsidRDefault="00CD5C85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16</w:t>
            </w:r>
          </w:p>
        </w:tc>
        <w:tc>
          <w:tcPr>
            <w:tcW w:w="1540" w:type="dxa"/>
          </w:tcPr>
          <w:p w:rsidR="00CD5C85" w:rsidRPr="00CD5C85" w:rsidRDefault="00CD5C85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173</w:t>
            </w:r>
          </w:p>
        </w:tc>
        <w:tc>
          <w:tcPr>
            <w:tcW w:w="1540" w:type="dxa"/>
          </w:tcPr>
          <w:p w:rsidR="00CD5C85" w:rsidRPr="00CD5C85" w:rsidRDefault="00CD5C85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193</w:t>
            </w:r>
          </w:p>
        </w:tc>
        <w:tc>
          <w:tcPr>
            <w:tcW w:w="1540" w:type="dxa"/>
          </w:tcPr>
          <w:p w:rsidR="00CD5C85" w:rsidRPr="00CD5C85" w:rsidRDefault="00CD5C85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187</w:t>
            </w:r>
          </w:p>
        </w:tc>
        <w:tc>
          <w:tcPr>
            <w:tcW w:w="1540" w:type="dxa"/>
          </w:tcPr>
          <w:p w:rsidR="00CD5C85" w:rsidRPr="00CD5C85" w:rsidRDefault="00CD5C85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569</w:t>
            </w:r>
          </w:p>
        </w:tc>
      </w:tr>
    </w:tbl>
    <w:p w:rsidR="0066786B" w:rsidRDefault="0066786B" w:rsidP="008D2053">
      <w:pPr>
        <w:rPr>
          <w:i/>
          <w:sz w:val="20"/>
          <w:szCs w:val="20"/>
        </w:rPr>
      </w:pPr>
      <w:r w:rsidRPr="005757B8">
        <w:rPr>
          <w:i/>
          <w:sz w:val="20"/>
          <w:szCs w:val="20"/>
        </w:rPr>
        <w:t xml:space="preserve">Table 2: </w:t>
      </w:r>
      <w:r w:rsidR="0058671C" w:rsidRPr="005757B8">
        <w:rPr>
          <w:i/>
          <w:sz w:val="20"/>
          <w:szCs w:val="20"/>
        </w:rPr>
        <w:t xml:space="preserve">Number of verified residential property sales by type in </w:t>
      </w:r>
      <w:r w:rsidRPr="005757B8">
        <w:rPr>
          <w:i/>
          <w:sz w:val="20"/>
          <w:szCs w:val="20"/>
        </w:rPr>
        <w:t xml:space="preserve">Armagh City, </w:t>
      </w:r>
      <w:proofErr w:type="spellStart"/>
      <w:r w:rsidRPr="005757B8">
        <w:rPr>
          <w:i/>
          <w:sz w:val="20"/>
          <w:szCs w:val="20"/>
        </w:rPr>
        <w:t>Banbridge</w:t>
      </w:r>
      <w:proofErr w:type="spellEnd"/>
      <w:r w:rsidRPr="005757B8">
        <w:rPr>
          <w:i/>
          <w:sz w:val="20"/>
          <w:szCs w:val="20"/>
        </w:rPr>
        <w:t xml:space="preserve"> and Craigavon Borough Q1 </w:t>
      </w:r>
      <w:r w:rsidR="0058671C" w:rsidRPr="005757B8">
        <w:rPr>
          <w:i/>
          <w:sz w:val="20"/>
          <w:szCs w:val="20"/>
        </w:rPr>
        <w:t>2015</w:t>
      </w:r>
      <w:r w:rsidRPr="005757B8">
        <w:rPr>
          <w:i/>
          <w:sz w:val="20"/>
          <w:szCs w:val="20"/>
        </w:rPr>
        <w:t xml:space="preserve"> to Q</w:t>
      </w:r>
      <w:r w:rsidR="00CD5C85">
        <w:rPr>
          <w:i/>
          <w:sz w:val="20"/>
          <w:szCs w:val="20"/>
        </w:rPr>
        <w:t>1</w:t>
      </w:r>
      <w:r w:rsidR="005757B8" w:rsidRPr="005757B8">
        <w:rPr>
          <w:i/>
          <w:sz w:val="20"/>
          <w:szCs w:val="20"/>
        </w:rPr>
        <w:t xml:space="preserve"> 202</w:t>
      </w:r>
      <w:r w:rsidR="00CD5C85">
        <w:rPr>
          <w:i/>
          <w:sz w:val="20"/>
          <w:szCs w:val="20"/>
        </w:rPr>
        <w:t>2</w:t>
      </w:r>
      <w:r w:rsidR="005757B8" w:rsidRPr="005757B8">
        <w:rPr>
          <w:rStyle w:val="FootnoteReference"/>
          <w:i/>
          <w:sz w:val="20"/>
          <w:szCs w:val="20"/>
        </w:rPr>
        <w:footnoteReference w:id="3"/>
      </w:r>
      <w:r w:rsidRPr="005757B8">
        <w:rPr>
          <w:i/>
          <w:sz w:val="20"/>
          <w:szCs w:val="20"/>
        </w:rPr>
        <w:t>. Source: Land and Property Services, NISRA.</w:t>
      </w:r>
    </w:p>
    <w:p w:rsidR="00CD5C85" w:rsidRDefault="00CD5C85" w:rsidP="008D2053">
      <w:pPr>
        <w:rPr>
          <w:i/>
          <w:sz w:val="20"/>
          <w:szCs w:val="20"/>
        </w:rPr>
      </w:pPr>
    </w:p>
    <w:p w:rsidR="00CD5C85" w:rsidRPr="005757B8" w:rsidRDefault="00CD5C85" w:rsidP="008D2053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705A3261" wp14:editId="59812797">
            <wp:extent cx="5731510" cy="3029585"/>
            <wp:effectExtent l="0" t="0" r="2540" b="18415"/>
            <wp:docPr id="5" name="Chart 5" title="Number of verified residential property sales in Armagh City, Banbridge and Craigavon Borough Q1 2015 to Q1 20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5048" w:rsidRPr="00AD017F" w:rsidRDefault="00575048" w:rsidP="00575048">
      <w:pPr>
        <w:rPr>
          <w:b/>
          <w:color w:val="FF0000"/>
          <w:sz w:val="20"/>
          <w:szCs w:val="20"/>
        </w:rPr>
      </w:pPr>
      <w:r w:rsidRPr="00AD017F">
        <w:rPr>
          <w:i/>
          <w:sz w:val="20"/>
          <w:szCs w:val="20"/>
        </w:rPr>
        <w:t xml:space="preserve">Figure 3: Number of verified residential property sales in Armagh City, </w:t>
      </w:r>
      <w:proofErr w:type="spellStart"/>
      <w:r w:rsidRPr="00AD017F">
        <w:rPr>
          <w:i/>
          <w:sz w:val="20"/>
          <w:szCs w:val="20"/>
        </w:rPr>
        <w:t>Banbridge</w:t>
      </w:r>
      <w:proofErr w:type="spellEnd"/>
      <w:r w:rsidRPr="00AD017F">
        <w:rPr>
          <w:i/>
          <w:sz w:val="20"/>
          <w:szCs w:val="20"/>
        </w:rPr>
        <w:t xml:space="preserve"> and Craigavon Borough </w:t>
      </w:r>
      <w:r w:rsidR="00AD017F" w:rsidRPr="00AD017F">
        <w:rPr>
          <w:i/>
          <w:sz w:val="20"/>
          <w:szCs w:val="20"/>
        </w:rPr>
        <w:t>Q1 2015 to Q</w:t>
      </w:r>
      <w:r w:rsidR="00CD5C85">
        <w:rPr>
          <w:i/>
          <w:sz w:val="20"/>
          <w:szCs w:val="20"/>
        </w:rPr>
        <w:t>1</w:t>
      </w:r>
      <w:r w:rsidR="00AD017F" w:rsidRPr="00AD017F">
        <w:rPr>
          <w:i/>
          <w:sz w:val="20"/>
          <w:szCs w:val="20"/>
        </w:rPr>
        <w:t xml:space="preserve"> 202</w:t>
      </w:r>
      <w:r w:rsidR="00CD5C85">
        <w:rPr>
          <w:i/>
          <w:sz w:val="20"/>
          <w:szCs w:val="20"/>
        </w:rPr>
        <w:t>2</w:t>
      </w:r>
      <w:r w:rsidRPr="00AD017F">
        <w:rPr>
          <w:i/>
          <w:sz w:val="20"/>
          <w:szCs w:val="20"/>
        </w:rPr>
        <w:t>. Source: Land and Property Services, NISRA.</w:t>
      </w:r>
    </w:p>
    <w:p w:rsidR="00BF5BEA" w:rsidRPr="00A409EB" w:rsidRDefault="00BF5BEA" w:rsidP="00575048">
      <w:r w:rsidRPr="00A409EB">
        <w:lastRenderedPageBreak/>
        <w:t>The number of verified residential property sales</w:t>
      </w:r>
      <w:r w:rsidR="00A409EB" w:rsidRPr="00A409EB">
        <w:t xml:space="preserve"> in Northern Ireland overall had been growing</w:t>
      </w:r>
      <w:r w:rsidRPr="00A409EB">
        <w:t xml:space="preserve"> year on year between 2015 and 2018. </w:t>
      </w:r>
      <w:r w:rsidR="00A409EB" w:rsidRPr="00A409EB">
        <w:t xml:space="preserve"> In 2019 there was a small decline in the total number of residential property sales and then and much sharper decline in 2020 when they reached a low of 21,2</w:t>
      </w:r>
      <w:r w:rsidR="00993745">
        <w:t>15</w:t>
      </w:r>
      <w:r w:rsidR="00A409EB" w:rsidRPr="00A409EB">
        <w:t>.  Betwe</w:t>
      </w:r>
      <w:r w:rsidR="005336B7">
        <w:t>en 2020 and 2021, there was a 43</w:t>
      </w:r>
      <w:r w:rsidR="00A409EB" w:rsidRPr="00A409EB">
        <w:t xml:space="preserve">% increase in residential property sales in Northern Ireland to </w:t>
      </w:r>
      <w:r w:rsidR="005336B7">
        <w:t>over</w:t>
      </w:r>
      <w:r w:rsidR="00A409EB" w:rsidRPr="00A409EB">
        <w:t xml:space="preserve"> 30,000 sales</w:t>
      </w:r>
      <w:r w:rsidR="001C4719" w:rsidRPr="00A409EB">
        <w:t xml:space="preserve">. </w:t>
      </w:r>
      <w:r w:rsidR="00A409EB" w:rsidRPr="00A409EB">
        <w:t xml:space="preserve"> As previously n</w:t>
      </w:r>
      <w:r w:rsidR="001A47AC">
        <w:t>oted</w:t>
      </w:r>
      <w:r w:rsidR="00A409EB" w:rsidRPr="00A409EB">
        <w:t xml:space="preserve">, the current figures </w:t>
      </w:r>
      <w:r w:rsidR="00390ACA">
        <w:t>for</w:t>
      </w:r>
      <w:r w:rsidR="00A409EB" w:rsidRPr="00A409EB">
        <w:t xml:space="preserve"> Q4 2021 are provisional and this number </w:t>
      </w:r>
      <w:r w:rsidR="005336B7">
        <w:t xml:space="preserve">may </w:t>
      </w:r>
      <w:r w:rsidR="00A409EB" w:rsidRPr="00A409EB">
        <w:t xml:space="preserve">be revised upwards in the next publication </w:t>
      </w:r>
      <w:r w:rsidR="00B1799E" w:rsidRPr="00A409EB">
        <w:t>due to late sales returns and new dwellings being added to the Va</w:t>
      </w:r>
      <w:r w:rsidR="001C4719" w:rsidRPr="00A409EB">
        <w:t>luation List after the quarter</w:t>
      </w:r>
      <w:r w:rsidR="00B1799E" w:rsidRPr="00A409EB">
        <w:t>.</w:t>
      </w:r>
    </w:p>
    <w:p w:rsidR="0057073C" w:rsidRPr="00613D15" w:rsidRDefault="00F32554" w:rsidP="00575048">
      <w:r w:rsidRPr="00613D15">
        <w:t>In Northern Ireland overall</w:t>
      </w:r>
      <w:r w:rsidR="005A6C2C" w:rsidRPr="00613D15">
        <w:t xml:space="preserve">, semi-detached properties </w:t>
      </w:r>
      <w:r w:rsidRPr="00613D15">
        <w:t xml:space="preserve">make up the largest proportion of </w:t>
      </w:r>
      <w:r w:rsidR="005A6C2C" w:rsidRPr="00613D15">
        <w:t>residential property sales (</w:t>
      </w:r>
      <w:r w:rsidR="005336B7">
        <w:t>33.9</w:t>
      </w:r>
      <w:r w:rsidRPr="00613D15">
        <w:t>%) follo</w:t>
      </w:r>
      <w:r w:rsidR="00B1799E" w:rsidRPr="00613D15">
        <w:t>wed by detached properties (30.</w:t>
      </w:r>
      <w:r w:rsidR="001A47AC">
        <w:t>8</w:t>
      </w:r>
      <w:r w:rsidR="00B1799E" w:rsidRPr="00613D15">
        <w:t>%)</w:t>
      </w:r>
      <w:r w:rsidR="005A6C2C" w:rsidRPr="00613D15">
        <w:t xml:space="preserve"> in </w:t>
      </w:r>
      <w:r w:rsidR="00613D15" w:rsidRPr="00613D15">
        <w:t>2021</w:t>
      </w:r>
      <w:r w:rsidR="005A6C2C" w:rsidRPr="00613D15">
        <w:t xml:space="preserve">. Apartments make up </w:t>
      </w:r>
      <w:r w:rsidR="00613D15" w:rsidRPr="00613D15">
        <w:t>7.8</w:t>
      </w:r>
      <w:r w:rsidRPr="00613D15">
        <w:t xml:space="preserve">% of </w:t>
      </w:r>
      <w:r w:rsidR="00B41D1F" w:rsidRPr="00613D15">
        <w:t xml:space="preserve">residential property </w:t>
      </w:r>
      <w:r w:rsidRPr="00613D15">
        <w:t>sales in N</w:t>
      </w:r>
      <w:r w:rsidR="00B1799E" w:rsidRPr="00613D15">
        <w:t>orthern Ireland</w:t>
      </w:r>
      <w:r w:rsidR="005A6C2C" w:rsidRPr="00613D15">
        <w:t xml:space="preserve"> in </w:t>
      </w:r>
      <w:r w:rsidR="00613D15" w:rsidRPr="00613D15">
        <w:t>2021</w:t>
      </w:r>
      <w:r w:rsidR="00B1799E" w:rsidRPr="00613D15">
        <w:t>, com</w:t>
      </w:r>
      <w:r w:rsidR="005A6C2C" w:rsidRPr="00613D15">
        <w:t xml:space="preserve">pared to </w:t>
      </w:r>
      <w:r w:rsidR="005336B7">
        <w:t>1.7</w:t>
      </w:r>
      <w:r w:rsidRPr="00613D15">
        <w:t xml:space="preserve">% in Armagh City, </w:t>
      </w:r>
      <w:proofErr w:type="spellStart"/>
      <w:r w:rsidRPr="00613D15">
        <w:t>Banbridge</w:t>
      </w:r>
      <w:proofErr w:type="spellEnd"/>
      <w:r w:rsidRPr="00613D15">
        <w:t xml:space="preserve"> and Craigavon</w:t>
      </w:r>
      <w:r w:rsidR="00B1799E" w:rsidRPr="00613D15">
        <w:t xml:space="preserve"> Borough</w:t>
      </w:r>
      <w:r w:rsidRPr="00613D15">
        <w:t>.</w:t>
      </w:r>
    </w:p>
    <w:tbl>
      <w:tblPr>
        <w:tblStyle w:val="GridTable1Light"/>
        <w:tblW w:w="9209" w:type="dxa"/>
        <w:tblLayout w:type="fixed"/>
        <w:tblLook w:val="04A0" w:firstRow="1" w:lastRow="0" w:firstColumn="1" w:lastColumn="0" w:noHBand="0" w:noVBand="1"/>
        <w:tblCaption w:val="Number of verified residential property sales in Northern Ireland 2015 to 2021"/>
      </w:tblPr>
      <w:tblGrid>
        <w:gridCol w:w="1414"/>
        <w:gridCol w:w="1559"/>
        <w:gridCol w:w="1559"/>
        <w:gridCol w:w="1559"/>
        <w:gridCol w:w="1559"/>
        <w:gridCol w:w="1559"/>
      </w:tblGrid>
      <w:tr w:rsidR="0057073C" w:rsidRPr="0057073C" w:rsidTr="00BE25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</w:tcPr>
          <w:p w:rsidR="002C715B" w:rsidRPr="0057073C" w:rsidRDefault="002C715B" w:rsidP="00280A60">
            <w:pPr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59" w:type="dxa"/>
            <w:noWrap/>
          </w:tcPr>
          <w:p w:rsidR="002C715B" w:rsidRPr="0057073C" w:rsidRDefault="002C715B" w:rsidP="00280A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57073C">
              <w:rPr>
                <w:rFonts w:eastAsia="Times New Roman" w:cstheme="minorHAnsi"/>
                <w:b w:val="0"/>
                <w:lang w:eastAsia="en-GB"/>
              </w:rPr>
              <w:t>Apartments</w:t>
            </w:r>
          </w:p>
        </w:tc>
        <w:tc>
          <w:tcPr>
            <w:tcW w:w="1559" w:type="dxa"/>
          </w:tcPr>
          <w:p w:rsidR="002C715B" w:rsidRPr="0057073C" w:rsidRDefault="002C715B" w:rsidP="00280A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57073C">
              <w:rPr>
                <w:rFonts w:eastAsia="Times New Roman" w:cstheme="minorHAnsi"/>
                <w:b w:val="0"/>
                <w:lang w:eastAsia="en-GB"/>
              </w:rPr>
              <w:t>Detached</w:t>
            </w:r>
          </w:p>
        </w:tc>
        <w:tc>
          <w:tcPr>
            <w:tcW w:w="1559" w:type="dxa"/>
          </w:tcPr>
          <w:p w:rsidR="002C715B" w:rsidRPr="0057073C" w:rsidRDefault="002C715B" w:rsidP="00280A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57073C">
              <w:rPr>
                <w:rFonts w:eastAsia="Times New Roman" w:cstheme="minorHAnsi"/>
                <w:b w:val="0"/>
                <w:lang w:eastAsia="en-GB"/>
              </w:rPr>
              <w:t>Semi-detached</w:t>
            </w:r>
          </w:p>
        </w:tc>
        <w:tc>
          <w:tcPr>
            <w:tcW w:w="1559" w:type="dxa"/>
          </w:tcPr>
          <w:p w:rsidR="002C715B" w:rsidRPr="0057073C" w:rsidRDefault="002C715B" w:rsidP="00280A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57073C">
              <w:rPr>
                <w:rFonts w:eastAsia="Times New Roman" w:cstheme="minorHAnsi"/>
                <w:b w:val="0"/>
                <w:lang w:eastAsia="en-GB"/>
              </w:rPr>
              <w:t>Terrace</w:t>
            </w:r>
          </w:p>
        </w:tc>
        <w:tc>
          <w:tcPr>
            <w:tcW w:w="1559" w:type="dxa"/>
          </w:tcPr>
          <w:p w:rsidR="002C715B" w:rsidRPr="0057073C" w:rsidRDefault="002C715B" w:rsidP="00280A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57073C">
              <w:rPr>
                <w:rFonts w:eastAsia="Times New Roman" w:cstheme="minorHAnsi"/>
                <w:b w:val="0"/>
                <w:lang w:eastAsia="en-GB"/>
              </w:rPr>
              <w:t>Total</w:t>
            </w:r>
          </w:p>
        </w:tc>
      </w:tr>
      <w:tr w:rsidR="0057073C" w:rsidRPr="0057073C" w:rsidTr="005707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</w:tcPr>
          <w:p w:rsidR="0057073C" w:rsidRPr="0057073C" w:rsidRDefault="0057073C" w:rsidP="0057073C">
            <w:pPr>
              <w:jc w:val="center"/>
              <w:rPr>
                <w:rFonts w:eastAsia="Times New Roman" w:cstheme="minorHAnsi"/>
                <w:b w:val="0"/>
                <w:lang w:eastAsia="en-GB"/>
              </w:rPr>
            </w:pPr>
            <w:r w:rsidRPr="0057073C">
              <w:rPr>
                <w:rFonts w:eastAsia="Times New Roman" w:cstheme="minorHAnsi"/>
                <w:b w:val="0"/>
                <w:lang w:eastAsia="en-GB"/>
              </w:rPr>
              <w:t>2015 Total</w:t>
            </w:r>
          </w:p>
        </w:tc>
        <w:tc>
          <w:tcPr>
            <w:tcW w:w="1559" w:type="dxa"/>
            <w:noWrap/>
          </w:tcPr>
          <w:p w:rsidR="0057073C" w:rsidRPr="0057073C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57073C">
              <w:rPr>
                <w:rFonts w:eastAsia="Times New Roman" w:cstheme="minorHAnsi"/>
                <w:bCs/>
                <w:lang w:eastAsia="en-GB"/>
              </w:rPr>
              <w:t>1,752</w:t>
            </w:r>
          </w:p>
        </w:tc>
        <w:tc>
          <w:tcPr>
            <w:tcW w:w="1559" w:type="dxa"/>
          </w:tcPr>
          <w:p w:rsidR="0057073C" w:rsidRPr="0057073C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57073C">
              <w:rPr>
                <w:rFonts w:eastAsia="Times New Roman" w:cstheme="minorHAnsi"/>
                <w:bCs/>
                <w:lang w:eastAsia="en-GB"/>
              </w:rPr>
              <w:t>6,788</w:t>
            </w:r>
          </w:p>
        </w:tc>
        <w:tc>
          <w:tcPr>
            <w:tcW w:w="1559" w:type="dxa"/>
          </w:tcPr>
          <w:p w:rsidR="0057073C" w:rsidRPr="0057073C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57073C">
              <w:rPr>
                <w:rFonts w:eastAsia="Times New Roman" w:cstheme="minorHAnsi"/>
                <w:bCs/>
                <w:lang w:eastAsia="en-GB"/>
              </w:rPr>
              <w:t>7,190</w:t>
            </w:r>
          </w:p>
        </w:tc>
        <w:tc>
          <w:tcPr>
            <w:tcW w:w="1559" w:type="dxa"/>
          </w:tcPr>
          <w:p w:rsidR="0057073C" w:rsidRPr="0057073C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57073C">
              <w:rPr>
                <w:rFonts w:eastAsia="Times New Roman" w:cstheme="minorHAnsi"/>
                <w:bCs/>
                <w:lang w:eastAsia="en-GB"/>
              </w:rPr>
              <w:t>6,190</w:t>
            </w:r>
          </w:p>
        </w:tc>
        <w:tc>
          <w:tcPr>
            <w:tcW w:w="1559" w:type="dxa"/>
          </w:tcPr>
          <w:p w:rsidR="0057073C" w:rsidRPr="0057073C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en-GB"/>
              </w:rPr>
            </w:pPr>
            <w:r w:rsidRPr="0057073C">
              <w:rPr>
                <w:rFonts w:eastAsia="Times New Roman" w:cstheme="minorHAnsi"/>
                <w:b/>
                <w:bCs/>
                <w:lang w:eastAsia="en-GB"/>
              </w:rPr>
              <w:t>21,920</w:t>
            </w:r>
          </w:p>
        </w:tc>
      </w:tr>
      <w:tr w:rsidR="0057073C" w:rsidRPr="0057073C" w:rsidTr="005707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</w:tcPr>
          <w:p w:rsidR="0057073C" w:rsidRPr="0057073C" w:rsidRDefault="0057073C" w:rsidP="0057073C">
            <w:pPr>
              <w:jc w:val="center"/>
              <w:rPr>
                <w:rFonts w:eastAsia="Times New Roman" w:cstheme="minorHAnsi"/>
                <w:b w:val="0"/>
                <w:lang w:eastAsia="en-GB"/>
              </w:rPr>
            </w:pPr>
            <w:r w:rsidRPr="0057073C">
              <w:rPr>
                <w:rFonts w:eastAsia="Times New Roman" w:cstheme="minorHAnsi"/>
                <w:b w:val="0"/>
                <w:lang w:eastAsia="en-GB"/>
              </w:rPr>
              <w:t>2016 Total</w:t>
            </w:r>
          </w:p>
        </w:tc>
        <w:tc>
          <w:tcPr>
            <w:tcW w:w="1559" w:type="dxa"/>
            <w:noWrap/>
          </w:tcPr>
          <w:p w:rsidR="0057073C" w:rsidRPr="0057073C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57073C">
              <w:rPr>
                <w:rFonts w:eastAsia="Times New Roman" w:cstheme="minorHAnsi"/>
                <w:bCs/>
                <w:lang w:eastAsia="en-GB"/>
              </w:rPr>
              <w:t>1,874</w:t>
            </w:r>
          </w:p>
        </w:tc>
        <w:tc>
          <w:tcPr>
            <w:tcW w:w="1559" w:type="dxa"/>
          </w:tcPr>
          <w:p w:rsidR="0057073C" w:rsidRPr="0057073C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57073C">
              <w:rPr>
                <w:rFonts w:eastAsia="Times New Roman" w:cstheme="minorHAnsi"/>
                <w:bCs/>
                <w:lang w:eastAsia="en-GB"/>
              </w:rPr>
              <w:t>7,062</w:t>
            </w:r>
          </w:p>
        </w:tc>
        <w:tc>
          <w:tcPr>
            <w:tcW w:w="1559" w:type="dxa"/>
          </w:tcPr>
          <w:p w:rsidR="0057073C" w:rsidRPr="0057073C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57073C">
              <w:rPr>
                <w:rFonts w:eastAsia="Times New Roman" w:cstheme="minorHAnsi"/>
                <w:bCs/>
                <w:lang w:eastAsia="en-GB"/>
              </w:rPr>
              <w:t>7,747</w:t>
            </w:r>
          </w:p>
        </w:tc>
        <w:tc>
          <w:tcPr>
            <w:tcW w:w="1559" w:type="dxa"/>
          </w:tcPr>
          <w:p w:rsidR="0057073C" w:rsidRPr="0057073C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57073C">
              <w:rPr>
                <w:rFonts w:eastAsia="Times New Roman" w:cstheme="minorHAnsi"/>
                <w:bCs/>
                <w:lang w:eastAsia="en-GB"/>
              </w:rPr>
              <w:t>6,411</w:t>
            </w:r>
          </w:p>
        </w:tc>
        <w:tc>
          <w:tcPr>
            <w:tcW w:w="1559" w:type="dxa"/>
          </w:tcPr>
          <w:p w:rsidR="0057073C" w:rsidRPr="0057073C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en-GB"/>
              </w:rPr>
            </w:pPr>
            <w:r w:rsidRPr="0057073C">
              <w:rPr>
                <w:rFonts w:eastAsia="Times New Roman" w:cstheme="minorHAnsi"/>
                <w:b/>
                <w:bCs/>
                <w:lang w:eastAsia="en-GB"/>
              </w:rPr>
              <w:t>23,094</w:t>
            </w:r>
          </w:p>
        </w:tc>
      </w:tr>
      <w:tr w:rsidR="0057073C" w:rsidRPr="0057073C" w:rsidTr="005707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</w:tcPr>
          <w:p w:rsidR="0057073C" w:rsidRPr="0057073C" w:rsidRDefault="0057073C" w:rsidP="0057073C">
            <w:pPr>
              <w:jc w:val="center"/>
              <w:rPr>
                <w:rFonts w:eastAsia="Times New Roman" w:cstheme="minorHAnsi"/>
                <w:b w:val="0"/>
                <w:lang w:eastAsia="en-GB"/>
              </w:rPr>
            </w:pPr>
            <w:r w:rsidRPr="0057073C">
              <w:rPr>
                <w:rFonts w:eastAsia="Times New Roman" w:cstheme="minorHAnsi"/>
                <w:b w:val="0"/>
                <w:lang w:eastAsia="en-GB"/>
              </w:rPr>
              <w:t>2017 Total</w:t>
            </w:r>
          </w:p>
        </w:tc>
        <w:tc>
          <w:tcPr>
            <w:tcW w:w="1559" w:type="dxa"/>
            <w:noWrap/>
          </w:tcPr>
          <w:p w:rsidR="0057073C" w:rsidRPr="0057073C" w:rsidRDefault="003F710E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1,949</w:t>
            </w:r>
          </w:p>
        </w:tc>
        <w:tc>
          <w:tcPr>
            <w:tcW w:w="1559" w:type="dxa"/>
          </w:tcPr>
          <w:p w:rsidR="0057073C" w:rsidRPr="0057073C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57073C">
              <w:rPr>
                <w:rFonts w:eastAsia="Times New Roman" w:cstheme="minorHAnsi"/>
                <w:bCs/>
                <w:lang w:eastAsia="en-GB"/>
              </w:rPr>
              <w:t>7,421</w:t>
            </w:r>
          </w:p>
        </w:tc>
        <w:tc>
          <w:tcPr>
            <w:tcW w:w="1559" w:type="dxa"/>
          </w:tcPr>
          <w:p w:rsidR="0057073C" w:rsidRPr="0057073C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57073C">
              <w:rPr>
                <w:rFonts w:eastAsia="Times New Roman" w:cstheme="minorHAnsi"/>
                <w:bCs/>
                <w:lang w:eastAsia="en-GB"/>
              </w:rPr>
              <w:t>8,589</w:t>
            </w:r>
          </w:p>
        </w:tc>
        <w:tc>
          <w:tcPr>
            <w:tcW w:w="1559" w:type="dxa"/>
          </w:tcPr>
          <w:p w:rsidR="0057073C" w:rsidRPr="0057073C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57073C">
              <w:rPr>
                <w:rFonts w:eastAsia="Times New Roman" w:cstheme="minorHAnsi"/>
                <w:bCs/>
                <w:lang w:eastAsia="en-GB"/>
              </w:rPr>
              <w:t>6,720</w:t>
            </w:r>
          </w:p>
        </w:tc>
        <w:tc>
          <w:tcPr>
            <w:tcW w:w="1559" w:type="dxa"/>
          </w:tcPr>
          <w:p w:rsidR="0057073C" w:rsidRPr="0057073C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en-GB"/>
              </w:rPr>
            </w:pPr>
            <w:r w:rsidRPr="0057073C">
              <w:rPr>
                <w:rFonts w:eastAsia="Times New Roman" w:cstheme="minorHAnsi"/>
                <w:b/>
                <w:bCs/>
                <w:lang w:eastAsia="en-GB"/>
              </w:rPr>
              <w:t>24,67</w:t>
            </w:r>
            <w:r w:rsidR="003F710E">
              <w:rPr>
                <w:rFonts w:eastAsia="Times New Roman" w:cstheme="minorHAnsi"/>
                <w:b/>
                <w:bCs/>
                <w:lang w:eastAsia="en-GB"/>
              </w:rPr>
              <w:t>9</w:t>
            </w:r>
          </w:p>
        </w:tc>
      </w:tr>
      <w:tr w:rsidR="0057073C" w:rsidRPr="0057073C" w:rsidTr="005707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</w:tcPr>
          <w:p w:rsidR="0057073C" w:rsidRPr="0057073C" w:rsidRDefault="0057073C" w:rsidP="0057073C">
            <w:pPr>
              <w:jc w:val="center"/>
              <w:rPr>
                <w:rFonts w:eastAsia="Times New Roman" w:cstheme="minorHAnsi"/>
                <w:b w:val="0"/>
                <w:lang w:eastAsia="en-GB"/>
              </w:rPr>
            </w:pPr>
            <w:r w:rsidRPr="0057073C">
              <w:rPr>
                <w:rFonts w:eastAsia="Times New Roman" w:cstheme="minorHAnsi"/>
                <w:b w:val="0"/>
                <w:lang w:eastAsia="en-GB"/>
              </w:rPr>
              <w:t>2018 Total</w:t>
            </w:r>
          </w:p>
        </w:tc>
        <w:tc>
          <w:tcPr>
            <w:tcW w:w="1559" w:type="dxa"/>
            <w:noWrap/>
          </w:tcPr>
          <w:p w:rsidR="0057073C" w:rsidRPr="0057073C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57073C">
              <w:rPr>
                <w:rFonts w:eastAsia="Times New Roman" w:cstheme="minorHAnsi"/>
                <w:bCs/>
                <w:lang w:eastAsia="en-GB"/>
              </w:rPr>
              <w:t>1,966</w:t>
            </w:r>
          </w:p>
        </w:tc>
        <w:tc>
          <w:tcPr>
            <w:tcW w:w="1559" w:type="dxa"/>
          </w:tcPr>
          <w:p w:rsidR="0057073C" w:rsidRPr="0057073C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57073C">
              <w:rPr>
                <w:rFonts w:eastAsia="Times New Roman" w:cstheme="minorHAnsi"/>
                <w:bCs/>
                <w:lang w:eastAsia="en-GB"/>
              </w:rPr>
              <w:t>7,591</w:t>
            </w:r>
          </w:p>
        </w:tc>
        <w:tc>
          <w:tcPr>
            <w:tcW w:w="1559" w:type="dxa"/>
          </w:tcPr>
          <w:p w:rsidR="0057073C" w:rsidRPr="0057073C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57073C">
              <w:rPr>
                <w:rFonts w:eastAsia="Times New Roman" w:cstheme="minorHAnsi"/>
                <w:bCs/>
                <w:lang w:eastAsia="en-GB"/>
              </w:rPr>
              <w:t>8,700</w:t>
            </w:r>
          </w:p>
        </w:tc>
        <w:tc>
          <w:tcPr>
            <w:tcW w:w="1559" w:type="dxa"/>
          </w:tcPr>
          <w:p w:rsidR="0057073C" w:rsidRPr="0057073C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57073C">
              <w:rPr>
                <w:rFonts w:eastAsia="Times New Roman" w:cstheme="minorHAnsi"/>
                <w:bCs/>
                <w:lang w:eastAsia="en-GB"/>
              </w:rPr>
              <w:t>6,767</w:t>
            </w:r>
          </w:p>
        </w:tc>
        <w:tc>
          <w:tcPr>
            <w:tcW w:w="1559" w:type="dxa"/>
          </w:tcPr>
          <w:p w:rsidR="0057073C" w:rsidRPr="0057073C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en-GB"/>
              </w:rPr>
            </w:pPr>
            <w:r w:rsidRPr="0057073C">
              <w:rPr>
                <w:rFonts w:eastAsia="Times New Roman" w:cstheme="minorHAnsi"/>
                <w:b/>
                <w:bCs/>
                <w:lang w:eastAsia="en-GB"/>
              </w:rPr>
              <w:t>25,024</w:t>
            </w:r>
          </w:p>
        </w:tc>
      </w:tr>
      <w:tr w:rsidR="0057073C" w:rsidRPr="0057073C" w:rsidTr="005707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</w:tcPr>
          <w:p w:rsidR="0057073C" w:rsidRPr="0057073C" w:rsidRDefault="0057073C" w:rsidP="0057073C">
            <w:pPr>
              <w:jc w:val="center"/>
              <w:rPr>
                <w:rFonts w:eastAsia="Times New Roman" w:cstheme="minorHAnsi"/>
                <w:b w:val="0"/>
                <w:lang w:eastAsia="en-GB"/>
              </w:rPr>
            </w:pPr>
            <w:r w:rsidRPr="0057073C">
              <w:rPr>
                <w:rFonts w:eastAsia="Times New Roman" w:cstheme="minorHAnsi"/>
                <w:b w:val="0"/>
                <w:lang w:eastAsia="en-GB"/>
              </w:rPr>
              <w:t>2019 Total</w:t>
            </w:r>
          </w:p>
        </w:tc>
        <w:tc>
          <w:tcPr>
            <w:tcW w:w="1559" w:type="dxa"/>
            <w:noWrap/>
          </w:tcPr>
          <w:p w:rsidR="0057073C" w:rsidRPr="0057073C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57073C">
              <w:rPr>
                <w:rFonts w:eastAsia="Times New Roman" w:cstheme="minorHAnsi"/>
                <w:bCs/>
                <w:lang w:eastAsia="en-GB"/>
              </w:rPr>
              <w:t>1,84</w:t>
            </w:r>
            <w:r w:rsidR="003F710E">
              <w:rPr>
                <w:rFonts w:eastAsia="Times New Roman" w:cstheme="minorHAnsi"/>
                <w:bCs/>
                <w:lang w:eastAsia="en-GB"/>
              </w:rPr>
              <w:t>3</w:t>
            </w:r>
          </w:p>
        </w:tc>
        <w:tc>
          <w:tcPr>
            <w:tcW w:w="1559" w:type="dxa"/>
          </w:tcPr>
          <w:p w:rsidR="0057073C" w:rsidRPr="0057073C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57073C">
              <w:rPr>
                <w:rFonts w:eastAsia="Times New Roman" w:cstheme="minorHAnsi"/>
                <w:bCs/>
                <w:lang w:eastAsia="en-GB"/>
              </w:rPr>
              <w:t>7,5</w:t>
            </w:r>
            <w:r w:rsidR="003F710E">
              <w:rPr>
                <w:rFonts w:eastAsia="Times New Roman" w:cstheme="minorHAnsi"/>
                <w:bCs/>
                <w:lang w:eastAsia="en-GB"/>
              </w:rPr>
              <w:t>50</w:t>
            </w:r>
          </w:p>
        </w:tc>
        <w:tc>
          <w:tcPr>
            <w:tcW w:w="1559" w:type="dxa"/>
          </w:tcPr>
          <w:p w:rsidR="0057073C" w:rsidRPr="0057073C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57073C">
              <w:rPr>
                <w:rFonts w:eastAsia="Times New Roman" w:cstheme="minorHAnsi"/>
                <w:bCs/>
                <w:lang w:eastAsia="en-GB"/>
              </w:rPr>
              <w:t>8,779</w:t>
            </w:r>
          </w:p>
        </w:tc>
        <w:tc>
          <w:tcPr>
            <w:tcW w:w="1559" w:type="dxa"/>
          </w:tcPr>
          <w:p w:rsidR="0057073C" w:rsidRPr="0057073C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57073C">
              <w:rPr>
                <w:rFonts w:eastAsia="Times New Roman" w:cstheme="minorHAnsi"/>
                <w:bCs/>
                <w:lang w:eastAsia="en-GB"/>
              </w:rPr>
              <w:t>6,755</w:t>
            </w:r>
          </w:p>
        </w:tc>
        <w:tc>
          <w:tcPr>
            <w:tcW w:w="1559" w:type="dxa"/>
          </w:tcPr>
          <w:p w:rsidR="0057073C" w:rsidRPr="0057073C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en-GB"/>
              </w:rPr>
            </w:pPr>
            <w:r w:rsidRPr="0057073C">
              <w:rPr>
                <w:rFonts w:eastAsia="Times New Roman" w:cstheme="minorHAnsi"/>
                <w:b/>
                <w:bCs/>
                <w:lang w:eastAsia="en-GB"/>
              </w:rPr>
              <w:t>24,92</w:t>
            </w:r>
            <w:r w:rsidR="003F710E">
              <w:rPr>
                <w:rFonts w:eastAsia="Times New Roman" w:cstheme="minorHAnsi"/>
                <w:b/>
                <w:bCs/>
                <w:lang w:eastAsia="en-GB"/>
              </w:rPr>
              <w:t>7</w:t>
            </w:r>
          </w:p>
        </w:tc>
      </w:tr>
      <w:tr w:rsidR="0057073C" w:rsidRPr="0057073C" w:rsidTr="005707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</w:tcPr>
          <w:p w:rsidR="0057073C" w:rsidRPr="0057073C" w:rsidRDefault="0057073C" w:rsidP="0057073C">
            <w:pPr>
              <w:jc w:val="center"/>
              <w:rPr>
                <w:rFonts w:eastAsia="Times New Roman" w:cstheme="minorHAnsi"/>
                <w:b w:val="0"/>
                <w:lang w:eastAsia="en-GB"/>
              </w:rPr>
            </w:pPr>
            <w:r w:rsidRPr="0057073C">
              <w:rPr>
                <w:rFonts w:eastAsia="Times New Roman" w:cstheme="minorHAnsi"/>
                <w:b w:val="0"/>
                <w:lang w:eastAsia="en-GB"/>
              </w:rPr>
              <w:t>2020 Total</w:t>
            </w:r>
          </w:p>
        </w:tc>
        <w:tc>
          <w:tcPr>
            <w:tcW w:w="1559" w:type="dxa"/>
            <w:noWrap/>
          </w:tcPr>
          <w:p w:rsidR="0057073C" w:rsidRPr="0057073C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57073C">
              <w:rPr>
                <w:rFonts w:eastAsia="Times New Roman" w:cstheme="minorHAnsi"/>
                <w:bCs/>
                <w:lang w:eastAsia="en-GB"/>
              </w:rPr>
              <w:t>1,48</w:t>
            </w:r>
            <w:r w:rsidR="003F710E">
              <w:rPr>
                <w:rFonts w:eastAsia="Times New Roman" w:cstheme="minorHAnsi"/>
                <w:bCs/>
                <w:lang w:eastAsia="en-GB"/>
              </w:rPr>
              <w:t>6</w:t>
            </w:r>
          </w:p>
        </w:tc>
        <w:tc>
          <w:tcPr>
            <w:tcW w:w="1559" w:type="dxa"/>
          </w:tcPr>
          <w:p w:rsidR="0057073C" w:rsidRPr="0057073C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57073C">
              <w:rPr>
                <w:rFonts w:eastAsia="Times New Roman" w:cstheme="minorHAnsi"/>
                <w:bCs/>
                <w:lang w:eastAsia="en-GB"/>
              </w:rPr>
              <w:t>6,83</w:t>
            </w:r>
            <w:r w:rsidR="003F710E">
              <w:rPr>
                <w:rFonts w:eastAsia="Times New Roman" w:cstheme="minorHAnsi"/>
                <w:bCs/>
                <w:lang w:eastAsia="en-GB"/>
              </w:rPr>
              <w:t>3</w:t>
            </w:r>
          </w:p>
        </w:tc>
        <w:tc>
          <w:tcPr>
            <w:tcW w:w="1559" w:type="dxa"/>
          </w:tcPr>
          <w:p w:rsidR="0057073C" w:rsidRPr="0057073C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57073C">
              <w:rPr>
                <w:rFonts w:eastAsia="Times New Roman" w:cstheme="minorHAnsi"/>
                <w:bCs/>
                <w:lang w:eastAsia="en-GB"/>
              </w:rPr>
              <w:t>7,42</w:t>
            </w:r>
            <w:r w:rsidR="003F710E">
              <w:rPr>
                <w:rFonts w:eastAsia="Times New Roman" w:cstheme="minorHAnsi"/>
                <w:bCs/>
                <w:lang w:eastAsia="en-GB"/>
              </w:rPr>
              <w:t>2</w:t>
            </w:r>
          </w:p>
        </w:tc>
        <w:tc>
          <w:tcPr>
            <w:tcW w:w="1559" w:type="dxa"/>
          </w:tcPr>
          <w:p w:rsidR="0057073C" w:rsidRPr="0057073C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57073C">
              <w:rPr>
                <w:rFonts w:eastAsia="Times New Roman" w:cstheme="minorHAnsi"/>
                <w:bCs/>
                <w:lang w:eastAsia="en-GB"/>
              </w:rPr>
              <w:t>5,47</w:t>
            </w:r>
            <w:r w:rsidR="003F710E">
              <w:rPr>
                <w:rFonts w:eastAsia="Times New Roman" w:cstheme="minorHAnsi"/>
                <w:bCs/>
                <w:lang w:eastAsia="en-GB"/>
              </w:rPr>
              <w:t>4</w:t>
            </w:r>
          </w:p>
        </w:tc>
        <w:tc>
          <w:tcPr>
            <w:tcW w:w="1559" w:type="dxa"/>
          </w:tcPr>
          <w:p w:rsidR="0057073C" w:rsidRPr="0057073C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en-GB"/>
              </w:rPr>
            </w:pPr>
            <w:r w:rsidRPr="0057073C">
              <w:rPr>
                <w:rFonts w:eastAsia="Times New Roman" w:cstheme="minorHAnsi"/>
                <w:b/>
                <w:bCs/>
                <w:lang w:eastAsia="en-GB"/>
              </w:rPr>
              <w:t>21,2</w:t>
            </w:r>
            <w:r w:rsidR="003F710E">
              <w:rPr>
                <w:rFonts w:eastAsia="Times New Roman" w:cstheme="minorHAnsi"/>
                <w:b/>
                <w:bCs/>
                <w:lang w:eastAsia="en-GB"/>
              </w:rPr>
              <w:t>15</w:t>
            </w:r>
          </w:p>
        </w:tc>
      </w:tr>
      <w:tr w:rsidR="0057073C" w:rsidRPr="0057073C" w:rsidTr="005707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</w:tcPr>
          <w:p w:rsidR="0057073C" w:rsidRPr="0057073C" w:rsidRDefault="0057073C" w:rsidP="0057073C">
            <w:pPr>
              <w:jc w:val="center"/>
              <w:rPr>
                <w:rFonts w:eastAsia="Times New Roman" w:cstheme="minorHAnsi"/>
                <w:b w:val="0"/>
                <w:lang w:eastAsia="en-GB"/>
              </w:rPr>
            </w:pPr>
            <w:r w:rsidRPr="0057073C">
              <w:rPr>
                <w:rFonts w:eastAsia="Times New Roman" w:cstheme="minorHAnsi"/>
                <w:b w:val="0"/>
                <w:lang w:eastAsia="en-GB"/>
              </w:rPr>
              <w:t>2021 Total</w:t>
            </w:r>
          </w:p>
        </w:tc>
        <w:tc>
          <w:tcPr>
            <w:tcW w:w="1559" w:type="dxa"/>
            <w:noWrap/>
          </w:tcPr>
          <w:p w:rsidR="0057073C" w:rsidRPr="0057073C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57073C">
              <w:rPr>
                <w:rFonts w:eastAsia="Times New Roman" w:cstheme="minorHAnsi"/>
                <w:bCs/>
                <w:lang w:eastAsia="en-GB"/>
              </w:rPr>
              <w:t>2,3</w:t>
            </w:r>
            <w:r w:rsidR="003F710E">
              <w:rPr>
                <w:rFonts w:eastAsia="Times New Roman" w:cstheme="minorHAnsi"/>
                <w:bCs/>
                <w:lang w:eastAsia="en-GB"/>
              </w:rPr>
              <w:t>59</w:t>
            </w:r>
          </w:p>
        </w:tc>
        <w:tc>
          <w:tcPr>
            <w:tcW w:w="1559" w:type="dxa"/>
          </w:tcPr>
          <w:p w:rsidR="0057073C" w:rsidRPr="0057073C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57073C">
              <w:rPr>
                <w:rFonts w:eastAsia="Times New Roman" w:cstheme="minorHAnsi"/>
                <w:bCs/>
                <w:lang w:eastAsia="en-GB"/>
              </w:rPr>
              <w:t>9,</w:t>
            </w:r>
            <w:r w:rsidR="003F710E">
              <w:rPr>
                <w:rFonts w:eastAsia="Times New Roman" w:cstheme="minorHAnsi"/>
                <w:bCs/>
                <w:lang w:eastAsia="en-GB"/>
              </w:rPr>
              <w:t>345</w:t>
            </w:r>
          </w:p>
        </w:tc>
        <w:tc>
          <w:tcPr>
            <w:tcW w:w="1559" w:type="dxa"/>
          </w:tcPr>
          <w:p w:rsidR="0057073C" w:rsidRPr="0057073C" w:rsidRDefault="003F710E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10,287</w:t>
            </w:r>
          </w:p>
        </w:tc>
        <w:tc>
          <w:tcPr>
            <w:tcW w:w="1559" w:type="dxa"/>
          </w:tcPr>
          <w:p w:rsidR="0057073C" w:rsidRPr="0057073C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57073C">
              <w:rPr>
                <w:rFonts w:eastAsia="Times New Roman" w:cstheme="minorHAnsi"/>
                <w:bCs/>
                <w:lang w:eastAsia="en-GB"/>
              </w:rPr>
              <w:t>8,</w:t>
            </w:r>
            <w:r w:rsidR="003F710E">
              <w:rPr>
                <w:rFonts w:eastAsia="Times New Roman" w:cstheme="minorHAnsi"/>
                <w:bCs/>
                <w:lang w:eastAsia="en-GB"/>
              </w:rPr>
              <w:t>359</w:t>
            </w:r>
          </w:p>
        </w:tc>
        <w:tc>
          <w:tcPr>
            <w:tcW w:w="1559" w:type="dxa"/>
          </w:tcPr>
          <w:p w:rsidR="0057073C" w:rsidRPr="0057073C" w:rsidRDefault="003F710E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30,350</w:t>
            </w:r>
          </w:p>
        </w:tc>
      </w:tr>
    </w:tbl>
    <w:p w:rsidR="002C715B" w:rsidRPr="0057073C" w:rsidRDefault="003B697F" w:rsidP="00575048">
      <w:pPr>
        <w:rPr>
          <w:sz w:val="20"/>
          <w:szCs w:val="20"/>
        </w:rPr>
      </w:pPr>
      <w:r w:rsidRPr="0057073C">
        <w:rPr>
          <w:i/>
          <w:sz w:val="20"/>
          <w:szCs w:val="20"/>
        </w:rPr>
        <w:t xml:space="preserve">Table 3: Number of verified residential property sales </w:t>
      </w:r>
      <w:r w:rsidR="0057073C" w:rsidRPr="0057073C">
        <w:rPr>
          <w:i/>
          <w:sz w:val="20"/>
          <w:szCs w:val="20"/>
        </w:rPr>
        <w:t>in Northern Ireland 2015 to 2021</w:t>
      </w:r>
      <w:r w:rsidRPr="0057073C">
        <w:rPr>
          <w:i/>
          <w:sz w:val="20"/>
          <w:szCs w:val="20"/>
        </w:rPr>
        <w:t>. Source: Land and Property Services, NISRA.</w:t>
      </w:r>
    </w:p>
    <w:p w:rsidR="00B1156F" w:rsidRPr="005757B8" w:rsidRDefault="00B1156F" w:rsidP="00575048">
      <w:pPr>
        <w:rPr>
          <w:color w:val="FF0000"/>
        </w:rPr>
      </w:pPr>
    </w:p>
    <w:p w:rsidR="00575048" w:rsidRPr="00613D15" w:rsidRDefault="00575048" w:rsidP="00575048">
      <w:pPr>
        <w:rPr>
          <w:sz w:val="20"/>
        </w:rPr>
      </w:pPr>
      <w:r w:rsidRPr="00613D15">
        <w:t>Further inf</w:t>
      </w:r>
      <w:r w:rsidRPr="00613D15">
        <w:rPr>
          <w:sz w:val="20"/>
        </w:rPr>
        <w:t>ormation on residential property prices and sales can be found via the following link:</w:t>
      </w:r>
    </w:p>
    <w:p w:rsidR="00575048" w:rsidRPr="00613D15" w:rsidRDefault="00063DC9" w:rsidP="00575048">
      <w:pPr>
        <w:rPr>
          <w:sz w:val="18"/>
          <w:szCs w:val="20"/>
        </w:rPr>
      </w:pPr>
      <w:hyperlink r:id="rId11" w:history="1">
        <w:r w:rsidR="00575048" w:rsidRPr="00613D15">
          <w:rPr>
            <w:rStyle w:val="Hyperlink"/>
            <w:color w:val="auto"/>
            <w:sz w:val="20"/>
          </w:rPr>
          <w:t>https://www.finance-ni.gov.uk/articles/northern-ireland-house-price-index</w:t>
        </w:r>
      </w:hyperlink>
    </w:p>
    <w:sectPr w:rsidR="00575048" w:rsidRPr="00613D15" w:rsidSect="00353B8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E62" w:rsidRDefault="00BA1E62" w:rsidP="009470B4">
      <w:pPr>
        <w:spacing w:after="0" w:line="240" w:lineRule="auto"/>
      </w:pPr>
      <w:r>
        <w:separator/>
      </w:r>
    </w:p>
  </w:endnote>
  <w:endnote w:type="continuationSeparator" w:id="0">
    <w:p w:rsidR="00BA1E62" w:rsidRDefault="00BA1E62" w:rsidP="0094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684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E62" w:rsidRDefault="00BA1E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DC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A1E62" w:rsidRDefault="00BA1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E62" w:rsidRDefault="00BA1E62" w:rsidP="009470B4">
      <w:pPr>
        <w:spacing w:after="0" w:line="240" w:lineRule="auto"/>
      </w:pPr>
      <w:r>
        <w:separator/>
      </w:r>
    </w:p>
  </w:footnote>
  <w:footnote w:type="continuationSeparator" w:id="0">
    <w:p w:rsidR="00BA1E62" w:rsidRDefault="00BA1E62" w:rsidP="009470B4">
      <w:pPr>
        <w:spacing w:after="0" w:line="240" w:lineRule="auto"/>
      </w:pPr>
      <w:r>
        <w:continuationSeparator/>
      </w:r>
    </w:p>
  </w:footnote>
  <w:footnote w:id="1">
    <w:p w:rsidR="00BA1E62" w:rsidRDefault="00BA1E62">
      <w:pPr>
        <w:pStyle w:val="FootnoteText"/>
      </w:pPr>
      <w:r>
        <w:rPr>
          <w:rStyle w:val="FootnoteReference"/>
        </w:rPr>
        <w:footnoteRef/>
      </w:r>
      <w:r>
        <w:t xml:space="preserve"> Northern Ireland House Price Index - </w:t>
      </w:r>
      <w:hyperlink r:id="rId1" w:history="1">
        <w:r>
          <w:rPr>
            <w:rStyle w:val="Hyperlink"/>
          </w:rPr>
          <w:t>https://www.finance-ni.gov.uk/articles/about-northern-ireland-house-price-index</w:t>
        </w:r>
      </w:hyperlink>
    </w:p>
  </w:footnote>
  <w:footnote w:id="2">
    <w:p w:rsidR="00BA1E62" w:rsidRDefault="00BA1E62">
      <w:pPr>
        <w:pStyle w:val="FootnoteText"/>
      </w:pPr>
      <w:r>
        <w:rPr>
          <w:rStyle w:val="FootnoteReference"/>
        </w:rPr>
        <w:footnoteRef/>
      </w:r>
      <w:r>
        <w:t xml:space="preserve"> Results for the most recent quarter are provisional and subject to revision as more up-to-date data become available.</w:t>
      </w:r>
    </w:p>
  </w:footnote>
  <w:footnote w:id="3">
    <w:p w:rsidR="00BA1E62" w:rsidRDefault="00BA1E62">
      <w:pPr>
        <w:pStyle w:val="FootnoteText"/>
      </w:pPr>
      <w:r>
        <w:rPr>
          <w:rStyle w:val="FootnoteReference"/>
        </w:rPr>
        <w:footnoteRef/>
      </w:r>
      <w:r>
        <w:t xml:space="preserve"> Please note figures for the two</w:t>
      </w:r>
      <w:r w:rsidRPr="005757B8">
        <w:t xml:space="preserve"> most recent quarters are provisional and will increase due to late sales returns and new dwellings sold in this quarter being added to the Valuation List after the quarter.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87"/>
    <w:rsid w:val="00015C89"/>
    <w:rsid w:val="00042D0A"/>
    <w:rsid w:val="00055812"/>
    <w:rsid w:val="00063DC9"/>
    <w:rsid w:val="000C7CE8"/>
    <w:rsid w:val="00100464"/>
    <w:rsid w:val="00106136"/>
    <w:rsid w:val="00114D48"/>
    <w:rsid w:val="0013324C"/>
    <w:rsid w:val="001464FA"/>
    <w:rsid w:val="00154E71"/>
    <w:rsid w:val="001A47AC"/>
    <w:rsid w:val="001C4719"/>
    <w:rsid w:val="001D57EC"/>
    <w:rsid w:val="002475B0"/>
    <w:rsid w:val="00265A7A"/>
    <w:rsid w:val="00265E55"/>
    <w:rsid w:val="00280A60"/>
    <w:rsid w:val="002A0E8C"/>
    <w:rsid w:val="002B13D9"/>
    <w:rsid w:val="002C715B"/>
    <w:rsid w:val="002F5387"/>
    <w:rsid w:val="002F72B7"/>
    <w:rsid w:val="0031287E"/>
    <w:rsid w:val="003176C1"/>
    <w:rsid w:val="00353B8B"/>
    <w:rsid w:val="00381E1E"/>
    <w:rsid w:val="00390ACA"/>
    <w:rsid w:val="003B697F"/>
    <w:rsid w:val="003C13E3"/>
    <w:rsid w:val="003F3042"/>
    <w:rsid w:val="003F710E"/>
    <w:rsid w:val="00404522"/>
    <w:rsid w:val="0041571F"/>
    <w:rsid w:val="004658F9"/>
    <w:rsid w:val="00470647"/>
    <w:rsid w:val="004919D3"/>
    <w:rsid w:val="00492FC0"/>
    <w:rsid w:val="00494448"/>
    <w:rsid w:val="004A1E55"/>
    <w:rsid w:val="004A38AC"/>
    <w:rsid w:val="004B3D29"/>
    <w:rsid w:val="004B5004"/>
    <w:rsid w:val="004B5682"/>
    <w:rsid w:val="00505DD9"/>
    <w:rsid w:val="00521179"/>
    <w:rsid w:val="005336B7"/>
    <w:rsid w:val="00543809"/>
    <w:rsid w:val="00546B94"/>
    <w:rsid w:val="0057073C"/>
    <w:rsid w:val="00575048"/>
    <w:rsid w:val="005757B8"/>
    <w:rsid w:val="0058671C"/>
    <w:rsid w:val="005A6C2C"/>
    <w:rsid w:val="005B0160"/>
    <w:rsid w:val="005F21E3"/>
    <w:rsid w:val="005F249E"/>
    <w:rsid w:val="005F612B"/>
    <w:rsid w:val="00613D15"/>
    <w:rsid w:val="00620D8C"/>
    <w:rsid w:val="00624CAA"/>
    <w:rsid w:val="00647E43"/>
    <w:rsid w:val="0066786B"/>
    <w:rsid w:val="006A7EB5"/>
    <w:rsid w:val="006B3FDE"/>
    <w:rsid w:val="006E4145"/>
    <w:rsid w:val="00717DC6"/>
    <w:rsid w:val="0078326C"/>
    <w:rsid w:val="0079173A"/>
    <w:rsid w:val="007C1C25"/>
    <w:rsid w:val="007C20BE"/>
    <w:rsid w:val="007C7AFB"/>
    <w:rsid w:val="00820F29"/>
    <w:rsid w:val="008273E8"/>
    <w:rsid w:val="008353FB"/>
    <w:rsid w:val="00836E9E"/>
    <w:rsid w:val="0084512A"/>
    <w:rsid w:val="00896DB1"/>
    <w:rsid w:val="00897FB0"/>
    <w:rsid w:val="008C1EDC"/>
    <w:rsid w:val="008C3787"/>
    <w:rsid w:val="008C513E"/>
    <w:rsid w:val="008D2053"/>
    <w:rsid w:val="009470B4"/>
    <w:rsid w:val="00952758"/>
    <w:rsid w:val="00972ED1"/>
    <w:rsid w:val="0098101A"/>
    <w:rsid w:val="00993745"/>
    <w:rsid w:val="009F2BD0"/>
    <w:rsid w:val="00A0792D"/>
    <w:rsid w:val="00A409EB"/>
    <w:rsid w:val="00A64F03"/>
    <w:rsid w:val="00A70F15"/>
    <w:rsid w:val="00A76810"/>
    <w:rsid w:val="00A76A98"/>
    <w:rsid w:val="00AB0ED7"/>
    <w:rsid w:val="00AD017F"/>
    <w:rsid w:val="00AD50E1"/>
    <w:rsid w:val="00AF2F62"/>
    <w:rsid w:val="00B1156F"/>
    <w:rsid w:val="00B1799E"/>
    <w:rsid w:val="00B41D1F"/>
    <w:rsid w:val="00B5562A"/>
    <w:rsid w:val="00BA1E62"/>
    <w:rsid w:val="00BA281D"/>
    <w:rsid w:val="00BC3F49"/>
    <w:rsid w:val="00BE2588"/>
    <w:rsid w:val="00BF4296"/>
    <w:rsid w:val="00BF5BEA"/>
    <w:rsid w:val="00C00523"/>
    <w:rsid w:val="00C17259"/>
    <w:rsid w:val="00C42155"/>
    <w:rsid w:val="00CA73A0"/>
    <w:rsid w:val="00CA7DD5"/>
    <w:rsid w:val="00CB2A47"/>
    <w:rsid w:val="00CD25E3"/>
    <w:rsid w:val="00CD28A0"/>
    <w:rsid w:val="00CD5C85"/>
    <w:rsid w:val="00D14FF4"/>
    <w:rsid w:val="00D82855"/>
    <w:rsid w:val="00DC0E4D"/>
    <w:rsid w:val="00DF781C"/>
    <w:rsid w:val="00E00CE7"/>
    <w:rsid w:val="00E56D07"/>
    <w:rsid w:val="00EF616C"/>
    <w:rsid w:val="00F14B8F"/>
    <w:rsid w:val="00F32554"/>
    <w:rsid w:val="00FD06D7"/>
    <w:rsid w:val="00FF4060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30969"/>
  <w15:chartTrackingRefBased/>
  <w15:docId w15:val="{C11A593D-929D-46F6-A671-5201660B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0B4"/>
  </w:style>
  <w:style w:type="paragraph" w:styleId="Footer">
    <w:name w:val="footer"/>
    <w:basedOn w:val="Normal"/>
    <w:link w:val="Foot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0B4"/>
  </w:style>
  <w:style w:type="character" w:styleId="Hyperlink">
    <w:name w:val="Hyperlink"/>
    <w:basedOn w:val="DefaultParagraphFont"/>
    <w:uiPriority w:val="99"/>
    <w:semiHidden/>
    <w:unhideWhenUsed/>
    <w:rsid w:val="005B016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1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1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01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D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19D3"/>
    <w:rPr>
      <w:color w:val="954F72" w:themeColor="followedHyperlink"/>
      <w:u w:val="single"/>
    </w:rPr>
  </w:style>
  <w:style w:type="table" w:styleId="GridTable1Light">
    <w:name w:val="Grid Table 1 Light"/>
    <w:basedOn w:val="TableNormal"/>
    <w:uiPriority w:val="46"/>
    <w:rsid w:val="009F2BD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inance-ni.gov.uk/articles/northern-ireland-house-price-index" TargetMode="Externa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e-ni.gov.uk/articles/about-northern-ireland-house-price-inde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NISRA%20Statistician\Statistics%20for%20Website\Housing\2022%20Updates\Residential%20data%20updates%20June%202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NISRA%20Statistician\Statistics%20for%20Website\Housing\2022%20Updates\Residential%20data%20updates%20June%2022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NISRA%20Statistician\Statistics%20for%20Website\Housing\2022%20Updates\Residential%20data%20updates%20June%202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127911915574863E-2"/>
          <c:y val="4.5745090053398496E-2"/>
          <c:w val="0.91775530652029491"/>
          <c:h val="0.69814549553749272"/>
        </c:manualLayout>
      </c:layout>
      <c:lineChart>
        <c:grouping val="standard"/>
        <c:varyColors val="0"/>
        <c:ser>
          <c:idx val="0"/>
          <c:order val="0"/>
          <c:tx>
            <c:strRef>
              <c:f>'Std House prices'!$C$3</c:f>
              <c:strCache>
                <c:ptCount val="1"/>
                <c:pt idx="0">
                  <c:v>Armagh City, Banbridge &amp; Craigavon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square"/>
              <c:size val="7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33BB-46D5-8440-7E4944402B07}"/>
              </c:ext>
            </c:extLst>
          </c:dPt>
          <c:dPt>
            <c:idx val="25"/>
            <c:bubble3D val="0"/>
            <c:extLst>
              <c:ext xmlns:c16="http://schemas.microsoft.com/office/drawing/2014/chart" uri="{C3380CC4-5D6E-409C-BE32-E72D297353CC}">
                <c16:uniqueId val="{00000001-33BB-46D5-8440-7E4944402B07}"/>
              </c:ext>
            </c:extLst>
          </c:dPt>
          <c:dPt>
            <c:idx val="27"/>
            <c:marker>
              <c:symbol val="square"/>
              <c:size val="7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33BB-46D5-8440-7E4944402B07}"/>
              </c:ext>
            </c:extLst>
          </c:dPt>
          <c:dPt>
            <c:idx val="55"/>
            <c:bubble3D val="0"/>
            <c:extLst>
              <c:ext xmlns:c16="http://schemas.microsoft.com/office/drawing/2014/chart" uri="{C3380CC4-5D6E-409C-BE32-E72D297353CC}">
                <c16:uniqueId val="{00000003-33BB-46D5-8440-7E4944402B07}"/>
              </c:ext>
            </c:extLst>
          </c:dPt>
          <c:dPt>
            <c:idx val="56"/>
            <c:marker>
              <c:symbol val="square"/>
              <c:size val="7"/>
            </c:marker>
            <c:bubble3D val="0"/>
            <c:extLst>
              <c:ext xmlns:c16="http://schemas.microsoft.com/office/drawing/2014/chart" uri="{C3380CC4-5D6E-409C-BE32-E72D297353CC}">
                <c16:uniqueId val="{00000004-33BB-46D5-8440-7E4944402B07}"/>
              </c:ext>
            </c:extLst>
          </c:dPt>
          <c:dLbls>
            <c:dLbl>
              <c:idx val="0"/>
              <c:layout>
                <c:manualLayout>
                  <c:x val="-1.4589799719018526E-2"/>
                  <c:y val="0.15306702606776426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3BB-46D5-8440-7E4944402B07}"/>
                </c:ext>
              </c:extLst>
            </c:dLbl>
            <c:dLbl>
              <c:idx val="27"/>
              <c:layout>
                <c:manualLayout>
                  <c:x val="-1.9573302016050106E-3"/>
                  <c:y val="3.2292787944025833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3BB-46D5-8440-7E4944402B07}"/>
                </c:ext>
              </c:extLst>
            </c:dLbl>
            <c:dLbl>
              <c:idx val="56"/>
              <c:layout>
                <c:manualLayout>
                  <c:x val="0"/>
                  <c:y val="4.3103448275862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3BB-46D5-8440-7E4944402B0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'Std House prices'!$A$4:$B$72</c:f>
              <c:multiLvlStrCache>
                <c:ptCount val="57"/>
                <c:lvl>
                  <c:pt idx="0">
                    <c:v>Quarter 1</c:v>
                  </c:pt>
                  <c:pt idx="1">
                    <c:v>Quarter 2</c:v>
                  </c:pt>
                  <c:pt idx="2">
                    <c:v>Quarter 3</c:v>
                  </c:pt>
                  <c:pt idx="3">
                    <c:v>Quarter 4</c:v>
                  </c:pt>
                  <c:pt idx="4">
                    <c:v>Quarter 1</c:v>
                  </c:pt>
                  <c:pt idx="5">
                    <c:v>Quarter 2</c:v>
                  </c:pt>
                  <c:pt idx="6">
                    <c:v>Quarter 3</c:v>
                  </c:pt>
                  <c:pt idx="7">
                    <c:v>Quarter 4</c:v>
                  </c:pt>
                  <c:pt idx="8">
                    <c:v>Quarter 1</c:v>
                  </c:pt>
                  <c:pt idx="9">
                    <c:v>Quarter 2</c:v>
                  </c:pt>
                  <c:pt idx="10">
                    <c:v>Quarter 3</c:v>
                  </c:pt>
                  <c:pt idx="11">
                    <c:v>Quarter 4</c:v>
                  </c:pt>
                  <c:pt idx="12">
                    <c:v>Quarter 1</c:v>
                  </c:pt>
                  <c:pt idx="13">
                    <c:v>Quarter 2</c:v>
                  </c:pt>
                  <c:pt idx="14">
                    <c:v>Quarter 3</c:v>
                  </c:pt>
                  <c:pt idx="15">
                    <c:v>Quarter 4</c:v>
                  </c:pt>
                  <c:pt idx="16">
                    <c:v>Quarter 1</c:v>
                  </c:pt>
                  <c:pt idx="17">
                    <c:v>Quarter 2</c:v>
                  </c:pt>
                  <c:pt idx="18">
                    <c:v>Quarter 3</c:v>
                  </c:pt>
                  <c:pt idx="19">
                    <c:v>Quarter 4</c:v>
                  </c:pt>
                  <c:pt idx="20">
                    <c:v>Quarter 1</c:v>
                  </c:pt>
                  <c:pt idx="21">
                    <c:v>Quarter 2</c:v>
                  </c:pt>
                  <c:pt idx="22">
                    <c:v>Quarter 3</c:v>
                  </c:pt>
                  <c:pt idx="23">
                    <c:v>Quarter 4</c:v>
                  </c:pt>
                  <c:pt idx="24">
                    <c:v>Quarter 1</c:v>
                  </c:pt>
                  <c:pt idx="25">
                    <c:v>Quarter 2</c:v>
                  </c:pt>
                  <c:pt idx="26">
                    <c:v>Quarter 3</c:v>
                  </c:pt>
                  <c:pt idx="27">
                    <c:v>Quarter 4</c:v>
                  </c:pt>
                  <c:pt idx="28">
                    <c:v>Quarter 1</c:v>
                  </c:pt>
                  <c:pt idx="29">
                    <c:v>Quarter 2</c:v>
                  </c:pt>
                  <c:pt idx="30">
                    <c:v>Quarter 3</c:v>
                  </c:pt>
                  <c:pt idx="31">
                    <c:v>Quarter 4</c:v>
                  </c:pt>
                  <c:pt idx="32">
                    <c:v>Quarter 1</c:v>
                  </c:pt>
                  <c:pt idx="33">
                    <c:v>Quarter 2</c:v>
                  </c:pt>
                  <c:pt idx="34">
                    <c:v>Quarter 3</c:v>
                  </c:pt>
                  <c:pt idx="35">
                    <c:v>Quarter 4</c:v>
                  </c:pt>
                  <c:pt idx="36">
                    <c:v>Quarter 1</c:v>
                  </c:pt>
                  <c:pt idx="37">
                    <c:v>Quarter 2</c:v>
                  </c:pt>
                  <c:pt idx="38">
                    <c:v>Quarter 3</c:v>
                  </c:pt>
                  <c:pt idx="39">
                    <c:v>Quarter 4</c:v>
                  </c:pt>
                  <c:pt idx="40">
                    <c:v>Quarter 1</c:v>
                  </c:pt>
                  <c:pt idx="41">
                    <c:v>Quarter 2</c:v>
                  </c:pt>
                  <c:pt idx="42">
                    <c:v>Quarter 3</c:v>
                  </c:pt>
                  <c:pt idx="43">
                    <c:v>Quarter 4</c:v>
                  </c:pt>
                  <c:pt idx="44">
                    <c:v>Quarter 1</c:v>
                  </c:pt>
                  <c:pt idx="45">
                    <c:v>Quarter 2</c:v>
                  </c:pt>
                  <c:pt idx="46">
                    <c:v>Quarter 3</c:v>
                  </c:pt>
                  <c:pt idx="47">
                    <c:v>Quarter 4</c:v>
                  </c:pt>
                  <c:pt idx="48">
                    <c:v>Quarter 1</c:v>
                  </c:pt>
                  <c:pt idx="49">
                    <c:v>Quarter 2</c:v>
                  </c:pt>
                  <c:pt idx="50">
                    <c:v>Quarter 3</c:v>
                  </c:pt>
                  <c:pt idx="51">
                    <c:v>Quarter 4</c:v>
                  </c:pt>
                  <c:pt idx="52">
                    <c:v>Quarter 1</c:v>
                  </c:pt>
                  <c:pt idx="53">
                    <c:v>Quarter 2</c:v>
                  </c:pt>
                  <c:pt idx="54">
                    <c:v>Quarter 3</c:v>
                  </c:pt>
                  <c:pt idx="55">
                    <c:v>Quarter 4</c:v>
                  </c:pt>
                  <c:pt idx="56">
                    <c:v>Quarter 1</c:v>
                  </c:pt>
                </c:lvl>
                <c:lvl>
                  <c:pt idx="0">
                    <c:v>2008</c:v>
                  </c:pt>
                  <c:pt idx="4">
                    <c:v>2009</c:v>
                  </c:pt>
                  <c:pt idx="8">
                    <c:v>2010</c:v>
                  </c:pt>
                  <c:pt idx="12">
                    <c:v>2011</c:v>
                  </c:pt>
                  <c:pt idx="16">
                    <c:v>2012</c:v>
                  </c:pt>
                  <c:pt idx="20">
                    <c:v>2013</c:v>
                  </c:pt>
                  <c:pt idx="24">
                    <c:v>2014</c:v>
                  </c:pt>
                  <c:pt idx="28">
                    <c:v>2015</c:v>
                  </c:pt>
                  <c:pt idx="32">
                    <c:v>2016</c:v>
                  </c:pt>
                  <c:pt idx="36">
                    <c:v>2017</c:v>
                  </c:pt>
                  <c:pt idx="40">
                    <c:v>2018</c:v>
                  </c:pt>
                  <c:pt idx="44">
                    <c:v>2019</c:v>
                  </c:pt>
                  <c:pt idx="48">
                    <c:v>2020</c:v>
                  </c:pt>
                  <c:pt idx="52">
                    <c:v>2021</c:v>
                  </c:pt>
                  <c:pt idx="56">
                    <c:v>2022 - Q1</c:v>
                  </c:pt>
                </c:lvl>
              </c:multiLvlStrCache>
            </c:multiLvlStrRef>
          </c:cat>
          <c:val>
            <c:numRef>
              <c:f>'Std House prices'!$C$4:$C$72</c:f>
              <c:numCache>
                <c:formatCode>"£"#,##0</c:formatCode>
                <c:ptCount val="57"/>
                <c:pt idx="0">
                  <c:v>184485.77383505687</c:v>
                </c:pt>
                <c:pt idx="1">
                  <c:v>161639.65580340184</c:v>
                </c:pt>
                <c:pt idx="2">
                  <c:v>146484.66379441501</c:v>
                </c:pt>
                <c:pt idx="3">
                  <c:v>138953.46455849145</c:v>
                </c:pt>
                <c:pt idx="4">
                  <c:v>125125.81475822208</c:v>
                </c:pt>
                <c:pt idx="5">
                  <c:v>128247.53741844358</c:v>
                </c:pt>
                <c:pt idx="6">
                  <c:v>125061.76393368529</c:v>
                </c:pt>
                <c:pt idx="7">
                  <c:v>123413.89618572751</c:v>
                </c:pt>
                <c:pt idx="8">
                  <c:v>120422.62190766996</c:v>
                </c:pt>
                <c:pt idx="9">
                  <c:v>116291.51983475177</c:v>
                </c:pt>
                <c:pt idx="10">
                  <c:v>117213.80449299476</c:v>
                </c:pt>
                <c:pt idx="11">
                  <c:v>112573.90939990652</c:v>
                </c:pt>
                <c:pt idx="12">
                  <c:v>108573.7212247963</c:v>
                </c:pt>
                <c:pt idx="13">
                  <c:v>100970.48864903206</c:v>
                </c:pt>
                <c:pt idx="14">
                  <c:v>103122.44244384795</c:v>
                </c:pt>
                <c:pt idx="15">
                  <c:v>98107.916878273827</c:v>
                </c:pt>
                <c:pt idx="16">
                  <c:v>94043.783415869053</c:v>
                </c:pt>
                <c:pt idx="17">
                  <c:v>93359.845342916917</c:v>
                </c:pt>
                <c:pt idx="18">
                  <c:v>86783.14240319439</c:v>
                </c:pt>
                <c:pt idx="19">
                  <c:v>84527.442285484547</c:v>
                </c:pt>
                <c:pt idx="20">
                  <c:v>85164.562956261405</c:v>
                </c:pt>
                <c:pt idx="21">
                  <c:v>86763.812184215247</c:v>
                </c:pt>
                <c:pt idx="22">
                  <c:v>87504.795150428079</c:v>
                </c:pt>
                <c:pt idx="23">
                  <c:v>90739.119182404917</c:v>
                </c:pt>
                <c:pt idx="24">
                  <c:v>91433.884647038343</c:v>
                </c:pt>
                <c:pt idx="25">
                  <c:v>93307.26159571005</c:v>
                </c:pt>
                <c:pt idx="26">
                  <c:v>95585.927344651616</c:v>
                </c:pt>
                <c:pt idx="27">
                  <c:v>97789.725510457254</c:v>
                </c:pt>
                <c:pt idx="28">
                  <c:v>98571.624175458492</c:v>
                </c:pt>
                <c:pt idx="29">
                  <c:v>100809.1835717121</c:v>
                </c:pt>
                <c:pt idx="30">
                  <c:v>104149.01039562721</c:v>
                </c:pt>
                <c:pt idx="31">
                  <c:v>106687.76604862578</c:v>
                </c:pt>
                <c:pt idx="32">
                  <c:v>107699.46897407134</c:v>
                </c:pt>
                <c:pt idx="33">
                  <c:v>111343.5487375846</c:v>
                </c:pt>
                <c:pt idx="34">
                  <c:v>110290.40475749681</c:v>
                </c:pt>
                <c:pt idx="35">
                  <c:v>111383.87888304605</c:v>
                </c:pt>
                <c:pt idx="36">
                  <c:v>113866.86888974339</c:v>
                </c:pt>
                <c:pt idx="37">
                  <c:v>113596.24748528768</c:v>
                </c:pt>
                <c:pt idx="38">
                  <c:v>114180.98083173085</c:v>
                </c:pt>
                <c:pt idx="39">
                  <c:v>116311.98490084178</c:v>
                </c:pt>
                <c:pt idx="40">
                  <c:v>116041.98464862828</c:v>
                </c:pt>
                <c:pt idx="41">
                  <c:v>117042.38623780961</c:v>
                </c:pt>
                <c:pt idx="42">
                  <c:v>116741.27409853389</c:v>
                </c:pt>
                <c:pt idx="43">
                  <c:v>119928.6616834982</c:v>
                </c:pt>
                <c:pt idx="44">
                  <c:v>120820.35231999989</c:v>
                </c:pt>
                <c:pt idx="45">
                  <c:v>119927.98933510057</c:v>
                </c:pt>
                <c:pt idx="46">
                  <c:v>124268.44666380371</c:v>
                </c:pt>
                <c:pt idx="47">
                  <c:v>124038.68822613015</c:v>
                </c:pt>
                <c:pt idx="48">
                  <c:v>124617.71548506986</c:v>
                </c:pt>
                <c:pt idx="49">
                  <c:v>125311.53525323223</c:v>
                </c:pt>
                <c:pt idx="50">
                  <c:v>126735.7027317531</c:v>
                </c:pt>
                <c:pt idx="51">
                  <c:v>128988.72358618362</c:v>
                </c:pt>
                <c:pt idx="52">
                  <c:v>128520.30320926843</c:v>
                </c:pt>
                <c:pt idx="53">
                  <c:v>135476.11527824844</c:v>
                </c:pt>
                <c:pt idx="54">
                  <c:v>141523</c:v>
                </c:pt>
                <c:pt idx="55">
                  <c:v>139998</c:v>
                </c:pt>
                <c:pt idx="56">
                  <c:v>146577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3BB-46D5-8440-7E4944402B07}"/>
            </c:ext>
          </c:extLst>
        </c:ser>
        <c:ser>
          <c:idx val="1"/>
          <c:order val="1"/>
          <c:tx>
            <c:strRef>
              <c:f>'Std House prices'!$D$3</c:f>
              <c:strCache>
                <c:ptCount val="1"/>
                <c:pt idx="0">
                  <c:v>Northern Ireland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diamond"/>
              <c:size val="7"/>
              <c:spPr>
                <a:solidFill>
                  <a:schemeClr val="accent2"/>
                </a:solidFill>
                <a:ln w="9525">
                  <a:solidFill>
                    <a:schemeClr val="accent2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6-33BB-46D5-8440-7E4944402B07}"/>
              </c:ext>
            </c:extLst>
          </c:dPt>
          <c:dPt>
            <c:idx val="25"/>
            <c:bubble3D val="0"/>
            <c:extLst>
              <c:ext xmlns:c16="http://schemas.microsoft.com/office/drawing/2014/chart" uri="{C3380CC4-5D6E-409C-BE32-E72D297353CC}">
                <c16:uniqueId val="{00000007-33BB-46D5-8440-7E4944402B07}"/>
              </c:ext>
            </c:extLst>
          </c:dPt>
          <c:dPt>
            <c:idx val="27"/>
            <c:marker>
              <c:symbol val="diamond"/>
              <c:size val="7"/>
              <c:spPr>
                <a:solidFill>
                  <a:schemeClr val="accent2"/>
                </a:solidFill>
                <a:ln w="9525">
                  <a:solidFill>
                    <a:schemeClr val="accent2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8-33BB-46D5-8440-7E4944402B07}"/>
              </c:ext>
            </c:extLst>
          </c:dPt>
          <c:dPt>
            <c:idx val="55"/>
            <c:bubble3D val="0"/>
            <c:extLst>
              <c:ext xmlns:c16="http://schemas.microsoft.com/office/drawing/2014/chart" uri="{C3380CC4-5D6E-409C-BE32-E72D297353CC}">
                <c16:uniqueId val="{00000009-33BB-46D5-8440-7E4944402B07}"/>
              </c:ext>
            </c:extLst>
          </c:dPt>
          <c:dPt>
            <c:idx val="56"/>
            <c:marker>
              <c:symbol val="diamond"/>
              <c:size val="7"/>
            </c:marker>
            <c:bubble3D val="0"/>
            <c:extLst>
              <c:ext xmlns:c16="http://schemas.microsoft.com/office/drawing/2014/chart" uri="{C3380CC4-5D6E-409C-BE32-E72D297353CC}">
                <c16:uniqueId val="{0000000A-33BB-46D5-8440-7E4944402B07}"/>
              </c:ext>
            </c:extLst>
          </c:dPt>
          <c:dLbls>
            <c:dLbl>
              <c:idx val="0"/>
              <c:layout>
                <c:manualLayout>
                  <c:x val="-1.7941986247356421E-17"/>
                  <c:y val="-6.8173663437387885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33BB-46D5-8440-7E4944402B07}"/>
                </c:ext>
              </c:extLst>
            </c:dLbl>
            <c:dLbl>
              <c:idx val="27"/>
              <c:layout>
                <c:manualLayout>
                  <c:x val="-4.8933255040125342E-2"/>
                  <c:y val="-3.9468963042698306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33BB-46D5-8440-7E4944402B07}"/>
                </c:ext>
              </c:extLst>
            </c:dLbl>
            <c:dLbl>
              <c:idx val="56"/>
              <c:layout>
                <c:manualLayout>
                  <c:x val="-3.549875754348598E-3"/>
                  <c:y val="-4.3103448275862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900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33BB-46D5-8440-7E4944402B0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'Std House prices'!$A$4:$B$72</c:f>
              <c:multiLvlStrCache>
                <c:ptCount val="57"/>
                <c:lvl>
                  <c:pt idx="0">
                    <c:v>Quarter 1</c:v>
                  </c:pt>
                  <c:pt idx="1">
                    <c:v>Quarter 2</c:v>
                  </c:pt>
                  <c:pt idx="2">
                    <c:v>Quarter 3</c:v>
                  </c:pt>
                  <c:pt idx="3">
                    <c:v>Quarter 4</c:v>
                  </c:pt>
                  <c:pt idx="4">
                    <c:v>Quarter 1</c:v>
                  </c:pt>
                  <c:pt idx="5">
                    <c:v>Quarter 2</c:v>
                  </c:pt>
                  <c:pt idx="6">
                    <c:v>Quarter 3</c:v>
                  </c:pt>
                  <c:pt idx="7">
                    <c:v>Quarter 4</c:v>
                  </c:pt>
                  <c:pt idx="8">
                    <c:v>Quarter 1</c:v>
                  </c:pt>
                  <c:pt idx="9">
                    <c:v>Quarter 2</c:v>
                  </c:pt>
                  <c:pt idx="10">
                    <c:v>Quarter 3</c:v>
                  </c:pt>
                  <c:pt idx="11">
                    <c:v>Quarter 4</c:v>
                  </c:pt>
                  <c:pt idx="12">
                    <c:v>Quarter 1</c:v>
                  </c:pt>
                  <c:pt idx="13">
                    <c:v>Quarter 2</c:v>
                  </c:pt>
                  <c:pt idx="14">
                    <c:v>Quarter 3</c:v>
                  </c:pt>
                  <c:pt idx="15">
                    <c:v>Quarter 4</c:v>
                  </c:pt>
                  <c:pt idx="16">
                    <c:v>Quarter 1</c:v>
                  </c:pt>
                  <c:pt idx="17">
                    <c:v>Quarter 2</c:v>
                  </c:pt>
                  <c:pt idx="18">
                    <c:v>Quarter 3</c:v>
                  </c:pt>
                  <c:pt idx="19">
                    <c:v>Quarter 4</c:v>
                  </c:pt>
                  <c:pt idx="20">
                    <c:v>Quarter 1</c:v>
                  </c:pt>
                  <c:pt idx="21">
                    <c:v>Quarter 2</c:v>
                  </c:pt>
                  <c:pt idx="22">
                    <c:v>Quarter 3</c:v>
                  </c:pt>
                  <c:pt idx="23">
                    <c:v>Quarter 4</c:v>
                  </c:pt>
                  <c:pt idx="24">
                    <c:v>Quarter 1</c:v>
                  </c:pt>
                  <c:pt idx="25">
                    <c:v>Quarter 2</c:v>
                  </c:pt>
                  <c:pt idx="26">
                    <c:v>Quarter 3</c:v>
                  </c:pt>
                  <c:pt idx="27">
                    <c:v>Quarter 4</c:v>
                  </c:pt>
                  <c:pt idx="28">
                    <c:v>Quarter 1</c:v>
                  </c:pt>
                  <c:pt idx="29">
                    <c:v>Quarter 2</c:v>
                  </c:pt>
                  <c:pt idx="30">
                    <c:v>Quarter 3</c:v>
                  </c:pt>
                  <c:pt idx="31">
                    <c:v>Quarter 4</c:v>
                  </c:pt>
                  <c:pt idx="32">
                    <c:v>Quarter 1</c:v>
                  </c:pt>
                  <c:pt idx="33">
                    <c:v>Quarter 2</c:v>
                  </c:pt>
                  <c:pt idx="34">
                    <c:v>Quarter 3</c:v>
                  </c:pt>
                  <c:pt idx="35">
                    <c:v>Quarter 4</c:v>
                  </c:pt>
                  <c:pt idx="36">
                    <c:v>Quarter 1</c:v>
                  </c:pt>
                  <c:pt idx="37">
                    <c:v>Quarter 2</c:v>
                  </c:pt>
                  <c:pt idx="38">
                    <c:v>Quarter 3</c:v>
                  </c:pt>
                  <c:pt idx="39">
                    <c:v>Quarter 4</c:v>
                  </c:pt>
                  <c:pt idx="40">
                    <c:v>Quarter 1</c:v>
                  </c:pt>
                  <c:pt idx="41">
                    <c:v>Quarter 2</c:v>
                  </c:pt>
                  <c:pt idx="42">
                    <c:v>Quarter 3</c:v>
                  </c:pt>
                  <c:pt idx="43">
                    <c:v>Quarter 4</c:v>
                  </c:pt>
                  <c:pt idx="44">
                    <c:v>Quarter 1</c:v>
                  </c:pt>
                  <c:pt idx="45">
                    <c:v>Quarter 2</c:v>
                  </c:pt>
                  <c:pt idx="46">
                    <c:v>Quarter 3</c:v>
                  </c:pt>
                  <c:pt idx="47">
                    <c:v>Quarter 4</c:v>
                  </c:pt>
                  <c:pt idx="48">
                    <c:v>Quarter 1</c:v>
                  </c:pt>
                  <c:pt idx="49">
                    <c:v>Quarter 2</c:v>
                  </c:pt>
                  <c:pt idx="50">
                    <c:v>Quarter 3</c:v>
                  </c:pt>
                  <c:pt idx="51">
                    <c:v>Quarter 4</c:v>
                  </c:pt>
                  <c:pt idx="52">
                    <c:v>Quarter 1</c:v>
                  </c:pt>
                  <c:pt idx="53">
                    <c:v>Quarter 2</c:v>
                  </c:pt>
                  <c:pt idx="54">
                    <c:v>Quarter 3</c:v>
                  </c:pt>
                  <c:pt idx="55">
                    <c:v>Quarter 4</c:v>
                  </c:pt>
                  <c:pt idx="56">
                    <c:v>Quarter 1</c:v>
                  </c:pt>
                </c:lvl>
                <c:lvl>
                  <c:pt idx="0">
                    <c:v>2008</c:v>
                  </c:pt>
                  <c:pt idx="4">
                    <c:v>2009</c:v>
                  </c:pt>
                  <c:pt idx="8">
                    <c:v>2010</c:v>
                  </c:pt>
                  <c:pt idx="12">
                    <c:v>2011</c:v>
                  </c:pt>
                  <c:pt idx="16">
                    <c:v>2012</c:v>
                  </c:pt>
                  <c:pt idx="20">
                    <c:v>2013</c:v>
                  </c:pt>
                  <c:pt idx="24">
                    <c:v>2014</c:v>
                  </c:pt>
                  <c:pt idx="28">
                    <c:v>2015</c:v>
                  </c:pt>
                  <c:pt idx="32">
                    <c:v>2016</c:v>
                  </c:pt>
                  <c:pt idx="36">
                    <c:v>2017</c:v>
                  </c:pt>
                  <c:pt idx="40">
                    <c:v>2018</c:v>
                  </c:pt>
                  <c:pt idx="44">
                    <c:v>2019</c:v>
                  </c:pt>
                  <c:pt idx="48">
                    <c:v>2020</c:v>
                  </c:pt>
                  <c:pt idx="52">
                    <c:v>2021</c:v>
                  </c:pt>
                  <c:pt idx="56">
                    <c:v>2022 - Q1</c:v>
                  </c:pt>
                </c:lvl>
              </c:multiLvlStrCache>
            </c:multiLvlStrRef>
          </c:cat>
          <c:val>
            <c:numRef>
              <c:f>'Std House prices'!$D$4:$D$72</c:f>
              <c:numCache>
                <c:formatCode>"£"#,##0</c:formatCode>
                <c:ptCount val="57"/>
                <c:pt idx="0">
                  <c:v>198361.81216154178</c:v>
                </c:pt>
                <c:pt idx="1">
                  <c:v>185844.82288421385</c:v>
                </c:pt>
                <c:pt idx="2">
                  <c:v>168075.93242384066</c:v>
                </c:pt>
                <c:pt idx="3">
                  <c:v>153774.10360004296</c:v>
                </c:pt>
                <c:pt idx="4">
                  <c:v>140189.96582103145</c:v>
                </c:pt>
                <c:pt idx="5">
                  <c:v>141488.69401023118</c:v>
                </c:pt>
                <c:pt idx="6">
                  <c:v>141863.99364271419</c:v>
                </c:pt>
                <c:pt idx="7">
                  <c:v>141993.77881746896</c:v>
                </c:pt>
                <c:pt idx="8">
                  <c:v>135701.48072005805</c:v>
                </c:pt>
                <c:pt idx="9">
                  <c:v>134514.84506542984</c:v>
                </c:pt>
                <c:pt idx="10">
                  <c:v>132163.50872536417</c:v>
                </c:pt>
                <c:pt idx="11">
                  <c:v>124515.07749212153</c:v>
                </c:pt>
                <c:pt idx="12">
                  <c:v>119023.87640911473</c:v>
                </c:pt>
                <c:pt idx="13">
                  <c:v>117142.39859752222</c:v>
                </c:pt>
                <c:pt idx="14">
                  <c:v>115107.89875652014</c:v>
                </c:pt>
                <c:pt idx="15">
                  <c:v>111871.00962691213</c:v>
                </c:pt>
                <c:pt idx="16">
                  <c:v>104711.74662578963</c:v>
                </c:pt>
                <c:pt idx="17">
                  <c:v>104986.80671371793</c:v>
                </c:pt>
                <c:pt idx="18">
                  <c:v>102085.76428257758</c:v>
                </c:pt>
                <c:pt idx="19">
                  <c:v>99646.637347324664</c:v>
                </c:pt>
                <c:pt idx="20">
                  <c:v>97428.393655615102</c:v>
                </c:pt>
                <c:pt idx="21">
                  <c:v>99229.408782896411</c:v>
                </c:pt>
                <c:pt idx="22">
                  <c:v>101164.64267660079</c:v>
                </c:pt>
                <c:pt idx="23">
                  <c:v>101879.40133423483</c:v>
                </c:pt>
                <c:pt idx="24">
                  <c:v>103570.19750164192</c:v>
                </c:pt>
                <c:pt idx="25">
                  <c:v>107030.74694536967</c:v>
                </c:pt>
                <c:pt idx="26">
                  <c:v>109116.2501607274</c:v>
                </c:pt>
                <c:pt idx="27">
                  <c:v>110749.9855063017</c:v>
                </c:pt>
                <c:pt idx="28">
                  <c:v>110939.9946309642</c:v>
                </c:pt>
                <c:pt idx="29">
                  <c:v>114340.19203709823</c:v>
                </c:pt>
                <c:pt idx="30">
                  <c:v>117715.63723949957</c:v>
                </c:pt>
                <c:pt idx="31">
                  <c:v>118755.51727894566</c:v>
                </c:pt>
                <c:pt idx="32">
                  <c:v>118850.75151991763</c:v>
                </c:pt>
                <c:pt idx="33">
                  <c:v>123249.19552948477</c:v>
                </c:pt>
                <c:pt idx="34">
                  <c:v>124730.53721297663</c:v>
                </c:pt>
                <c:pt idx="35">
                  <c:v>125059.11416568109</c:v>
                </c:pt>
                <c:pt idx="36">
                  <c:v>124785.78943466081</c:v>
                </c:pt>
                <c:pt idx="37">
                  <c:v>127178.49989129115</c:v>
                </c:pt>
                <c:pt idx="38">
                  <c:v>128877.91395542804</c:v>
                </c:pt>
                <c:pt idx="39">
                  <c:v>129601.39116616375</c:v>
                </c:pt>
                <c:pt idx="40">
                  <c:v>130291.68571023059</c:v>
                </c:pt>
                <c:pt idx="41">
                  <c:v>132094.99883251186</c:v>
                </c:pt>
                <c:pt idx="42">
                  <c:v>134619.30052550047</c:v>
                </c:pt>
                <c:pt idx="43">
                  <c:v>136763.9175440172</c:v>
                </c:pt>
                <c:pt idx="44">
                  <c:v>135433.74707131617</c:v>
                </c:pt>
                <c:pt idx="45">
                  <c:v>136960.03800043007</c:v>
                </c:pt>
                <c:pt idx="46">
                  <c:v>139837.61845941099</c:v>
                </c:pt>
                <c:pt idx="47">
                  <c:v>140141.46782932917</c:v>
                </c:pt>
                <c:pt idx="48">
                  <c:v>140722.47998757396</c:v>
                </c:pt>
                <c:pt idx="49">
                  <c:v>140841.26401707085</c:v>
                </c:pt>
                <c:pt idx="50">
                  <c:v>143722.97243827983</c:v>
                </c:pt>
                <c:pt idx="51">
                  <c:v>147474.56170740083</c:v>
                </c:pt>
                <c:pt idx="52">
                  <c:v>149084.30604028914</c:v>
                </c:pt>
                <c:pt idx="53">
                  <c:v>154323.13464294956</c:v>
                </c:pt>
                <c:pt idx="54">
                  <c:v>159098</c:v>
                </c:pt>
                <c:pt idx="55">
                  <c:v>159131</c:v>
                </c:pt>
                <c:pt idx="56">
                  <c:v>164590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33BB-46D5-8440-7E4944402B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478384"/>
        <c:axId val="1"/>
      </c:lineChart>
      <c:catAx>
        <c:axId val="12478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&quot;£&quot;#,##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78384"/>
        <c:crosses val="autoZero"/>
        <c:crossBetween val="between"/>
      </c:valAx>
      <c:spPr>
        <a:noFill/>
        <a:ln w="25400">
          <a:noFill/>
        </a:ln>
      </c:spPr>
    </c:plotArea>
    <c:legend>
      <c:legendPos val="tr"/>
      <c:layout>
        <c:manualLayout>
          <c:xMode val="edge"/>
          <c:yMode val="edge"/>
          <c:x val="0.64629496033666189"/>
          <c:y val="3.9468786768033309E-2"/>
          <c:w val="0.33695450079913192"/>
          <c:h val="0.12109862883518871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526999081446692E-2"/>
          <c:y val="4.0248810830589093E-2"/>
          <c:w val="0.90359922258625969"/>
          <c:h val="0.71733724008977473"/>
        </c:manualLayout>
      </c:layout>
      <c:lineChart>
        <c:grouping val="standard"/>
        <c:varyColors val="0"/>
        <c:ser>
          <c:idx val="0"/>
          <c:order val="0"/>
          <c:tx>
            <c:strRef>
              <c:f>HPI!$C$3</c:f>
              <c:strCache>
                <c:ptCount val="1"/>
                <c:pt idx="0">
                  <c:v>Northern Ireland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multiLvlStrRef>
              <c:f>HPI!$A$4:$B$72</c:f>
              <c:multiLvlStrCache>
                <c:ptCount val="57"/>
                <c:lvl>
                  <c:pt idx="0">
                    <c:v>Quarter 1</c:v>
                  </c:pt>
                  <c:pt idx="1">
                    <c:v>Quarter 2</c:v>
                  </c:pt>
                  <c:pt idx="2">
                    <c:v>Quarter 3</c:v>
                  </c:pt>
                  <c:pt idx="3">
                    <c:v>Quarter 4</c:v>
                  </c:pt>
                  <c:pt idx="4">
                    <c:v>Quarter 1</c:v>
                  </c:pt>
                  <c:pt idx="5">
                    <c:v>Quarter 2</c:v>
                  </c:pt>
                  <c:pt idx="6">
                    <c:v>Quarter 3</c:v>
                  </c:pt>
                  <c:pt idx="7">
                    <c:v>Quarter 4</c:v>
                  </c:pt>
                  <c:pt idx="8">
                    <c:v>Quarter 1</c:v>
                  </c:pt>
                  <c:pt idx="9">
                    <c:v>Quarter 2</c:v>
                  </c:pt>
                  <c:pt idx="10">
                    <c:v>Quarter 3</c:v>
                  </c:pt>
                  <c:pt idx="11">
                    <c:v>Quarter 4</c:v>
                  </c:pt>
                  <c:pt idx="12">
                    <c:v>Quarter 1</c:v>
                  </c:pt>
                  <c:pt idx="13">
                    <c:v>Quarter 2</c:v>
                  </c:pt>
                  <c:pt idx="14">
                    <c:v>Quarter 3</c:v>
                  </c:pt>
                  <c:pt idx="15">
                    <c:v>Quarter 4</c:v>
                  </c:pt>
                  <c:pt idx="16">
                    <c:v>Quarter 1</c:v>
                  </c:pt>
                  <c:pt idx="17">
                    <c:v>Quarter 2</c:v>
                  </c:pt>
                  <c:pt idx="18">
                    <c:v>Quarter 3</c:v>
                  </c:pt>
                  <c:pt idx="19">
                    <c:v>Quarter 4</c:v>
                  </c:pt>
                  <c:pt idx="20">
                    <c:v>Quarter 1</c:v>
                  </c:pt>
                  <c:pt idx="21">
                    <c:v>Quarter 2</c:v>
                  </c:pt>
                  <c:pt idx="22">
                    <c:v>Quarter 3</c:v>
                  </c:pt>
                  <c:pt idx="23">
                    <c:v>Quarter 4</c:v>
                  </c:pt>
                  <c:pt idx="24">
                    <c:v>Quarter 1</c:v>
                  </c:pt>
                  <c:pt idx="25">
                    <c:v>Quarter 2</c:v>
                  </c:pt>
                  <c:pt idx="26">
                    <c:v>Quarter 3</c:v>
                  </c:pt>
                  <c:pt idx="27">
                    <c:v>Quarter 4</c:v>
                  </c:pt>
                  <c:pt idx="28">
                    <c:v>Quarter 1</c:v>
                  </c:pt>
                  <c:pt idx="29">
                    <c:v>Quarter 2</c:v>
                  </c:pt>
                  <c:pt idx="30">
                    <c:v>Quarter 3</c:v>
                  </c:pt>
                  <c:pt idx="31">
                    <c:v>Quarter 4</c:v>
                  </c:pt>
                  <c:pt idx="32">
                    <c:v>Quarter 1</c:v>
                  </c:pt>
                  <c:pt idx="33">
                    <c:v>Quarter 2</c:v>
                  </c:pt>
                  <c:pt idx="34">
                    <c:v>Quarter 3</c:v>
                  </c:pt>
                  <c:pt idx="35">
                    <c:v>Quarter 4</c:v>
                  </c:pt>
                  <c:pt idx="36">
                    <c:v>Quarter 1</c:v>
                  </c:pt>
                  <c:pt idx="37">
                    <c:v>Quarter 2</c:v>
                  </c:pt>
                  <c:pt idx="38">
                    <c:v>Quarter 3</c:v>
                  </c:pt>
                  <c:pt idx="39">
                    <c:v>Quarter 4</c:v>
                  </c:pt>
                  <c:pt idx="40">
                    <c:v>Quarter 1</c:v>
                  </c:pt>
                  <c:pt idx="41">
                    <c:v>Quarter 2</c:v>
                  </c:pt>
                  <c:pt idx="42">
                    <c:v>Quarter 3</c:v>
                  </c:pt>
                  <c:pt idx="43">
                    <c:v>Quarter 4</c:v>
                  </c:pt>
                  <c:pt idx="44">
                    <c:v>Quarter 1</c:v>
                  </c:pt>
                  <c:pt idx="45">
                    <c:v>Quarter 2</c:v>
                  </c:pt>
                  <c:pt idx="46">
                    <c:v>Quarter 3</c:v>
                  </c:pt>
                  <c:pt idx="47">
                    <c:v>Quarter 4</c:v>
                  </c:pt>
                  <c:pt idx="48">
                    <c:v>Quarter 1</c:v>
                  </c:pt>
                  <c:pt idx="49">
                    <c:v>Quarter 2</c:v>
                  </c:pt>
                  <c:pt idx="50">
                    <c:v>Quarter 3</c:v>
                  </c:pt>
                  <c:pt idx="51">
                    <c:v>Quarter 4</c:v>
                  </c:pt>
                  <c:pt idx="52">
                    <c:v>Quarter 1</c:v>
                  </c:pt>
                  <c:pt idx="53">
                    <c:v>Quarter 2</c:v>
                  </c:pt>
                  <c:pt idx="54">
                    <c:v>Quarter 3</c:v>
                  </c:pt>
                  <c:pt idx="55">
                    <c:v>Quarter 4</c:v>
                  </c:pt>
                  <c:pt idx="56">
                    <c:v>Quarter 1</c:v>
                  </c:pt>
                </c:lvl>
                <c:lvl>
                  <c:pt idx="0">
                    <c:v>2008</c:v>
                  </c:pt>
                  <c:pt idx="4">
                    <c:v>2009</c:v>
                  </c:pt>
                  <c:pt idx="8">
                    <c:v>2010</c:v>
                  </c:pt>
                  <c:pt idx="12">
                    <c:v>2011</c:v>
                  </c:pt>
                  <c:pt idx="16">
                    <c:v>2012</c:v>
                  </c:pt>
                  <c:pt idx="20">
                    <c:v>2013</c:v>
                  </c:pt>
                  <c:pt idx="24">
                    <c:v>2014</c:v>
                  </c:pt>
                  <c:pt idx="28">
                    <c:v>2015</c:v>
                  </c:pt>
                  <c:pt idx="32">
                    <c:v>2016</c:v>
                  </c:pt>
                  <c:pt idx="36">
                    <c:v>2017</c:v>
                  </c:pt>
                  <c:pt idx="40">
                    <c:v>2018</c:v>
                  </c:pt>
                  <c:pt idx="44">
                    <c:v>2019</c:v>
                  </c:pt>
                  <c:pt idx="48">
                    <c:v>2020</c:v>
                  </c:pt>
                  <c:pt idx="52">
                    <c:v>2021</c:v>
                  </c:pt>
                  <c:pt idx="56">
                    <c:v>2022</c:v>
                  </c:pt>
                </c:lvl>
              </c:multiLvlStrCache>
            </c:multiLvlStrRef>
          </c:cat>
          <c:val>
            <c:numRef>
              <c:f>HPI!$C$4:$C$72</c:f>
              <c:numCache>
                <c:formatCode>0.0</c:formatCode>
                <c:ptCount val="57"/>
                <c:pt idx="0">
                  <c:v>178.80099311468462</c:v>
                </c:pt>
                <c:pt idx="1">
                  <c:v>167.51832691394699</c:v>
                </c:pt>
                <c:pt idx="2">
                  <c:v>151.50165905716511</c:v>
                </c:pt>
                <c:pt idx="3">
                  <c:v>138.61015958362361</c:v>
                </c:pt>
                <c:pt idx="4">
                  <c:v>126.36557833571713</c:v>
                </c:pt>
                <c:pt idx="5">
                  <c:v>127.53623657625508</c:v>
                </c:pt>
                <c:pt idx="6">
                  <c:v>127.87452722944235</c:v>
                </c:pt>
                <c:pt idx="7">
                  <c:v>127.99151405208147</c:v>
                </c:pt>
                <c:pt idx="8">
                  <c:v>122.31971091350921</c:v>
                </c:pt>
                <c:pt idx="9">
                  <c:v>121.25009155885222</c:v>
                </c:pt>
                <c:pt idx="10">
                  <c:v>119.13062477152521</c:v>
                </c:pt>
                <c:pt idx="11">
                  <c:v>112.23641925196959</c:v>
                </c:pt>
                <c:pt idx="12">
                  <c:v>107.28671549430042</c:v>
                </c:pt>
                <c:pt idx="13">
                  <c:v>105.59077363144822</c:v>
                </c:pt>
                <c:pt idx="14">
                  <c:v>103.75689951979919</c:v>
                </c:pt>
                <c:pt idx="15">
                  <c:v>100.83920591401225</c:v>
                </c:pt>
                <c:pt idx="16">
                  <c:v>94.385930857584327</c:v>
                </c:pt>
                <c:pt idx="17">
                  <c:v>94.633866770005511</c:v>
                </c:pt>
                <c:pt idx="18">
                  <c:v>92.018901408964609</c:v>
                </c:pt>
                <c:pt idx="19">
                  <c:v>89.820301216701623</c:v>
                </c:pt>
                <c:pt idx="20">
                  <c:v>87.820802569628114</c:v>
                </c:pt>
                <c:pt idx="21">
                  <c:v>89.444216319802067</c:v>
                </c:pt>
                <c:pt idx="22">
                  <c:v>91.188613279745894</c:v>
                </c:pt>
                <c:pt idx="23">
                  <c:v>91.832888286258765</c:v>
                </c:pt>
                <c:pt idx="24">
                  <c:v>93.3569519686408</c:v>
                </c:pt>
                <c:pt idx="25">
                  <c:v>96.476250338213532</c:v>
                </c:pt>
                <c:pt idx="26">
                  <c:v>98.356098288716012</c:v>
                </c:pt>
                <c:pt idx="27">
                  <c:v>99.82872802067952</c:v>
                </c:pt>
                <c:pt idx="28">
                  <c:v>100</c:v>
                </c:pt>
                <c:pt idx="29">
                  <c:v>103.06489775616502</c:v>
                </c:pt>
                <c:pt idx="30">
                  <c:v>106.10748416842293</c:v>
                </c:pt>
                <c:pt idx="31">
                  <c:v>107.04481974600716</c:v>
                </c:pt>
                <c:pt idx="32">
                  <c:v>107.13066276527967</c:v>
                </c:pt>
                <c:pt idx="33">
                  <c:v>111.09536821185763</c:v>
                </c:pt>
                <c:pt idx="34">
                  <c:v>112.43063209790654</c:v>
                </c:pt>
                <c:pt idx="35">
                  <c:v>112.72680747974017</c:v>
                </c:pt>
                <c:pt idx="36">
                  <c:v>112.4804357975263</c:v>
                </c:pt>
                <c:pt idx="37">
                  <c:v>114.63719672453875</c:v>
                </c:pt>
                <c:pt idx="38">
                  <c:v>116.16902847718116</c:v>
                </c:pt>
                <c:pt idx="39">
                  <c:v>116.82116228441841</c:v>
                </c:pt>
                <c:pt idx="40">
                  <c:v>117.44338562809449</c:v>
                </c:pt>
                <c:pt idx="41">
                  <c:v>119.06887076380221</c:v>
                </c:pt>
                <c:pt idx="42">
                  <c:v>121.34424647603797</c:v>
                </c:pt>
                <c:pt idx="43">
                  <c:v>123.27737891006292</c:v>
                </c:pt>
                <c:pt idx="44">
                  <c:v>122.07837896678208</c:v>
                </c:pt>
                <c:pt idx="45">
                  <c:v>123.45415957159555</c:v>
                </c:pt>
                <c:pt idx="46">
                  <c:v>126.04797658822065</c:v>
                </c:pt>
                <c:pt idx="47">
                  <c:v>126.32186281917723</c:v>
                </c:pt>
                <c:pt idx="48">
                  <c:v>126.84558031184297</c:v>
                </c:pt>
                <c:pt idx="49">
                  <c:v>126.95265083216525</c:v>
                </c:pt>
                <c:pt idx="50">
                  <c:v>129.55018874515579</c:v>
                </c:pt>
                <c:pt idx="51">
                  <c:v>132.93182697364182</c:v>
                </c:pt>
                <c:pt idx="52">
                  <c:v>134.38283149031142</c:v>
                </c:pt>
                <c:pt idx="53">
                  <c:v>139.10504967689695</c:v>
                </c:pt>
                <c:pt idx="54">
                  <c:v>143.4</c:v>
                </c:pt>
                <c:pt idx="55">
                  <c:v>143.4</c:v>
                </c:pt>
                <c:pt idx="56">
                  <c:v>148.4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2C9-4C67-9A81-B7DBA222F318}"/>
            </c:ext>
          </c:extLst>
        </c:ser>
        <c:ser>
          <c:idx val="1"/>
          <c:order val="1"/>
          <c:tx>
            <c:strRef>
              <c:f>HPI!$D$3</c:f>
              <c:strCache>
                <c:ptCount val="1"/>
                <c:pt idx="0">
                  <c:v>Armagh City, Banbridge &amp; Craigavon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multiLvlStrRef>
              <c:f>HPI!$A$4:$B$72</c:f>
              <c:multiLvlStrCache>
                <c:ptCount val="57"/>
                <c:lvl>
                  <c:pt idx="0">
                    <c:v>Quarter 1</c:v>
                  </c:pt>
                  <c:pt idx="1">
                    <c:v>Quarter 2</c:v>
                  </c:pt>
                  <c:pt idx="2">
                    <c:v>Quarter 3</c:v>
                  </c:pt>
                  <c:pt idx="3">
                    <c:v>Quarter 4</c:v>
                  </c:pt>
                  <c:pt idx="4">
                    <c:v>Quarter 1</c:v>
                  </c:pt>
                  <c:pt idx="5">
                    <c:v>Quarter 2</c:v>
                  </c:pt>
                  <c:pt idx="6">
                    <c:v>Quarter 3</c:v>
                  </c:pt>
                  <c:pt idx="7">
                    <c:v>Quarter 4</c:v>
                  </c:pt>
                  <c:pt idx="8">
                    <c:v>Quarter 1</c:v>
                  </c:pt>
                  <c:pt idx="9">
                    <c:v>Quarter 2</c:v>
                  </c:pt>
                  <c:pt idx="10">
                    <c:v>Quarter 3</c:v>
                  </c:pt>
                  <c:pt idx="11">
                    <c:v>Quarter 4</c:v>
                  </c:pt>
                  <c:pt idx="12">
                    <c:v>Quarter 1</c:v>
                  </c:pt>
                  <c:pt idx="13">
                    <c:v>Quarter 2</c:v>
                  </c:pt>
                  <c:pt idx="14">
                    <c:v>Quarter 3</c:v>
                  </c:pt>
                  <c:pt idx="15">
                    <c:v>Quarter 4</c:v>
                  </c:pt>
                  <c:pt idx="16">
                    <c:v>Quarter 1</c:v>
                  </c:pt>
                  <c:pt idx="17">
                    <c:v>Quarter 2</c:v>
                  </c:pt>
                  <c:pt idx="18">
                    <c:v>Quarter 3</c:v>
                  </c:pt>
                  <c:pt idx="19">
                    <c:v>Quarter 4</c:v>
                  </c:pt>
                  <c:pt idx="20">
                    <c:v>Quarter 1</c:v>
                  </c:pt>
                  <c:pt idx="21">
                    <c:v>Quarter 2</c:v>
                  </c:pt>
                  <c:pt idx="22">
                    <c:v>Quarter 3</c:v>
                  </c:pt>
                  <c:pt idx="23">
                    <c:v>Quarter 4</c:v>
                  </c:pt>
                  <c:pt idx="24">
                    <c:v>Quarter 1</c:v>
                  </c:pt>
                  <c:pt idx="25">
                    <c:v>Quarter 2</c:v>
                  </c:pt>
                  <c:pt idx="26">
                    <c:v>Quarter 3</c:v>
                  </c:pt>
                  <c:pt idx="27">
                    <c:v>Quarter 4</c:v>
                  </c:pt>
                  <c:pt idx="28">
                    <c:v>Quarter 1</c:v>
                  </c:pt>
                  <c:pt idx="29">
                    <c:v>Quarter 2</c:v>
                  </c:pt>
                  <c:pt idx="30">
                    <c:v>Quarter 3</c:v>
                  </c:pt>
                  <c:pt idx="31">
                    <c:v>Quarter 4</c:v>
                  </c:pt>
                  <c:pt idx="32">
                    <c:v>Quarter 1</c:v>
                  </c:pt>
                  <c:pt idx="33">
                    <c:v>Quarter 2</c:v>
                  </c:pt>
                  <c:pt idx="34">
                    <c:v>Quarter 3</c:v>
                  </c:pt>
                  <c:pt idx="35">
                    <c:v>Quarter 4</c:v>
                  </c:pt>
                  <c:pt idx="36">
                    <c:v>Quarter 1</c:v>
                  </c:pt>
                  <c:pt idx="37">
                    <c:v>Quarter 2</c:v>
                  </c:pt>
                  <c:pt idx="38">
                    <c:v>Quarter 3</c:v>
                  </c:pt>
                  <c:pt idx="39">
                    <c:v>Quarter 4</c:v>
                  </c:pt>
                  <c:pt idx="40">
                    <c:v>Quarter 1</c:v>
                  </c:pt>
                  <c:pt idx="41">
                    <c:v>Quarter 2</c:v>
                  </c:pt>
                  <c:pt idx="42">
                    <c:v>Quarter 3</c:v>
                  </c:pt>
                  <c:pt idx="43">
                    <c:v>Quarter 4</c:v>
                  </c:pt>
                  <c:pt idx="44">
                    <c:v>Quarter 1</c:v>
                  </c:pt>
                  <c:pt idx="45">
                    <c:v>Quarter 2</c:v>
                  </c:pt>
                  <c:pt idx="46">
                    <c:v>Quarter 3</c:v>
                  </c:pt>
                  <c:pt idx="47">
                    <c:v>Quarter 4</c:v>
                  </c:pt>
                  <c:pt idx="48">
                    <c:v>Quarter 1</c:v>
                  </c:pt>
                  <c:pt idx="49">
                    <c:v>Quarter 2</c:v>
                  </c:pt>
                  <c:pt idx="50">
                    <c:v>Quarter 3</c:v>
                  </c:pt>
                  <c:pt idx="51">
                    <c:v>Quarter 4</c:v>
                  </c:pt>
                  <c:pt idx="52">
                    <c:v>Quarter 1</c:v>
                  </c:pt>
                  <c:pt idx="53">
                    <c:v>Quarter 2</c:v>
                  </c:pt>
                  <c:pt idx="54">
                    <c:v>Quarter 3</c:v>
                  </c:pt>
                  <c:pt idx="55">
                    <c:v>Quarter 4</c:v>
                  </c:pt>
                  <c:pt idx="56">
                    <c:v>Quarter 1</c:v>
                  </c:pt>
                </c:lvl>
                <c:lvl>
                  <c:pt idx="0">
                    <c:v>2008</c:v>
                  </c:pt>
                  <c:pt idx="4">
                    <c:v>2009</c:v>
                  </c:pt>
                  <c:pt idx="8">
                    <c:v>2010</c:v>
                  </c:pt>
                  <c:pt idx="12">
                    <c:v>2011</c:v>
                  </c:pt>
                  <c:pt idx="16">
                    <c:v>2012</c:v>
                  </c:pt>
                  <c:pt idx="20">
                    <c:v>2013</c:v>
                  </c:pt>
                  <c:pt idx="24">
                    <c:v>2014</c:v>
                  </c:pt>
                  <c:pt idx="28">
                    <c:v>2015</c:v>
                  </c:pt>
                  <c:pt idx="32">
                    <c:v>2016</c:v>
                  </c:pt>
                  <c:pt idx="36">
                    <c:v>2017</c:v>
                  </c:pt>
                  <c:pt idx="40">
                    <c:v>2018</c:v>
                  </c:pt>
                  <c:pt idx="44">
                    <c:v>2019</c:v>
                  </c:pt>
                  <c:pt idx="48">
                    <c:v>2020</c:v>
                  </c:pt>
                  <c:pt idx="52">
                    <c:v>2021</c:v>
                  </c:pt>
                  <c:pt idx="56">
                    <c:v>2022</c:v>
                  </c:pt>
                </c:lvl>
              </c:multiLvlStrCache>
            </c:multiLvlStrRef>
          </c:cat>
          <c:val>
            <c:numRef>
              <c:f>HPI!$D$4:$D$72</c:f>
              <c:numCache>
                <c:formatCode>0.0</c:formatCode>
                <c:ptCount val="57"/>
                <c:pt idx="0">
                  <c:v>187.15910930580824</c:v>
                </c:pt>
                <c:pt idx="1">
                  <c:v>163.98193410679892</c:v>
                </c:pt>
                <c:pt idx="2">
                  <c:v>148.60733504164529</c:v>
                </c:pt>
                <c:pt idx="3">
                  <c:v>140.96700315209668</c:v>
                </c:pt>
                <c:pt idx="4">
                  <c:v>126.9389804671341</c:v>
                </c:pt>
                <c:pt idx="5">
                  <c:v>130.10593920027296</c:v>
                </c:pt>
                <c:pt idx="6">
                  <c:v>126.87400149872146</c:v>
                </c:pt>
                <c:pt idx="7">
                  <c:v>125.20225492688395</c:v>
                </c:pt>
                <c:pt idx="8">
                  <c:v>122.1676348695609</c:v>
                </c:pt>
                <c:pt idx="9">
                  <c:v>117.9766700686109</c:v>
                </c:pt>
                <c:pt idx="10">
                  <c:v>118.91231931448448</c:v>
                </c:pt>
                <c:pt idx="11">
                  <c:v>114.2051887057515</c:v>
                </c:pt>
                <c:pt idx="12">
                  <c:v>110.14703484192772</c:v>
                </c:pt>
                <c:pt idx="13">
                  <c:v>102.43362579610493</c:v>
                </c:pt>
                <c:pt idx="14">
                  <c:v>104.61676299488478</c:v>
                </c:pt>
                <c:pt idx="15">
                  <c:v>99.529573240713518</c:v>
                </c:pt>
                <c:pt idx="16">
                  <c:v>95.406547475032127</c:v>
                </c:pt>
                <c:pt idx="17">
                  <c:v>94.712698632960993</c:v>
                </c:pt>
                <c:pt idx="18">
                  <c:v>88.040694397730022</c:v>
                </c:pt>
                <c:pt idx="19">
                  <c:v>85.752307515015517</c:v>
                </c:pt>
                <c:pt idx="20">
                  <c:v>86.398660536086552</c:v>
                </c:pt>
                <c:pt idx="21">
                  <c:v>88.021084069564253</c:v>
                </c:pt>
                <c:pt idx="22">
                  <c:v>88.772804427640011</c:v>
                </c:pt>
                <c:pt idx="23">
                  <c:v>92.053996209789901</c:v>
                </c:pt>
                <c:pt idx="24">
                  <c:v>92.758829340465255</c:v>
                </c:pt>
                <c:pt idx="25">
                  <c:v>94.659352908319917</c:v>
                </c:pt>
                <c:pt idx="26">
                  <c:v>96.971038211268279</c:v>
                </c:pt>
                <c:pt idx="27">
                  <c:v>99.20677104436318</c:v>
                </c:pt>
                <c:pt idx="28">
                  <c:v>100</c:v>
                </c:pt>
                <c:pt idx="29">
                  <c:v>102.26998328877156</c:v>
                </c:pt>
                <c:pt idx="30">
                  <c:v>105.65820667643754</c:v>
                </c:pt>
                <c:pt idx="31">
                  <c:v>108.23375077874387</c:v>
                </c:pt>
                <c:pt idx="32">
                  <c:v>109.2601140287241</c:v>
                </c:pt>
                <c:pt idx="33">
                  <c:v>112.95699920637601</c:v>
                </c:pt>
                <c:pt idx="34">
                  <c:v>111.88859439018553</c:v>
                </c:pt>
                <c:pt idx="35">
                  <c:v>112.99791376550886</c:v>
                </c:pt>
                <c:pt idx="36">
                  <c:v>115.51688413600571</c:v>
                </c:pt>
                <c:pt idx="37">
                  <c:v>115.24234122700992</c:v>
                </c:pt>
                <c:pt idx="38">
                  <c:v>115.83554779262595</c:v>
                </c:pt>
                <c:pt idx="39">
                  <c:v>117.99743168866253</c:v>
                </c:pt>
                <c:pt idx="40">
                  <c:v>117.72351893286486</c:v>
                </c:pt>
                <c:pt idx="41">
                  <c:v>118.73841708185002</c:v>
                </c:pt>
                <c:pt idx="42">
                  <c:v>118.43294160470892</c:v>
                </c:pt>
                <c:pt idx="43">
                  <c:v>121.66651679597361</c:v>
                </c:pt>
                <c:pt idx="44">
                  <c:v>122.57112869007661</c:v>
                </c:pt>
                <c:pt idx="45">
                  <c:v>121.66583470474986</c:v>
                </c:pt>
                <c:pt idx="46">
                  <c:v>126.06918847416435</c:v>
                </c:pt>
                <c:pt idx="47">
                  <c:v>125.83610066659756</c:v>
                </c:pt>
                <c:pt idx="48">
                  <c:v>126.42351845927695</c:v>
                </c:pt>
                <c:pt idx="49">
                  <c:v>127.12739218963911</c:v>
                </c:pt>
                <c:pt idx="50">
                  <c:v>128.57219690949017</c:v>
                </c:pt>
                <c:pt idx="51">
                  <c:v>130.8578657044165</c:v>
                </c:pt>
                <c:pt idx="52">
                  <c:v>130.38265756938426</c:v>
                </c:pt>
                <c:pt idx="53">
                  <c:v>137.43926450587807</c:v>
                </c:pt>
                <c:pt idx="54">
                  <c:v>143.6</c:v>
                </c:pt>
                <c:pt idx="55">
                  <c:v>142</c:v>
                </c:pt>
                <c:pt idx="56">
                  <c:v>148.69999999999999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2C9-4C67-9A81-B7DBA222F3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482960"/>
        <c:axId val="1"/>
      </c:lineChart>
      <c:catAx>
        <c:axId val="12482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0"/>
        </c:scaling>
        <c:delete val="0"/>
        <c:axPos val="l"/>
        <c:numFmt formatCode="0.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829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6668591753746137"/>
          <c:y val="2.3508696028381067E-2"/>
          <c:w val="0.3213037508888168"/>
          <c:h val="0.17883303048657381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632015695007821E-2"/>
          <c:y val="4.3789808917197449E-2"/>
          <c:w val="0.89459357353058144"/>
          <c:h val="0.75868555343798583"/>
        </c:manualLayout>
      </c:layout>
      <c:lineChart>
        <c:grouping val="standard"/>
        <c:varyColors val="0"/>
        <c:ser>
          <c:idx val="0"/>
          <c:order val="0"/>
          <c:tx>
            <c:strRef>
              <c:f>'ABC Sales'!$Q$4:$Q$54</c:f>
              <c:strCache>
                <c:ptCount val="51"/>
                <c:pt idx="0">
                  <c:v>Total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579-4099-A8FE-AB3A437E39E2}"/>
                </c:ext>
              </c:extLst>
            </c:dLbl>
            <c:dLbl>
              <c:idx val="11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579-4099-A8FE-AB3A437E39E2}"/>
                </c:ext>
              </c:extLst>
            </c:dLbl>
            <c:dLbl>
              <c:idx val="21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579-4099-A8FE-AB3A437E39E2}"/>
                </c:ext>
              </c:extLst>
            </c:dLbl>
            <c:dLbl>
              <c:idx val="2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2579-4099-A8FE-AB3A437E39E2}"/>
                </c:ext>
              </c:extLst>
            </c:dLbl>
            <c:dLbl>
              <c:idx val="28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2579-4099-A8FE-AB3A437E39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'ABC Sales'!$P$55:$P$83</c:f>
              <c:strCache>
                <c:ptCount val="29"/>
                <c:pt idx="0">
                  <c:v>2015 – Q1</c:v>
                </c:pt>
                <c:pt idx="1">
                  <c:v>2015 – Q2</c:v>
                </c:pt>
                <c:pt idx="2">
                  <c:v>2015 – Q3</c:v>
                </c:pt>
                <c:pt idx="3">
                  <c:v>2015 – Q4</c:v>
                </c:pt>
                <c:pt idx="4">
                  <c:v>2016 – Q1</c:v>
                </c:pt>
                <c:pt idx="5">
                  <c:v>2016 – Q2</c:v>
                </c:pt>
                <c:pt idx="6">
                  <c:v>2016 – Q3</c:v>
                </c:pt>
                <c:pt idx="7">
                  <c:v>2016 – Q4</c:v>
                </c:pt>
                <c:pt idx="8">
                  <c:v>2017 – Q1</c:v>
                </c:pt>
                <c:pt idx="9">
                  <c:v>2017 – Q2</c:v>
                </c:pt>
                <c:pt idx="10">
                  <c:v>2017 – Q3</c:v>
                </c:pt>
                <c:pt idx="11">
                  <c:v>2017 – Q4</c:v>
                </c:pt>
                <c:pt idx="12">
                  <c:v>2018 – Q1</c:v>
                </c:pt>
                <c:pt idx="13">
                  <c:v>2018 – Q2</c:v>
                </c:pt>
                <c:pt idx="14">
                  <c:v>2018 – Q3</c:v>
                </c:pt>
                <c:pt idx="15">
                  <c:v>2018 – Q4</c:v>
                </c:pt>
                <c:pt idx="16">
                  <c:v>2019 – Q1</c:v>
                </c:pt>
                <c:pt idx="17">
                  <c:v>2019 – Q2</c:v>
                </c:pt>
                <c:pt idx="18">
                  <c:v>2019 – Q3</c:v>
                </c:pt>
                <c:pt idx="19">
                  <c:v>2019 – Q4</c:v>
                </c:pt>
                <c:pt idx="20">
                  <c:v>2020 – Q1</c:v>
                </c:pt>
                <c:pt idx="21">
                  <c:v>2020 - Q2</c:v>
                </c:pt>
                <c:pt idx="22">
                  <c:v>2020 - Q3</c:v>
                </c:pt>
                <c:pt idx="23">
                  <c:v>2020 - Q4</c:v>
                </c:pt>
                <c:pt idx="24">
                  <c:v>2021 - Q1</c:v>
                </c:pt>
                <c:pt idx="25">
                  <c:v>2021 - Q2</c:v>
                </c:pt>
                <c:pt idx="26">
                  <c:v>2021 - Q3</c:v>
                </c:pt>
                <c:pt idx="27">
                  <c:v>2021 - Q4</c:v>
                </c:pt>
                <c:pt idx="28">
                  <c:v>2022 - Q1</c:v>
                </c:pt>
              </c:strCache>
            </c:strRef>
          </c:cat>
          <c:val>
            <c:numRef>
              <c:f>'ABC Sales'!$Q$55:$Q$83</c:f>
              <c:numCache>
                <c:formatCode>General</c:formatCode>
                <c:ptCount val="29"/>
                <c:pt idx="0">
                  <c:v>515</c:v>
                </c:pt>
                <c:pt idx="1">
                  <c:v>566</c:v>
                </c:pt>
                <c:pt idx="2">
                  <c:v>613</c:v>
                </c:pt>
                <c:pt idx="3">
                  <c:v>683</c:v>
                </c:pt>
                <c:pt idx="4">
                  <c:v>692</c:v>
                </c:pt>
                <c:pt idx="5">
                  <c:v>534</c:v>
                </c:pt>
                <c:pt idx="6">
                  <c:v>643</c:v>
                </c:pt>
                <c:pt idx="7">
                  <c:v>706</c:v>
                </c:pt>
                <c:pt idx="8">
                  <c:v>600</c:v>
                </c:pt>
                <c:pt idx="9">
                  <c:v>686</c:v>
                </c:pt>
                <c:pt idx="10">
                  <c:v>738</c:v>
                </c:pt>
                <c:pt idx="11">
                  <c:v>823</c:v>
                </c:pt>
                <c:pt idx="12">
                  <c:v>611</c:v>
                </c:pt>
                <c:pt idx="13">
                  <c:v>711</c:v>
                </c:pt>
                <c:pt idx="14">
                  <c:v>744</c:v>
                </c:pt>
                <c:pt idx="15">
                  <c:v>759</c:v>
                </c:pt>
                <c:pt idx="16">
                  <c:v>553</c:v>
                </c:pt>
                <c:pt idx="17">
                  <c:v>719</c:v>
                </c:pt>
                <c:pt idx="18">
                  <c:v>735</c:v>
                </c:pt>
                <c:pt idx="19">
                  <c:v>834</c:v>
                </c:pt>
                <c:pt idx="20">
                  <c:v>638</c:v>
                </c:pt>
                <c:pt idx="21" formatCode="#,##0">
                  <c:v>279</c:v>
                </c:pt>
                <c:pt idx="22" formatCode="#,##0">
                  <c:v>630</c:v>
                </c:pt>
                <c:pt idx="23" formatCode="#,##0">
                  <c:v>974</c:v>
                </c:pt>
                <c:pt idx="24" formatCode="#,##0">
                  <c:v>849</c:v>
                </c:pt>
                <c:pt idx="25" formatCode="#,##0">
                  <c:v>823</c:v>
                </c:pt>
                <c:pt idx="26" formatCode="#,##0">
                  <c:v>948</c:v>
                </c:pt>
                <c:pt idx="27" formatCode="#,##0">
                  <c:v>819</c:v>
                </c:pt>
                <c:pt idx="28" formatCode="#,##0">
                  <c:v>569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2579-4099-A8FE-AB3A437E39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485040"/>
        <c:axId val="1"/>
      </c:lineChart>
      <c:catAx>
        <c:axId val="12485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850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298C0-2C6D-47C8-A065-6E571F59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Jessica Bennett</cp:lastModifiedBy>
  <cp:revision>15</cp:revision>
  <cp:lastPrinted>2022-06-22T08:06:00Z</cp:lastPrinted>
  <dcterms:created xsi:type="dcterms:W3CDTF">2022-06-20T10:02:00Z</dcterms:created>
  <dcterms:modified xsi:type="dcterms:W3CDTF">2022-06-22T08:51:00Z</dcterms:modified>
</cp:coreProperties>
</file>