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56" w:rsidRDefault="00FD1406" w:rsidP="00163756">
      <w:pPr>
        <w:rPr>
          <w:b/>
        </w:rPr>
      </w:pPr>
      <w:r>
        <w:rPr>
          <w:b/>
        </w:rPr>
        <w:t>Town Centre Vacancy Rates</w:t>
      </w:r>
    </w:p>
    <w:p w:rsidR="00163756" w:rsidRDefault="00FD1406" w:rsidP="00163756">
      <w:r>
        <w:t xml:space="preserve">Vacancy rates for non-domestic properties are available for the five main city / town centres in the borough (Armagh, </w:t>
      </w:r>
      <w:proofErr w:type="spellStart"/>
      <w:r>
        <w:t>Banbridge</w:t>
      </w:r>
      <w:proofErr w:type="spellEnd"/>
      <w:r>
        <w:t xml:space="preserve">, Craigavon, </w:t>
      </w:r>
      <w:proofErr w:type="spellStart"/>
      <w:r>
        <w:t>Lurgan</w:t>
      </w:r>
      <w:proofErr w:type="spellEnd"/>
      <w:r>
        <w:t xml:space="preserve"> and </w:t>
      </w:r>
      <w:proofErr w:type="spellStart"/>
      <w:r>
        <w:t>Portadown</w:t>
      </w:r>
      <w:proofErr w:type="spellEnd"/>
      <w:r>
        <w:t xml:space="preserve">) and </w:t>
      </w:r>
      <w:proofErr w:type="spellStart"/>
      <w:r>
        <w:t>Dromore</w:t>
      </w:r>
      <w:proofErr w:type="spellEnd"/>
      <w:r>
        <w:t xml:space="preserve"> from the Town Centre Database (using data from Land and Property Services) produced by the Department for Communities.</w:t>
      </w:r>
      <w:r w:rsidR="004239CA">
        <w:t xml:space="preserve"> A property refers to a hereditament which is subject to rates and not individual buildings.</w:t>
      </w:r>
    </w:p>
    <w:p w:rsidR="00FD1406" w:rsidRDefault="00936C9E" w:rsidP="00163756">
      <w:r>
        <w:t xml:space="preserve">As at </w:t>
      </w:r>
      <w:r w:rsidR="00D71F6B">
        <w:t>30</w:t>
      </w:r>
      <w:r w:rsidR="00D71F6B" w:rsidRPr="00D71F6B">
        <w:rPr>
          <w:vertAlign w:val="superscript"/>
        </w:rPr>
        <w:t>th</w:t>
      </w:r>
      <w:r w:rsidR="00D71F6B">
        <w:t xml:space="preserve"> April 2021</w:t>
      </w:r>
      <w:r w:rsidR="00FD1406">
        <w:t xml:space="preserve">, vacancy rates in the </w:t>
      </w:r>
      <w:r>
        <w:t xml:space="preserve">borough varied from </w:t>
      </w:r>
      <w:r w:rsidR="00D71F6B">
        <w:t>10</w:t>
      </w:r>
      <w:r>
        <w:t>% in Craigavon to 27.</w:t>
      </w:r>
      <w:r w:rsidR="00D71F6B">
        <w:t>1</w:t>
      </w:r>
      <w:r w:rsidR="00FD1406">
        <w:t xml:space="preserve">% in </w:t>
      </w:r>
      <w:proofErr w:type="spellStart"/>
      <w:r w:rsidR="00FD1406">
        <w:t>Dromore</w:t>
      </w:r>
      <w:proofErr w:type="spellEnd"/>
      <w:r w:rsidR="00FD1406">
        <w:t xml:space="preserve">. </w:t>
      </w:r>
      <w:r w:rsidR="00D71F6B">
        <w:t xml:space="preserve"> </w:t>
      </w:r>
      <w:r w:rsidR="00FD1406">
        <w:t>This compares to a Northern Irela</w:t>
      </w:r>
      <w:r>
        <w:t>nd average vacancy level of 24.</w:t>
      </w:r>
      <w:r w:rsidR="00D71F6B">
        <w:t>3</w:t>
      </w:r>
      <w:r w:rsidR="00FD1406">
        <w:t xml:space="preserve">%. </w:t>
      </w:r>
    </w:p>
    <w:tbl>
      <w:tblPr>
        <w:tblStyle w:val="GridTable1Light"/>
        <w:tblW w:w="7774" w:type="dxa"/>
        <w:tblLook w:val="04A0" w:firstRow="1" w:lastRow="0" w:firstColumn="1" w:lastColumn="0" w:noHBand="0" w:noVBand="1"/>
        <w:tblCaption w:val="City/town centre non-domestic property vacancy rates as at 30th April 2021"/>
      </w:tblPr>
      <w:tblGrid>
        <w:gridCol w:w="1717"/>
        <w:gridCol w:w="1972"/>
        <w:gridCol w:w="2127"/>
        <w:gridCol w:w="1958"/>
      </w:tblGrid>
      <w:tr w:rsidR="0011217B" w:rsidRPr="0011217B" w:rsidTr="00357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  <w:vMerge w:val="restart"/>
            <w:hideMark/>
          </w:tcPr>
          <w:p w:rsidR="0011217B" w:rsidRPr="0011217B" w:rsidRDefault="0011217B" w:rsidP="0011217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2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57" w:type="dxa"/>
            <w:gridSpan w:val="3"/>
            <w:noWrap/>
            <w:hideMark/>
          </w:tcPr>
          <w:p w:rsidR="0011217B" w:rsidRPr="0011217B" w:rsidRDefault="0011217B" w:rsidP="001121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217B">
              <w:rPr>
                <w:rFonts w:ascii="Calibri" w:eastAsia="Times New Roman" w:hAnsi="Calibri" w:cs="Calibri"/>
                <w:color w:val="000000"/>
                <w:lang w:eastAsia="en-GB"/>
              </w:rPr>
              <w:t>30th April 2021</w:t>
            </w:r>
          </w:p>
        </w:tc>
      </w:tr>
      <w:tr w:rsidR="0011217B" w:rsidRPr="0011217B" w:rsidTr="00357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  <w:vMerge/>
            <w:hideMark/>
          </w:tcPr>
          <w:p w:rsidR="0011217B" w:rsidRPr="0011217B" w:rsidRDefault="0011217B" w:rsidP="0011217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72" w:type="dxa"/>
            <w:hideMark/>
          </w:tcPr>
          <w:p w:rsidR="0011217B" w:rsidRPr="0011217B" w:rsidRDefault="0011217B" w:rsidP="001121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11217B">
              <w:rPr>
                <w:rFonts w:ascii="Calibri" w:eastAsia="Times New Roman" w:hAnsi="Calibri" w:cs="Calibri"/>
                <w:color w:val="000000"/>
                <w:lang w:eastAsia="en-GB"/>
              </w:rPr>
              <w:t>No. of Properties</w:t>
            </w:r>
          </w:p>
        </w:tc>
        <w:tc>
          <w:tcPr>
            <w:tcW w:w="2127" w:type="dxa"/>
            <w:hideMark/>
          </w:tcPr>
          <w:p w:rsidR="0011217B" w:rsidRPr="0011217B" w:rsidRDefault="0011217B" w:rsidP="001121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11217B">
              <w:rPr>
                <w:rFonts w:ascii="Calibri" w:eastAsia="Times New Roman" w:hAnsi="Calibri" w:cs="Calibri"/>
                <w:color w:val="000000"/>
                <w:lang w:eastAsia="en-GB"/>
              </w:rPr>
              <w:t>No. of Vacant Properties</w:t>
            </w:r>
          </w:p>
        </w:tc>
        <w:tc>
          <w:tcPr>
            <w:tcW w:w="1958" w:type="dxa"/>
            <w:hideMark/>
          </w:tcPr>
          <w:p w:rsidR="0011217B" w:rsidRPr="0011217B" w:rsidRDefault="0011217B" w:rsidP="001121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11217B">
              <w:rPr>
                <w:rFonts w:ascii="Calibri" w:eastAsia="Times New Roman" w:hAnsi="Calibri" w:cs="Calibri"/>
                <w:color w:val="000000"/>
                <w:lang w:eastAsia="en-GB"/>
              </w:rPr>
              <w:t>% of Properties Vacant</w:t>
            </w:r>
          </w:p>
        </w:tc>
      </w:tr>
      <w:tr w:rsidR="0011217B" w:rsidRPr="0011217B" w:rsidTr="00357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  <w:hideMark/>
          </w:tcPr>
          <w:p w:rsidR="0011217B" w:rsidRPr="0011217B" w:rsidRDefault="0011217B" w:rsidP="001121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12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Armagh</w:t>
            </w:r>
          </w:p>
        </w:tc>
        <w:tc>
          <w:tcPr>
            <w:tcW w:w="1972" w:type="dxa"/>
            <w:noWrap/>
            <w:hideMark/>
          </w:tcPr>
          <w:p w:rsidR="0011217B" w:rsidRPr="0035789F" w:rsidRDefault="0011217B" w:rsidP="001121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5789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743</w:t>
            </w:r>
          </w:p>
        </w:tc>
        <w:tc>
          <w:tcPr>
            <w:tcW w:w="2127" w:type="dxa"/>
            <w:noWrap/>
            <w:hideMark/>
          </w:tcPr>
          <w:p w:rsidR="0011217B" w:rsidRPr="0035789F" w:rsidRDefault="0011217B" w:rsidP="001121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5789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168</w:t>
            </w:r>
          </w:p>
        </w:tc>
        <w:tc>
          <w:tcPr>
            <w:tcW w:w="1958" w:type="dxa"/>
            <w:hideMark/>
          </w:tcPr>
          <w:p w:rsidR="0011217B" w:rsidRPr="0035789F" w:rsidRDefault="0011217B" w:rsidP="001121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5789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22.6%</w:t>
            </w:r>
          </w:p>
        </w:tc>
      </w:tr>
      <w:tr w:rsidR="0011217B" w:rsidRPr="0011217B" w:rsidTr="00357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  <w:hideMark/>
          </w:tcPr>
          <w:p w:rsidR="0011217B" w:rsidRPr="0011217B" w:rsidRDefault="0011217B" w:rsidP="001121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12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Banbridge</w:t>
            </w:r>
            <w:proofErr w:type="spellEnd"/>
          </w:p>
        </w:tc>
        <w:tc>
          <w:tcPr>
            <w:tcW w:w="1972" w:type="dxa"/>
            <w:noWrap/>
            <w:hideMark/>
          </w:tcPr>
          <w:p w:rsidR="0011217B" w:rsidRPr="0035789F" w:rsidRDefault="0011217B" w:rsidP="001121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5789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440</w:t>
            </w:r>
          </w:p>
        </w:tc>
        <w:tc>
          <w:tcPr>
            <w:tcW w:w="2127" w:type="dxa"/>
            <w:noWrap/>
            <w:hideMark/>
          </w:tcPr>
          <w:p w:rsidR="0011217B" w:rsidRPr="0035789F" w:rsidRDefault="0011217B" w:rsidP="001121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5789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70</w:t>
            </w:r>
          </w:p>
        </w:tc>
        <w:tc>
          <w:tcPr>
            <w:tcW w:w="1958" w:type="dxa"/>
            <w:hideMark/>
          </w:tcPr>
          <w:p w:rsidR="0011217B" w:rsidRPr="0035789F" w:rsidRDefault="0011217B" w:rsidP="001121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5789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15.9%</w:t>
            </w:r>
          </w:p>
        </w:tc>
      </w:tr>
      <w:tr w:rsidR="0011217B" w:rsidRPr="0011217B" w:rsidTr="00357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  <w:hideMark/>
          </w:tcPr>
          <w:p w:rsidR="0011217B" w:rsidRPr="0011217B" w:rsidRDefault="0011217B" w:rsidP="001121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12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Craigavon</w:t>
            </w:r>
          </w:p>
        </w:tc>
        <w:tc>
          <w:tcPr>
            <w:tcW w:w="1972" w:type="dxa"/>
            <w:noWrap/>
            <w:hideMark/>
          </w:tcPr>
          <w:p w:rsidR="0011217B" w:rsidRPr="0035789F" w:rsidRDefault="0011217B" w:rsidP="001121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5789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100</w:t>
            </w:r>
          </w:p>
        </w:tc>
        <w:tc>
          <w:tcPr>
            <w:tcW w:w="2127" w:type="dxa"/>
            <w:noWrap/>
            <w:hideMark/>
          </w:tcPr>
          <w:p w:rsidR="0011217B" w:rsidRPr="0035789F" w:rsidRDefault="0011217B" w:rsidP="001121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5789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10</w:t>
            </w:r>
          </w:p>
        </w:tc>
        <w:tc>
          <w:tcPr>
            <w:tcW w:w="1958" w:type="dxa"/>
            <w:hideMark/>
          </w:tcPr>
          <w:p w:rsidR="0011217B" w:rsidRPr="0035789F" w:rsidRDefault="0011217B" w:rsidP="001121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5789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10.0%</w:t>
            </w:r>
          </w:p>
        </w:tc>
      </w:tr>
      <w:tr w:rsidR="0011217B" w:rsidRPr="0011217B" w:rsidTr="00357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  <w:hideMark/>
          </w:tcPr>
          <w:p w:rsidR="0011217B" w:rsidRPr="0011217B" w:rsidRDefault="0011217B" w:rsidP="001121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12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Dromore</w:t>
            </w:r>
            <w:proofErr w:type="spellEnd"/>
          </w:p>
        </w:tc>
        <w:tc>
          <w:tcPr>
            <w:tcW w:w="1972" w:type="dxa"/>
            <w:noWrap/>
            <w:hideMark/>
          </w:tcPr>
          <w:p w:rsidR="0011217B" w:rsidRPr="0035789F" w:rsidRDefault="0011217B" w:rsidP="001121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35789F">
              <w:rPr>
                <w:rFonts w:ascii="Calibri" w:eastAsia="Times New Roman" w:hAnsi="Calibri" w:cs="Calibri"/>
                <w:b w:val="0"/>
                <w:lang w:eastAsia="en-GB"/>
              </w:rPr>
              <w:t>118</w:t>
            </w:r>
          </w:p>
        </w:tc>
        <w:tc>
          <w:tcPr>
            <w:tcW w:w="2127" w:type="dxa"/>
            <w:noWrap/>
            <w:hideMark/>
          </w:tcPr>
          <w:p w:rsidR="0011217B" w:rsidRPr="0035789F" w:rsidRDefault="0011217B" w:rsidP="001121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5789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32</w:t>
            </w:r>
          </w:p>
        </w:tc>
        <w:tc>
          <w:tcPr>
            <w:tcW w:w="1958" w:type="dxa"/>
            <w:hideMark/>
          </w:tcPr>
          <w:p w:rsidR="0011217B" w:rsidRPr="0035789F" w:rsidRDefault="0011217B" w:rsidP="001121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5789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27.1%</w:t>
            </w:r>
          </w:p>
        </w:tc>
      </w:tr>
      <w:tr w:rsidR="0011217B" w:rsidRPr="0011217B" w:rsidTr="00357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  <w:hideMark/>
          </w:tcPr>
          <w:p w:rsidR="0011217B" w:rsidRPr="0011217B" w:rsidRDefault="0011217B" w:rsidP="001121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12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Lurgan</w:t>
            </w:r>
            <w:proofErr w:type="spellEnd"/>
          </w:p>
        </w:tc>
        <w:tc>
          <w:tcPr>
            <w:tcW w:w="1972" w:type="dxa"/>
            <w:noWrap/>
            <w:hideMark/>
          </w:tcPr>
          <w:p w:rsidR="0011217B" w:rsidRPr="0035789F" w:rsidRDefault="0011217B" w:rsidP="001121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35789F">
              <w:rPr>
                <w:rFonts w:ascii="Calibri" w:eastAsia="Times New Roman" w:hAnsi="Calibri" w:cs="Calibri"/>
                <w:b w:val="0"/>
                <w:lang w:eastAsia="en-GB"/>
              </w:rPr>
              <w:t>511</w:t>
            </w:r>
          </w:p>
        </w:tc>
        <w:tc>
          <w:tcPr>
            <w:tcW w:w="2127" w:type="dxa"/>
            <w:noWrap/>
            <w:hideMark/>
          </w:tcPr>
          <w:p w:rsidR="0011217B" w:rsidRPr="0035789F" w:rsidRDefault="0011217B" w:rsidP="001121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5789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115</w:t>
            </w:r>
          </w:p>
        </w:tc>
        <w:tc>
          <w:tcPr>
            <w:tcW w:w="1958" w:type="dxa"/>
            <w:hideMark/>
          </w:tcPr>
          <w:p w:rsidR="0011217B" w:rsidRPr="0035789F" w:rsidRDefault="0011217B" w:rsidP="001121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5789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22.5%</w:t>
            </w:r>
          </w:p>
        </w:tc>
      </w:tr>
      <w:tr w:rsidR="0011217B" w:rsidRPr="0011217B" w:rsidTr="00357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  <w:hideMark/>
          </w:tcPr>
          <w:p w:rsidR="0011217B" w:rsidRPr="0011217B" w:rsidRDefault="0011217B" w:rsidP="001121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12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Portadown</w:t>
            </w:r>
            <w:proofErr w:type="spellEnd"/>
          </w:p>
        </w:tc>
        <w:tc>
          <w:tcPr>
            <w:tcW w:w="1972" w:type="dxa"/>
            <w:noWrap/>
            <w:hideMark/>
          </w:tcPr>
          <w:p w:rsidR="0011217B" w:rsidRPr="0035789F" w:rsidRDefault="0011217B" w:rsidP="001121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35789F">
              <w:rPr>
                <w:rFonts w:ascii="Calibri" w:eastAsia="Times New Roman" w:hAnsi="Calibri" w:cs="Calibri"/>
                <w:b w:val="0"/>
                <w:lang w:eastAsia="en-GB"/>
              </w:rPr>
              <w:t>695</w:t>
            </w:r>
          </w:p>
        </w:tc>
        <w:tc>
          <w:tcPr>
            <w:tcW w:w="2127" w:type="dxa"/>
            <w:noWrap/>
            <w:hideMark/>
          </w:tcPr>
          <w:p w:rsidR="0011217B" w:rsidRPr="0035789F" w:rsidRDefault="0011217B" w:rsidP="001121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5789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151</w:t>
            </w:r>
          </w:p>
        </w:tc>
        <w:tc>
          <w:tcPr>
            <w:tcW w:w="1958" w:type="dxa"/>
            <w:hideMark/>
          </w:tcPr>
          <w:p w:rsidR="0011217B" w:rsidRPr="0035789F" w:rsidRDefault="0011217B" w:rsidP="001121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5789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21.7%</w:t>
            </w:r>
          </w:p>
        </w:tc>
      </w:tr>
      <w:tr w:rsidR="0011217B" w:rsidRPr="0011217B" w:rsidTr="00357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  <w:hideMark/>
          </w:tcPr>
          <w:p w:rsidR="0011217B" w:rsidRPr="0011217B" w:rsidRDefault="0011217B" w:rsidP="001121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12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Northern Ireland</w:t>
            </w:r>
          </w:p>
        </w:tc>
        <w:tc>
          <w:tcPr>
            <w:tcW w:w="1972" w:type="dxa"/>
            <w:noWrap/>
            <w:hideMark/>
          </w:tcPr>
          <w:p w:rsidR="0011217B" w:rsidRPr="0035789F" w:rsidRDefault="0011217B" w:rsidP="001121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35789F">
              <w:rPr>
                <w:rFonts w:ascii="Calibri" w:eastAsia="Times New Roman" w:hAnsi="Calibri" w:cs="Calibri"/>
                <w:b w:val="0"/>
                <w:lang w:eastAsia="en-GB"/>
              </w:rPr>
              <w:t>21,169</w:t>
            </w:r>
          </w:p>
        </w:tc>
        <w:tc>
          <w:tcPr>
            <w:tcW w:w="2127" w:type="dxa"/>
            <w:noWrap/>
            <w:hideMark/>
          </w:tcPr>
          <w:p w:rsidR="0011217B" w:rsidRPr="0035789F" w:rsidRDefault="0011217B" w:rsidP="001121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5789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5,134</w:t>
            </w:r>
          </w:p>
        </w:tc>
        <w:tc>
          <w:tcPr>
            <w:tcW w:w="1958" w:type="dxa"/>
            <w:hideMark/>
          </w:tcPr>
          <w:p w:rsidR="0011217B" w:rsidRPr="0035789F" w:rsidRDefault="0011217B" w:rsidP="001121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5789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24.3%</w:t>
            </w:r>
          </w:p>
        </w:tc>
      </w:tr>
    </w:tbl>
    <w:p w:rsidR="00163756" w:rsidRDefault="00C07F07" w:rsidP="0016375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Table 1: </w:t>
      </w:r>
      <w:r w:rsidR="00956354">
        <w:rPr>
          <w:i/>
          <w:sz w:val="20"/>
          <w:szCs w:val="20"/>
        </w:rPr>
        <w:t>City/town centre non-domestic</w:t>
      </w:r>
      <w:r w:rsidR="00AF041A">
        <w:rPr>
          <w:i/>
          <w:sz w:val="20"/>
          <w:szCs w:val="20"/>
        </w:rPr>
        <w:t xml:space="preserve"> property vacancy rates as at </w:t>
      </w:r>
      <w:r w:rsidR="00D71F6B">
        <w:rPr>
          <w:i/>
          <w:sz w:val="20"/>
          <w:szCs w:val="20"/>
        </w:rPr>
        <w:t>30</w:t>
      </w:r>
      <w:r w:rsidR="00D71F6B" w:rsidRPr="00D71F6B">
        <w:rPr>
          <w:i/>
          <w:sz w:val="20"/>
          <w:szCs w:val="20"/>
          <w:vertAlign w:val="superscript"/>
        </w:rPr>
        <w:t>th</w:t>
      </w:r>
      <w:r w:rsidR="00D71F6B">
        <w:rPr>
          <w:i/>
          <w:sz w:val="20"/>
          <w:szCs w:val="20"/>
        </w:rPr>
        <w:t xml:space="preserve"> April 2021</w:t>
      </w:r>
      <w:r w:rsidR="00163756" w:rsidRPr="002A2185">
        <w:rPr>
          <w:i/>
          <w:sz w:val="20"/>
          <w:szCs w:val="20"/>
        </w:rPr>
        <w:t>. Source:</w:t>
      </w:r>
      <w:r w:rsidR="00163756">
        <w:rPr>
          <w:i/>
          <w:sz w:val="20"/>
          <w:szCs w:val="20"/>
        </w:rPr>
        <w:t xml:space="preserve"> </w:t>
      </w:r>
      <w:r w:rsidR="00956354">
        <w:rPr>
          <w:i/>
          <w:sz w:val="20"/>
          <w:szCs w:val="20"/>
        </w:rPr>
        <w:t>Land and Property Services via Town Centre Database, Department for Communities</w:t>
      </w:r>
      <w:r w:rsidR="00163756" w:rsidRPr="002A2185">
        <w:rPr>
          <w:i/>
          <w:sz w:val="20"/>
          <w:szCs w:val="20"/>
        </w:rPr>
        <w:t>.</w:t>
      </w:r>
      <w:r w:rsidR="00163756">
        <w:rPr>
          <w:i/>
          <w:sz w:val="20"/>
          <w:szCs w:val="20"/>
        </w:rPr>
        <w:t xml:space="preserve"> </w:t>
      </w:r>
    </w:p>
    <w:p w:rsidR="00D71F6B" w:rsidRDefault="00D71F6B" w:rsidP="00163756">
      <w:pPr>
        <w:rPr>
          <w:i/>
          <w:sz w:val="20"/>
          <w:szCs w:val="20"/>
        </w:rPr>
      </w:pPr>
    </w:p>
    <w:p w:rsidR="00D71F6B" w:rsidRDefault="00D71F6B" w:rsidP="00163756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4B56EB45" wp14:editId="4E81D0DC">
            <wp:extent cx="5295900" cy="3459480"/>
            <wp:effectExtent l="0" t="0" r="0" b="7620"/>
            <wp:docPr id="3" name="Chart 3" title="City/town centre non-domestic property vacancy rates as at 30th April 20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56354" w:rsidRDefault="00C07F07" w:rsidP="0095635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Figure 1: </w:t>
      </w:r>
      <w:r w:rsidR="00956354">
        <w:rPr>
          <w:i/>
          <w:sz w:val="20"/>
          <w:szCs w:val="20"/>
        </w:rPr>
        <w:t>City/town centre non-domestic</w:t>
      </w:r>
      <w:r w:rsidR="00AF041A">
        <w:rPr>
          <w:i/>
          <w:sz w:val="20"/>
          <w:szCs w:val="20"/>
        </w:rPr>
        <w:t xml:space="preserve"> property vacancy rates as at </w:t>
      </w:r>
      <w:r w:rsidR="00D71F6B">
        <w:rPr>
          <w:i/>
          <w:sz w:val="20"/>
          <w:szCs w:val="20"/>
        </w:rPr>
        <w:t>30</w:t>
      </w:r>
      <w:r w:rsidR="00D71F6B" w:rsidRPr="00D71F6B">
        <w:rPr>
          <w:i/>
          <w:sz w:val="20"/>
          <w:szCs w:val="20"/>
          <w:vertAlign w:val="superscript"/>
        </w:rPr>
        <w:t>th</w:t>
      </w:r>
      <w:r w:rsidR="00D71F6B">
        <w:rPr>
          <w:i/>
          <w:sz w:val="20"/>
          <w:szCs w:val="20"/>
        </w:rPr>
        <w:t xml:space="preserve"> April 2021</w:t>
      </w:r>
      <w:r w:rsidR="00956354" w:rsidRPr="002A2185">
        <w:rPr>
          <w:i/>
          <w:sz w:val="20"/>
          <w:szCs w:val="20"/>
        </w:rPr>
        <w:t>. Source:</w:t>
      </w:r>
      <w:r w:rsidR="00956354">
        <w:rPr>
          <w:i/>
          <w:sz w:val="20"/>
          <w:szCs w:val="20"/>
        </w:rPr>
        <w:t xml:space="preserve"> Land and Property Services via Town Centre Database, Department for Communities</w:t>
      </w:r>
      <w:r w:rsidR="00956354" w:rsidRPr="002A2185">
        <w:rPr>
          <w:i/>
          <w:sz w:val="20"/>
          <w:szCs w:val="20"/>
        </w:rPr>
        <w:t>.</w:t>
      </w:r>
      <w:r w:rsidR="00956354">
        <w:rPr>
          <w:i/>
          <w:sz w:val="20"/>
          <w:szCs w:val="20"/>
        </w:rPr>
        <w:t xml:space="preserve"> </w:t>
      </w:r>
    </w:p>
    <w:p w:rsidR="00095AEC" w:rsidRDefault="00095AEC" w:rsidP="00956354">
      <w:pPr>
        <w:rPr>
          <w:i/>
          <w:sz w:val="20"/>
          <w:szCs w:val="20"/>
        </w:rPr>
      </w:pPr>
    </w:p>
    <w:p w:rsidR="00095AEC" w:rsidRDefault="00095AEC" w:rsidP="00956354">
      <w:pPr>
        <w:rPr>
          <w:i/>
          <w:sz w:val="20"/>
          <w:szCs w:val="20"/>
        </w:rPr>
      </w:pPr>
    </w:p>
    <w:p w:rsidR="00095AEC" w:rsidRDefault="00C51627" w:rsidP="00956354">
      <w:r>
        <w:lastRenderedPageBreak/>
        <w:t xml:space="preserve">The vacancy levels in the borough have been similar, with some fluctuations, since April 2016. </w:t>
      </w:r>
      <w:proofErr w:type="spellStart"/>
      <w:r>
        <w:t>Dromore</w:t>
      </w:r>
      <w:proofErr w:type="spellEnd"/>
      <w:r>
        <w:t xml:space="preserve"> has consistently had the highest vacancy rates while Craigavon has maintained the lowest.</w:t>
      </w:r>
    </w:p>
    <w:p w:rsidR="005C2415" w:rsidRDefault="005C2415" w:rsidP="00956354"/>
    <w:tbl>
      <w:tblPr>
        <w:tblStyle w:val="GridTable1Light"/>
        <w:tblW w:w="9072" w:type="dxa"/>
        <w:tblLook w:val="04A0" w:firstRow="1" w:lastRow="0" w:firstColumn="1" w:lastColumn="0" w:noHBand="0" w:noVBand="1"/>
        <w:tblCaption w:val="City/town centre non-domestic property vacancy rates between 30th April 2016 and 30th April 2021"/>
      </w:tblPr>
      <w:tblGrid>
        <w:gridCol w:w="1843"/>
        <w:gridCol w:w="1204"/>
        <w:gridCol w:w="1205"/>
        <w:gridCol w:w="1205"/>
        <w:gridCol w:w="1205"/>
        <w:gridCol w:w="1205"/>
        <w:gridCol w:w="1205"/>
      </w:tblGrid>
      <w:tr w:rsidR="0035789F" w:rsidRPr="005C2415" w:rsidTr="00357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5789F" w:rsidRPr="005C2415" w:rsidRDefault="0035789F" w:rsidP="005C2415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5C24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4" w:type="dxa"/>
            <w:hideMark/>
          </w:tcPr>
          <w:p w:rsidR="0035789F" w:rsidRPr="005C2415" w:rsidRDefault="0035789F" w:rsidP="005C2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  <w:r w:rsidRPr="005C2415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Apr 2016</w:t>
            </w:r>
          </w:p>
        </w:tc>
        <w:tc>
          <w:tcPr>
            <w:tcW w:w="1205" w:type="dxa"/>
            <w:noWrap/>
            <w:hideMark/>
          </w:tcPr>
          <w:p w:rsidR="0035789F" w:rsidRPr="005C2415" w:rsidRDefault="0035789F" w:rsidP="005C2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Pr="005C2415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</w:t>
            </w:r>
          </w:p>
          <w:p w:rsidR="0035789F" w:rsidRPr="005C2415" w:rsidRDefault="0035789F" w:rsidP="005C2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2017</w:t>
            </w:r>
          </w:p>
        </w:tc>
        <w:tc>
          <w:tcPr>
            <w:tcW w:w="1205" w:type="dxa"/>
            <w:hideMark/>
          </w:tcPr>
          <w:p w:rsidR="0035789F" w:rsidRPr="005C2415" w:rsidRDefault="0035789F" w:rsidP="005C2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  <w:r w:rsidRPr="005C2415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Apr 2018</w:t>
            </w:r>
          </w:p>
        </w:tc>
        <w:tc>
          <w:tcPr>
            <w:tcW w:w="1205" w:type="dxa"/>
            <w:hideMark/>
          </w:tcPr>
          <w:p w:rsidR="0035789F" w:rsidRPr="005C2415" w:rsidRDefault="0035789F" w:rsidP="005C2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  <w:r w:rsidRPr="005C2415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Apr 2019</w:t>
            </w:r>
          </w:p>
        </w:tc>
        <w:tc>
          <w:tcPr>
            <w:tcW w:w="1205" w:type="dxa"/>
            <w:hideMark/>
          </w:tcPr>
          <w:p w:rsidR="0035789F" w:rsidRPr="005C2415" w:rsidRDefault="0035789F" w:rsidP="005C2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  <w:r w:rsidRPr="005C2415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2020</w:t>
            </w:r>
          </w:p>
        </w:tc>
        <w:tc>
          <w:tcPr>
            <w:tcW w:w="1205" w:type="dxa"/>
            <w:hideMark/>
          </w:tcPr>
          <w:p w:rsidR="0035789F" w:rsidRPr="005C2415" w:rsidRDefault="0035789F" w:rsidP="005C2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  <w:r w:rsidRPr="005C2415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April 2021</w:t>
            </w:r>
          </w:p>
        </w:tc>
      </w:tr>
      <w:tr w:rsidR="005C2415" w:rsidRPr="005C2415" w:rsidTr="003578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5C2415" w:rsidRPr="005C2415" w:rsidRDefault="005C2415" w:rsidP="005C2415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5C24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Armagh</w:t>
            </w:r>
          </w:p>
        </w:tc>
        <w:tc>
          <w:tcPr>
            <w:tcW w:w="1204" w:type="dxa"/>
            <w:hideMark/>
          </w:tcPr>
          <w:p w:rsidR="005C2415" w:rsidRPr="005C2415" w:rsidRDefault="005C2415" w:rsidP="005C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23.6%</w:t>
            </w:r>
          </w:p>
        </w:tc>
        <w:tc>
          <w:tcPr>
            <w:tcW w:w="1205" w:type="dxa"/>
            <w:noWrap/>
            <w:hideMark/>
          </w:tcPr>
          <w:p w:rsidR="005C2415" w:rsidRPr="005C2415" w:rsidRDefault="005C2415" w:rsidP="005C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22.0%</w:t>
            </w:r>
          </w:p>
        </w:tc>
        <w:tc>
          <w:tcPr>
            <w:tcW w:w="1205" w:type="dxa"/>
            <w:hideMark/>
          </w:tcPr>
          <w:p w:rsidR="005C2415" w:rsidRPr="005C2415" w:rsidRDefault="005C2415" w:rsidP="005C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22.8%</w:t>
            </w:r>
          </w:p>
        </w:tc>
        <w:tc>
          <w:tcPr>
            <w:tcW w:w="1205" w:type="dxa"/>
            <w:hideMark/>
          </w:tcPr>
          <w:p w:rsidR="005C2415" w:rsidRPr="005C2415" w:rsidRDefault="005C2415" w:rsidP="005C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22.9%</w:t>
            </w:r>
          </w:p>
        </w:tc>
        <w:tc>
          <w:tcPr>
            <w:tcW w:w="1205" w:type="dxa"/>
            <w:hideMark/>
          </w:tcPr>
          <w:p w:rsidR="005C2415" w:rsidRPr="005C2415" w:rsidRDefault="005C2415" w:rsidP="005C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21.7%</w:t>
            </w:r>
          </w:p>
        </w:tc>
        <w:tc>
          <w:tcPr>
            <w:tcW w:w="1205" w:type="dxa"/>
            <w:hideMark/>
          </w:tcPr>
          <w:p w:rsidR="005C2415" w:rsidRPr="005C2415" w:rsidRDefault="005C2415" w:rsidP="005C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22.6%</w:t>
            </w:r>
          </w:p>
        </w:tc>
      </w:tr>
      <w:tr w:rsidR="005C2415" w:rsidRPr="005C2415" w:rsidTr="003578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5C2415" w:rsidRPr="005C2415" w:rsidRDefault="005C2415" w:rsidP="005C2415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C24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Banbridge</w:t>
            </w:r>
            <w:proofErr w:type="spellEnd"/>
          </w:p>
        </w:tc>
        <w:tc>
          <w:tcPr>
            <w:tcW w:w="1204" w:type="dxa"/>
            <w:hideMark/>
          </w:tcPr>
          <w:p w:rsidR="005C2415" w:rsidRPr="005C2415" w:rsidRDefault="005C2415" w:rsidP="005C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20.7%</w:t>
            </w:r>
          </w:p>
        </w:tc>
        <w:tc>
          <w:tcPr>
            <w:tcW w:w="1205" w:type="dxa"/>
            <w:noWrap/>
            <w:hideMark/>
          </w:tcPr>
          <w:p w:rsidR="005C2415" w:rsidRPr="005C2415" w:rsidRDefault="005C2415" w:rsidP="005C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22.1%</w:t>
            </w:r>
          </w:p>
        </w:tc>
        <w:tc>
          <w:tcPr>
            <w:tcW w:w="1205" w:type="dxa"/>
            <w:hideMark/>
          </w:tcPr>
          <w:p w:rsidR="005C2415" w:rsidRPr="005C2415" w:rsidRDefault="005C2415" w:rsidP="005C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20.8%</w:t>
            </w:r>
          </w:p>
        </w:tc>
        <w:tc>
          <w:tcPr>
            <w:tcW w:w="1205" w:type="dxa"/>
            <w:hideMark/>
          </w:tcPr>
          <w:p w:rsidR="005C2415" w:rsidRPr="005C2415" w:rsidRDefault="005C2415" w:rsidP="005C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20.1%</w:t>
            </w:r>
          </w:p>
        </w:tc>
        <w:tc>
          <w:tcPr>
            <w:tcW w:w="1205" w:type="dxa"/>
            <w:hideMark/>
          </w:tcPr>
          <w:p w:rsidR="005C2415" w:rsidRPr="005C2415" w:rsidRDefault="005C2415" w:rsidP="005C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18.0%</w:t>
            </w:r>
          </w:p>
        </w:tc>
        <w:tc>
          <w:tcPr>
            <w:tcW w:w="1205" w:type="dxa"/>
            <w:hideMark/>
          </w:tcPr>
          <w:p w:rsidR="005C2415" w:rsidRPr="005C2415" w:rsidRDefault="005C2415" w:rsidP="005C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15.9%</w:t>
            </w:r>
          </w:p>
        </w:tc>
      </w:tr>
      <w:tr w:rsidR="005C2415" w:rsidRPr="005C2415" w:rsidTr="003578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5C2415" w:rsidRPr="005C2415" w:rsidRDefault="005C2415" w:rsidP="005C2415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5C24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Craigavon</w:t>
            </w:r>
          </w:p>
        </w:tc>
        <w:tc>
          <w:tcPr>
            <w:tcW w:w="1204" w:type="dxa"/>
            <w:hideMark/>
          </w:tcPr>
          <w:p w:rsidR="005C2415" w:rsidRPr="005C2415" w:rsidRDefault="005C2415" w:rsidP="005C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6.3%</w:t>
            </w:r>
          </w:p>
        </w:tc>
        <w:tc>
          <w:tcPr>
            <w:tcW w:w="1205" w:type="dxa"/>
            <w:noWrap/>
            <w:hideMark/>
          </w:tcPr>
          <w:p w:rsidR="005C2415" w:rsidRPr="005C2415" w:rsidRDefault="005C2415" w:rsidP="005C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10.5%</w:t>
            </w:r>
          </w:p>
        </w:tc>
        <w:tc>
          <w:tcPr>
            <w:tcW w:w="1205" w:type="dxa"/>
            <w:hideMark/>
          </w:tcPr>
          <w:p w:rsidR="005C2415" w:rsidRPr="005C2415" w:rsidRDefault="005C2415" w:rsidP="005C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5.4%</w:t>
            </w:r>
          </w:p>
        </w:tc>
        <w:tc>
          <w:tcPr>
            <w:tcW w:w="1205" w:type="dxa"/>
            <w:hideMark/>
          </w:tcPr>
          <w:p w:rsidR="005C2415" w:rsidRPr="005C2415" w:rsidRDefault="005C2415" w:rsidP="005C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5.9%</w:t>
            </w:r>
          </w:p>
        </w:tc>
        <w:tc>
          <w:tcPr>
            <w:tcW w:w="1205" w:type="dxa"/>
            <w:hideMark/>
          </w:tcPr>
          <w:p w:rsidR="005C2415" w:rsidRPr="005C2415" w:rsidRDefault="005C2415" w:rsidP="005C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8.7%</w:t>
            </w:r>
          </w:p>
        </w:tc>
        <w:tc>
          <w:tcPr>
            <w:tcW w:w="1205" w:type="dxa"/>
            <w:hideMark/>
          </w:tcPr>
          <w:p w:rsidR="005C2415" w:rsidRPr="005C2415" w:rsidRDefault="005C2415" w:rsidP="005C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10.0%</w:t>
            </w:r>
          </w:p>
        </w:tc>
      </w:tr>
      <w:tr w:rsidR="005C2415" w:rsidRPr="005C2415" w:rsidTr="003578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5C2415" w:rsidRPr="005C2415" w:rsidRDefault="005C2415" w:rsidP="005C2415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C24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Dromore</w:t>
            </w:r>
            <w:proofErr w:type="spellEnd"/>
          </w:p>
        </w:tc>
        <w:tc>
          <w:tcPr>
            <w:tcW w:w="1204" w:type="dxa"/>
            <w:hideMark/>
          </w:tcPr>
          <w:p w:rsidR="005C2415" w:rsidRPr="005C2415" w:rsidRDefault="005C2415" w:rsidP="005C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30.2%</w:t>
            </w:r>
          </w:p>
        </w:tc>
        <w:tc>
          <w:tcPr>
            <w:tcW w:w="1205" w:type="dxa"/>
            <w:noWrap/>
            <w:hideMark/>
          </w:tcPr>
          <w:p w:rsidR="005C2415" w:rsidRPr="005C2415" w:rsidRDefault="005C2415" w:rsidP="005C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29.5%</w:t>
            </w:r>
          </w:p>
        </w:tc>
        <w:tc>
          <w:tcPr>
            <w:tcW w:w="1205" w:type="dxa"/>
            <w:hideMark/>
          </w:tcPr>
          <w:p w:rsidR="005C2415" w:rsidRPr="005C2415" w:rsidRDefault="005C2415" w:rsidP="005C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29.1%</w:t>
            </w:r>
          </w:p>
        </w:tc>
        <w:tc>
          <w:tcPr>
            <w:tcW w:w="1205" w:type="dxa"/>
            <w:hideMark/>
          </w:tcPr>
          <w:p w:rsidR="005C2415" w:rsidRPr="005C2415" w:rsidRDefault="005C2415" w:rsidP="005C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28.0%</w:t>
            </w:r>
          </w:p>
        </w:tc>
        <w:tc>
          <w:tcPr>
            <w:tcW w:w="1205" w:type="dxa"/>
            <w:hideMark/>
          </w:tcPr>
          <w:p w:rsidR="005C2415" w:rsidRPr="005C2415" w:rsidRDefault="005C2415" w:rsidP="005C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27.4%</w:t>
            </w:r>
          </w:p>
        </w:tc>
        <w:tc>
          <w:tcPr>
            <w:tcW w:w="1205" w:type="dxa"/>
            <w:hideMark/>
          </w:tcPr>
          <w:p w:rsidR="005C2415" w:rsidRPr="005C2415" w:rsidRDefault="005C2415" w:rsidP="005C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27.1%</w:t>
            </w:r>
          </w:p>
        </w:tc>
      </w:tr>
      <w:tr w:rsidR="005C2415" w:rsidRPr="005C2415" w:rsidTr="003578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5C2415" w:rsidRPr="005C2415" w:rsidRDefault="005C2415" w:rsidP="005C2415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C24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Lurgan</w:t>
            </w:r>
            <w:proofErr w:type="spellEnd"/>
          </w:p>
        </w:tc>
        <w:tc>
          <w:tcPr>
            <w:tcW w:w="1204" w:type="dxa"/>
            <w:hideMark/>
          </w:tcPr>
          <w:p w:rsidR="005C2415" w:rsidRPr="005C2415" w:rsidRDefault="005C2415" w:rsidP="005C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25.5%</w:t>
            </w:r>
          </w:p>
        </w:tc>
        <w:tc>
          <w:tcPr>
            <w:tcW w:w="1205" w:type="dxa"/>
            <w:noWrap/>
            <w:hideMark/>
          </w:tcPr>
          <w:p w:rsidR="005C2415" w:rsidRPr="005C2415" w:rsidRDefault="005C2415" w:rsidP="005C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24.2%</w:t>
            </w:r>
          </w:p>
        </w:tc>
        <w:tc>
          <w:tcPr>
            <w:tcW w:w="1205" w:type="dxa"/>
            <w:hideMark/>
          </w:tcPr>
          <w:p w:rsidR="005C2415" w:rsidRPr="005C2415" w:rsidRDefault="005C2415" w:rsidP="005C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25.3%</w:t>
            </w:r>
          </w:p>
        </w:tc>
        <w:tc>
          <w:tcPr>
            <w:tcW w:w="1205" w:type="dxa"/>
            <w:hideMark/>
          </w:tcPr>
          <w:p w:rsidR="005C2415" w:rsidRPr="005C2415" w:rsidRDefault="005C2415" w:rsidP="005C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26.0%</w:t>
            </w:r>
          </w:p>
        </w:tc>
        <w:tc>
          <w:tcPr>
            <w:tcW w:w="1205" w:type="dxa"/>
            <w:hideMark/>
          </w:tcPr>
          <w:p w:rsidR="005C2415" w:rsidRPr="005C2415" w:rsidRDefault="005C2415" w:rsidP="005C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23.0%</w:t>
            </w:r>
          </w:p>
        </w:tc>
        <w:tc>
          <w:tcPr>
            <w:tcW w:w="1205" w:type="dxa"/>
            <w:hideMark/>
          </w:tcPr>
          <w:p w:rsidR="005C2415" w:rsidRPr="005C2415" w:rsidRDefault="005C2415" w:rsidP="005C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22.5%</w:t>
            </w:r>
          </w:p>
        </w:tc>
      </w:tr>
      <w:tr w:rsidR="005C2415" w:rsidRPr="005C2415" w:rsidTr="003578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5C2415" w:rsidRPr="005C2415" w:rsidRDefault="005C2415" w:rsidP="005C2415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C24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Portadown</w:t>
            </w:r>
            <w:proofErr w:type="spellEnd"/>
          </w:p>
        </w:tc>
        <w:tc>
          <w:tcPr>
            <w:tcW w:w="1204" w:type="dxa"/>
            <w:hideMark/>
          </w:tcPr>
          <w:p w:rsidR="005C2415" w:rsidRPr="005C2415" w:rsidRDefault="005C2415" w:rsidP="005C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27.8%</w:t>
            </w:r>
          </w:p>
        </w:tc>
        <w:tc>
          <w:tcPr>
            <w:tcW w:w="1205" w:type="dxa"/>
            <w:noWrap/>
            <w:hideMark/>
          </w:tcPr>
          <w:p w:rsidR="005C2415" w:rsidRPr="005C2415" w:rsidRDefault="005C2415" w:rsidP="005C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25.6%</w:t>
            </w:r>
          </w:p>
        </w:tc>
        <w:tc>
          <w:tcPr>
            <w:tcW w:w="1205" w:type="dxa"/>
            <w:hideMark/>
          </w:tcPr>
          <w:p w:rsidR="005C2415" w:rsidRPr="005C2415" w:rsidRDefault="005C2415" w:rsidP="005C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25.7%</w:t>
            </w:r>
          </w:p>
        </w:tc>
        <w:tc>
          <w:tcPr>
            <w:tcW w:w="1205" w:type="dxa"/>
            <w:hideMark/>
          </w:tcPr>
          <w:p w:rsidR="005C2415" w:rsidRPr="005C2415" w:rsidRDefault="005C2415" w:rsidP="005C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25.7%</w:t>
            </w:r>
          </w:p>
        </w:tc>
        <w:tc>
          <w:tcPr>
            <w:tcW w:w="1205" w:type="dxa"/>
            <w:hideMark/>
          </w:tcPr>
          <w:p w:rsidR="005C2415" w:rsidRPr="005C2415" w:rsidRDefault="005C2415" w:rsidP="005C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22.3%</w:t>
            </w:r>
          </w:p>
        </w:tc>
        <w:tc>
          <w:tcPr>
            <w:tcW w:w="1205" w:type="dxa"/>
            <w:hideMark/>
          </w:tcPr>
          <w:p w:rsidR="005C2415" w:rsidRPr="005C2415" w:rsidRDefault="005C2415" w:rsidP="005C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21.7%</w:t>
            </w:r>
          </w:p>
        </w:tc>
      </w:tr>
      <w:tr w:rsidR="005C2415" w:rsidRPr="005C2415" w:rsidTr="003578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5C2415" w:rsidRPr="005C2415" w:rsidRDefault="005C2415" w:rsidP="005C2415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5C24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Northern Ireland</w:t>
            </w:r>
          </w:p>
        </w:tc>
        <w:tc>
          <w:tcPr>
            <w:tcW w:w="1204" w:type="dxa"/>
            <w:hideMark/>
          </w:tcPr>
          <w:p w:rsidR="005C2415" w:rsidRPr="005C2415" w:rsidRDefault="005C2415" w:rsidP="005C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24.8%</w:t>
            </w:r>
          </w:p>
        </w:tc>
        <w:tc>
          <w:tcPr>
            <w:tcW w:w="1205" w:type="dxa"/>
            <w:noWrap/>
            <w:hideMark/>
          </w:tcPr>
          <w:p w:rsidR="005C2415" w:rsidRPr="005C2415" w:rsidRDefault="005C2415" w:rsidP="005C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24.2%</w:t>
            </w:r>
          </w:p>
        </w:tc>
        <w:tc>
          <w:tcPr>
            <w:tcW w:w="1205" w:type="dxa"/>
            <w:hideMark/>
          </w:tcPr>
          <w:p w:rsidR="005C2415" w:rsidRPr="005C2415" w:rsidRDefault="005C2415" w:rsidP="005C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25.3%</w:t>
            </w:r>
          </w:p>
        </w:tc>
        <w:tc>
          <w:tcPr>
            <w:tcW w:w="1205" w:type="dxa"/>
            <w:hideMark/>
          </w:tcPr>
          <w:p w:rsidR="005C2415" w:rsidRPr="005C2415" w:rsidRDefault="005C2415" w:rsidP="005C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25.0%</w:t>
            </w:r>
          </w:p>
        </w:tc>
        <w:tc>
          <w:tcPr>
            <w:tcW w:w="1205" w:type="dxa"/>
            <w:hideMark/>
          </w:tcPr>
          <w:p w:rsidR="005C2415" w:rsidRPr="005C2415" w:rsidRDefault="005C2415" w:rsidP="005C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24.1%</w:t>
            </w:r>
          </w:p>
        </w:tc>
        <w:tc>
          <w:tcPr>
            <w:tcW w:w="1205" w:type="dxa"/>
            <w:hideMark/>
          </w:tcPr>
          <w:p w:rsidR="005C2415" w:rsidRPr="005C2415" w:rsidRDefault="005C2415" w:rsidP="005C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2415">
              <w:rPr>
                <w:rFonts w:ascii="Calibri" w:eastAsia="Times New Roman" w:hAnsi="Calibri" w:cs="Calibri"/>
                <w:color w:val="000000"/>
                <w:lang w:eastAsia="en-GB"/>
              </w:rPr>
              <w:t>24.3%</w:t>
            </w:r>
          </w:p>
        </w:tc>
      </w:tr>
    </w:tbl>
    <w:p w:rsidR="005C2415" w:rsidRDefault="005C2415" w:rsidP="005C2415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 2: City/town centre non-domestic property vacancy rates between 30</w:t>
      </w:r>
      <w:r w:rsidRPr="00C51627">
        <w:rPr>
          <w:i/>
          <w:sz w:val="20"/>
          <w:szCs w:val="20"/>
          <w:vertAlign w:val="superscript"/>
        </w:rPr>
        <w:t>th</w:t>
      </w:r>
      <w:r>
        <w:rPr>
          <w:i/>
          <w:sz w:val="20"/>
          <w:szCs w:val="20"/>
        </w:rPr>
        <w:t xml:space="preserve"> April 2016 and 30</w:t>
      </w:r>
      <w:r w:rsidRPr="005C2415">
        <w:rPr>
          <w:i/>
          <w:sz w:val="20"/>
          <w:szCs w:val="20"/>
          <w:vertAlign w:val="superscript"/>
        </w:rPr>
        <w:t>th</w:t>
      </w:r>
      <w:r>
        <w:rPr>
          <w:i/>
          <w:sz w:val="20"/>
          <w:szCs w:val="20"/>
        </w:rPr>
        <w:t xml:space="preserve"> April 2021</w:t>
      </w:r>
      <w:r w:rsidRPr="002A2185">
        <w:rPr>
          <w:i/>
          <w:sz w:val="20"/>
          <w:szCs w:val="20"/>
        </w:rPr>
        <w:t>. Source:</w:t>
      </w:r>
      <w:r>
        <w:rPr>
          <w:i/>
          <w:sz w:val="20"/>
          <w:szCs w:val="20"/>
        </w:rPr>
        <w:t xml:space="preserve"> Land and Property Services via Town Centre Database, Department for Communities</w:t>
      </w:r>
      <w:r w:rsidRPr="002A2185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</w:p>
    <w:p w:rsidR="004172DA" w:rsidRDefault="004172DA" w:rsidP="00956354">
      <w:bookmarkStart w:id="0" w:name="_GoBack"/>
      <w:bookmarkEnd w:id="0"/>
    </w:p>
    <w:p w:rsidR="00C51627" w:rsidRDefault="00C51627" w:rsidP="00956354">
      <w:r>
        <w:t xml:space="preserve">Of the 41 towns and cities contained within the Town Centre </w:t>
      </w:r>
      <w:r w:rsidR="00936C9E">
        <w:t xml:space="preserve">Database, </w:t>
      </w:r>
      <w:proofErr w:type="spellStart"/>
      <w:r w:rsidR="00936C9E">
        <w:t>Dromore</w:t>
      </w:r>
      <w:proofErr w:type="spellEnd"/>
      <w:r w:rsidR="00936C9E">
        <w:t xml:space="preserve"> has the fourth </w:t>
      </w:r>
      <w:r>
        <w:t>highest</w:t>
      </w:r>
      <w:r w:rsidR="00AA2364">
        <w:t xml:space="preserve"> non-domestic property vacancy rate</w:t>
      </w:r>
      <w:r>
        <w:t xml:space="preserve">. </w:t>
      </w:r>
      <w:r w:rsidR="00B445E3">
        <w:t xml:space="preserve"> Armagh, </w:t>
      </w:r>
      <w:proofErr w:type="spellStart"/>
      <w:r w:rsidR="00AA2364">
        <w:t>Lurgan</w:t>
      </w:r>
      <w:proofErr w:type="spellEnd"/>
      <w:r w:rsidR="00AA2364">
        <w:t xml:space="preserve"> and </w:t>
      </w:r>
      <w:proofErr w:type="spellStart"/>
      <w:r w:rsidR="00936C9E">
        <w:t>Portadown</w:t>
      </w:r>
      <w:proofErr w:type="spellEnd"/>
      <w:r w:rsidR="00936C9E">
        <w:t xml:space="preserve"> are ranked </w:t>
      </w:r>
      <w:r w:rsidR="00B445E3">
        <w:t xml:space="preserve">eleventh, </w:t>
      </w:r>
      <w:r w:rsidR="00936C9E">
        <w:t>twelfth and fourteenth respectively</w:t>
      </w:r>
      <w:r w:rsidR="00AA2364">
        <w:t>. Craigavon has the</w:t>
      </w:r>
      <w:r w:rsidR="00936C9E">
        <w:t xml:space="preserve"> second</w:t>
      </w:r>
      <w:r w:rsidR="00AA2364">
        <w:t xml:space="preserve"> lowest vacancy rate of the 41 towns and cities.</w:t>
      </w:r>
    </w:p>
    <w:p w:rsidR="00C51627" w:rsidRDefault="005C2415" w:rsidP="00956354">
      <w:r>
        <w:rPr>
          <w:noProof/>
          <w:lang w:eastAsia="en-GB"/>
        </w:rPr>
        <w:drawing>
          <wp:inline distT="0" distB="0" distL="0" distR="0" wp14:anchorId="3418FD43" wp14:editId="3D0AD9B8">
            <wp:extent cx="5783580" cy="3421380"/>
            <wp:effectExtent l="0" t="0" r="7620" b="7620"/>
            <wp:docPr id="1" name="Chart 1" title="City/town centre non-domestic property vacancy rates as at 30th April 20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A2364" w:rsidRPr="00AA2364" w:rsidRDefault="00C07F07" w:rsidP="00AA2364">
      <w:r>
        <w:rPr>
          <w:i/>
          <w:sz w:val="20"/>
          <w:szCs w:val="20"/>
        </w:rPr>
        <w:t xml:space="preserve">Figure 2: </w:t>
      </w:r>
      <w:r w:rsidR="00AA2364">
        <w:rPr>
          <w:i/>
          <w:sz w:val="20"/>
          <w:szCs w:val="20"/>
        </w:rPr>
        <w:t>City/town centre non-domestic</w:t>
      </w:r>
      <w:r w:rsidR="007D43A5">
        <w:rPr>
          <w:i/>
          <w:sz w:val="20"/>
          <w:szCs w:val="20"/>
        </w:rPr>
        <w:t xml:space="preserve"> property vacancy rates as at </w:t>
      </w:r>
      <w:r w:rsidR="005C2415">
        <w:rPr>
          <w:i/>
          <w:sz w:val="20"/>
          <w:szCs w:val="20"/>
        </w:rPr>
        <w:t>30</w:t>
      </w:r>
      <w:r w:rsidR="005C2415" w:rsidRPr="005C2415">
        <w:rPr>
          <w:i/>
          <w:sz w:val="20"/>
          <w:szCs w:val="20"/>
          <w:vertAlign w:val="superscript"/>
        </w:rPr>
        <w:t>th</w:t>
      </w:r>
      <w:r w:rsidR="005C2415">
        <w:rPr>
          <w:i/>
          <w:sz w:val="20"/>
          <w:szCs w:val="20"/>
        </w:rPr>
        <w:t xml:space="preserve"> April 2021</w:t>
      </w:r>
      <w:r w:rsidR="00AA2364" w:rsidRPr="002A2185">
        <w:rPr>
          <w:i/>
          <w:sz w:val="20"/>
          <w:szCs w:val="20"/>
        </w:rPr>
        <w:t>. Source:</w:t>
      </w:r>
      <w:r w:rsidR="00AA2364">
        <w:rPr>
          <w:i/>
          <w:sz w:val="20"/>
          <w:szCs w:val="20"/>
        </w:rPr>
        <w:t xml:space="preserve"> Land and Property Services via Town Centre Database, Department for Communities</w:t>
      </w:r>
      <w:r w:rsidR="00AA2364" w:rsidRPr="002A2185">
        <w:rPr>
          <w:i/>
          <w:sz w:val="20"/>
          <w:szCs w:val="20"/>
        </w:rPr>
        <w:t>.</w:t>
      </w:r>
      <w:r w:rsidR="00AA2364">
        <w:rPr>
          <w:i/>
          <w:sz w:val="20"/>
          <w:szCs w:val="20"/>
        </w:rPr>
        <w:t xml:space="preserve"> </w:t>
      </w:r>
    </w:p>
    <w:p w:rsidR="00AA2364" w:rsidRDefault="00AA2364" w:rsidP="00956354">
      <w:r>
        <w:t>Further information on town centre vacancy rates can be found via the following link:</w:t>
      </w:r>
    </w:p>
    <w:p w:rsidR="00C51627" w:rsidRPr="00956354" w:rsidRDefault="0035789F" w:rsidP="00956354">
      <w:hyperlink r:id="rId8" w:history="1">
        <w:r w:rsidR="00AA2364">
          <w:rPr>
            <w:rStyle w:val="Hyperlink"/>
          </w:rPr>
          <w:t>https://www.communities-ni.gov.uk/publications/town-centre-database</w:t>
        </w:r>
      </w:hyperlink>
    </w:p>
    <w:sectPr w:rsidR="00C51627" w:rsidRPr="0095635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F07" w:rsidRDefault="00C07F07" w:rsidP="00C07F07">
      <w:pPr>
        <w:spacing w:after="0" w:line="240" w:lineRule="auto"/>
      </w:pPr>
      <w:r>
        <w:separator/>
      </w:r>
    </w:p>
  </w:endnote>
  <w:endnote w:type="continuationSeparator" w:id="0">
    <w:p w:rsidR="00C07F07" w:rsidRDefault="00C07F07" w:rsidP="00C0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315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7F07" w:rsidRDefault="00C07F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8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7F07" w:rsidRDefault="00C07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F07" w:rsidRDefault="00C07F07" w:rsidP="00C07F07">
      <w:pPr>
        <w:spacing w:after="0" w:line="240" w:lineRule="auto"/>
      </w:pPr>
      <w:r>
        <w:separator/>
      </w:r>
    </w:p>
  </w:footnote>
  <w:footnote w:type="continuationSeparator" w:id="0">
    <w:p w:rsidR="00C07F07" w:rsidRDefault="00C07F07" w:rsidP="00C07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56"/>
    <w:rsid w:val="00095AEC"/>
    <w:rsid w:val="0011217B"/>
    <w:rsid w:val="00163756"/>
    <w:rsid w:val="0035789F"/>
    <w:rsid w:val="004172DA"/>
    <w:rsid w:val="004239CA"/>
    <w:rsid w:val="00595145"/>
    <w:rsid w:val="005A6B8B"/>
    <w:rsid w:val="005C2415"/>
    <w:rsid w:val="007D43A5"/>
    <w:rsid w:val="00936C9E"/>
    <w:rsid w:val="00956354"/>
    <w:rsid w:val="00AA2364"/>
    <w:rsid w:val="00AB0D40"/>
    <w:rsid w:val="00AF041A"/>
    <w:rsid w:val="00B445E3"/>
    <w:rsid w:val="00C07F07"/>
    <w:rsid w:val="00C51627"/>
    <w:rsid w:val="00D11E50"/>
    <w:rsid w:val="00D71F6B"/>
    <w:rsid w:val="00F2398A"/>
    <w:rsid w:val="00FD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1B8DA-A8E0-42A4-A4F1-3F0DD5E4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23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7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F07"/>
  </w:style>
  <w:style w:type="paragraph" w:styleId="Footer">
    <w:name w:val="footer"/>
    <w:basedOn w:val="Normal"/>
    <w:link w:val="FooterChar"/>
    <w:uiPriority w:val="99"/>
    <w:unhideWhenUsed/>
    <w:rsid w:val="00C07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F07"/>
  </w:style>
  <w:style w:type="character" w:styleId="FollowedHyperlink">
    <w:name w:val="FollowedHyperlink"/>
    <w:basedOn w:val="DefaultParagraphFont"/>
    <w:uiPriority w:val="99"/>
    <w:semiHidden/>
    <w:unhideWhenUsed/>
    <w:rsid w:val="0011217B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D71F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ies-ni.gov.uk/publications/town-centre-database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tables!$H$3</c:f>
              <c:strCache>
                <c:ptCount val="1"/>
                <c:pt idx="0">
                  <c:v>% of Properties Vacant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tables!$G$4:$G$9</c:f>
              <c:strCache>
                <c:ptCount val="6"/>
                <c:pt idx="0">
                  <c:v>Dromore</c:v>
                </c:pt>
                <c:pt idx="1">
                  <c:v>Armagh</c:v>
                </c:pt>
                <c:pt idx="2">
                  <c:v>Lurgan</c:v>
                </c:pt>
                <c:pt idx="3">
                  <c:v>Portadown</c:v>
                </c:pt>
                <c:pt idx="4">
                  <c:v>Banbridge</c:v>
                </c:pt>
                <c:pt idx="5">
                  <c:v>Craigavon</c:v>
                </c:pt>
              </c:strCache>
            </c:strRef>
          </c:cat>
          <c:val>
            <c:numRef>
              <c:f>tables!$H$4:$H$9</c:f>
              <c:numCache>
                <c:formatCode>0.0%</c:formatCode>
                <c:ptCount val="6"/>
                <c:pt idx="0">
                  <c:v>0.2711864406779661</c:v>
                </c:pt>
                <c:pt idx="1">
                  <c:v>0.22611036339165544</c:v>
                </c:pt>
                <c:pt idx="2">
                  <c:v>0.22504892367906065</c:v>
                </c:pt>
                <c:pt idx="3">
                  <c:v>0.21726618705035972</c:v>
                </c:pt>
                <c:pt idx="4">
                  <c:v>0.15909090909090909</c:v>
                </c:pt>
                <c:pt idx="5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B7-44D9-AA35-518E9BAD21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1793472"/>
        <c:axId val="151793888"/>
      </c:barChart>
      <c:catAx>
        <c:axId val="151793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793888"/>
        <c:crosses val="autoZero"/>
        <c:auto val="1"/>
        <c:lblAlgn val="ctr"/>
        <c:lblOffset val="100"/>
        <c:noMultiLvlLbl val="0"/>
      </c:catAx>
      <c:valAx>
        <c:axId val="151793888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793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Sheet4!$C$4</c:f>
              <c:strCache>
                <c:ptCount val="1"/>
                <c:pt idx="0">
                  <c:v>% of Vacant Properties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7B9-4942-B0FC-1905562BC0F3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7B9-4942-B0FC-1905562BC0F3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7B9-4942-B0FC-1905562BC0F3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27B9-4942-B0FC-1905562BC0F3}"/>
              </c:ext>
            </c:extLst>
          </c:dPt>
          <c:dPt>
            <c:idx val="3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27B9-4942-B0FC-1905562BC0F3}"/>
              </c:ext>
            </c:extLst>
          </c:dPt>
          <c:dPt>
            <c:idx val="39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27B9-4942-B0FC-1905562BC0F3}"/>
              </c:ext>
            </c:extLst>
          </c:dPt>
          <c:cat>
            <c:strRef>
              <c:f>Sheet4!$B$5:$B$45</c:f>
              <c:strCache>
                <c:ptCount val="41"/>
                <c:pt idx="0">
                  <c:v>BELFAST CITY</c:v>
                </c:pt>
                <c:pt idx="1">
                  <c:v>RANDALSTOWN</c:v>
                </c:pt>
                <c:pt idx="2">
                  <c:v>COALISLAND</c:v>
                </c:pt>
                <c:pt idx="3">
                  <c:v>DROMORE</c:v>
                </c:pt>
                <c:pt idx="4">
                  <c:v>KILKEEL</c:v>
                </c:pt>
                <c:pt idx="5">
                  <c:v>COLERAINE</c:v>
                </c:pt>
                <c:pt idx="6">
                  <c:v>LARNE</c:v>
                </c:pt>
                <c:pt idx="7">
                  <c:v>ANTRIM</c:v>
                </c:pt>
                <c:pt idx="8">
                  <c:v>BANGOR</c:v>
                </c:pt>
                <c:pt idx="9">
                  <c:v>STRABANE</c:v>
                </c:pt>
                <c:pt idx="10">
                  <c:v>ARMAGH</c:v>
                </c:pt>
                <c:pt idx="11">
                  <c:v>LURGAN</c:v>
                </c:pt>
                <c:pt idx="12">
                  <c:v>BALLYMENA</c:v>
                </c:pt>
                <c:pt idx="13">
                  <c:v>PORTADOWN</c:v>
                </c:pt>
                <c:pt idx="14">
                  <c:v>ENNISKILLEN</c:v>
                </c:pt>
                <c:pt idx="15">
                  <c:v>BALLYNAHINCH</c:v>
                </c:pt>
                <c:pt idx="16">
                  <c:v>OMAGH</c:v>
                </c:pt>
                <c:pt idx="17">
                  <c:v>DERRY</c:v>
                </c:pt>
                <c:pt idx="18">
                  <c:v>LISBURN CITY</c:v>
                </c:pt>
                <c:pt idx="19">
                  <c:v>BALLYMONEY</c:v>
                </c:pt>
                <c:pt idx="20">
                  <c:v>BALLYCASTLE</c:v>
                </c:pt>
                <c:pt idx="21">
                  <c:v>DOWNPATRICK</c:v>
                </c:pt>
                <c:pt idx="22">
                  <c:v>NEWRY</c:v>
                </c:pt>
                <c:pt idx="23">
                  <c:v>DUNGANNON</c:v>
                </c:pt>
                <c:pt idx="24">
                  <c:v>COOKSTOWN</c:v>
                </c:pt>
                <c:pt idx="25">
                  <c:v>LIMAVADY</c:v>
                </c:pt>
                <c:pt idx="26">
                  <c:v>NEWTOWNARDS</c:v>
                </c:pt>
                <c:pt idx="27">
                  <c:v>COMBER</c:v>
                </c:pt>
                <c:pt idx="28">
                  <c:v>WARRENPOINT / BURREN</c:v>
                </c:pt>
                <c:pt idx="29">
                  <c:v>DONAGHADEE</c:v>
                </c:pt>
                <c:pt idx="30">
                  <c:v>PORTSTEWART</c:v>
                </c:pt>
                <c:pt idx="31">
                  <c:v>BANBRIDGE</c:v>
                </c:pt>
                <c:pt idx="32">
                  <c:v>CARRICKFERGUS</c:v>
                </c:pt>
                <c:pt idx="33">
                  <c:v>BALLYCLARE</c:v>
                </c:pt>
                <c:pt idx="34">
                  <c:v>CRUMLIN</c:v>
                </c:pt>
                <c:pt idx="35">
                  <c:v>PORTRUSH</c:v>
                </c:pt>
                <c:pt idx="36">
                  <c:v>HOLYWOOD</c:v>
                </c:pt>
                <c:pt idx="37">
                  <c:v>MAGHERAFELT</c:v>
                </c:pt>
                <c:pt idx="38">
                  <c:v>NEWCASTLE</c:v>
                </c:pt>
                <c:pt idx="39">
                  <c:v>CRAIGAVON</c:v>
                </c:pt>
                <c:pt idx="40">
                  <c:v>CARRYDUFF</c:v>
                </c:pt>
              </c:strCache>
            </c:strRef>
          </c:cat>
          <c:val>
            <c:numRef>
              <c:f>Sheet4!$C$5:$C$45</c:f>
              <c:numCache>
                <c:formatCode>0.0%</c:formatCode>
                <c:ptCount val="41"/>
                <c:pt idx="0">
                  <c:v>0.34749241477779763</c:v>
                </c:pt>
                <c:pt idx="1">
                  <c:v>0.29838709677419356</c:v>
                </c:pt>
                <c:pt idx="2">
                  <c:v>0.2733812949640288</c:v>
                </c:pt>
                <c:pt idx="3">
                  <c:v>0.2711864406779661</c:v>
                </c:pt>
                <c:pt idx="4">
                  <c:v>0.23737373737373738</c:v>
                </c:pt>
                <c:pt idx="5">
                  <c:v>0.23657474600870829</c:v>
                </c:pt>
                <c:pt idx="6">
                  <c:v>0.23250000000000001</c:v>
                </c:pt>
                <c:pt idx="7">
                  <c:v>0.23102310231023102</c:v>
                </c:pt>
                <c:pt idx="8">
                  <c:v>0.23088023088023088</c:v>
                </c:pt>
                <c:pt idx="9">
                  <c:v>0.22950819672131148</c:v>
                </c:pt>
                <c:pt idx="10">
                  <c:v>0.22611036339165544</c:v>
                </c:pt>
                <c:pt idx="11">
                  <c:v>0.22504892367906065</c:v>
                </c:pt>
                <c:pt idx="12">
                  <c:v>0.2175</c:v>
                </c:pt>
                <c:pt idx="13">
                  <c:v>0.21726618705035972</c:v>
                </c:pt>
                <c:pt idx="14">
                  <c:v>0.21726190476190477</c:v>
                </c:pt>
                <c:pt idx="15">
                  <c:v>0.2153846153846154</c:v>
                </c:pt>
                <c:pt idx="16">
                  <c:v>0.21346704871060171</c:v>
                </c:pt>
                <c:pt idx="17">
                  <c:v>0.21269095182138661</c:v>
                </c:pt>
                <c:pt idx="18">
                  <c:v>0.20790816326530612</c:v>
                </c:pt>
                <c:pt idx="19">
                  <c:v>0.2078853046594982</c:v>
                </c:pt>
                <c:pt idx="20">
                  <c:v>0.20382165605095542</c:v>
                </c:pt>
                <c:pt idx="21">
                  <c:v>0.20134228187919462</c:v>
                </c:pt>
                <c:pt idx="22">
                  <c:v>0.20123203285420946</c:v>
                </c:pt>
                <c:pt idx="23">
                  <c:v>0.19427402862985685</c:v>
                </c:pt>
                <c:pt idx="24">
                  <c:v>0.19306930693069307</c:v>
                </c:pt>
                <c:pt idx="25">
                  <c:v>0.18815331010452963</c:v>
                </c:pt>
                <c:pt idx="26">
                  <c:v>0.18490566037735848</c:v>
                </c:pt>
                <c:pt idx="27">
                  <c:v>0.18045112781954886</c:v>
                </c:pt>
                <c:pt idx="28">
                  <c:v>0.17894736842105263</c:v>
                </c:pt>
                <c:pt idx="29">
                  <c:v>0.16666666666666666</c:v>
                </c:pt>
                <c:pt idx="30">
                  <c:v>0.16346153846153846</c:v>
                </c:pt>
                <c:pt idx="31">
                  <c:v>0.15909090909090909</c:v>
                </c:pt>
                <c:pt idx="32">
                  <c:v>0.15873015873015872</c:v>
                </c:pt>
                <c:pt idx="33">
                  <c:v>0.15048543689320387</c:v>
                </c:pt>
                <c:pt idx="34">
                  <c:v>0.14736842105263157</c:v>
                </c:pt>
                <c:pt idx="35">
                  <c:v>0.1417910447761194</c:v>
                </c:pt>
                <c:pt idx="36">
                  <c:v>0.14150943396226415</c:v>
                </c:pt>
                <c:pt idx="37">
                  <c:v>0.13625304136253041</c:v>
                </c:pt>
                <c:pt idx="38">
                  <c:v>0.10869565217391304</c:v>
                </c:pt>
                <c:pt idx="39">
                  <c:v>0.1</c:v>
                </c:pt>
                <c:pt idx="40">
                  <c:v>9.6153846153846159E-2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7B9-4942-B0FC-1905562BC0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3543264"/>
        <c:axId val="183552832"/>
      </c:barChart>
      <c:catAx>
        <c:axId val="183543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552832"/>
        <c:crosses val="autoZero"/>
        <c:auto val="1"/>
        <c:lblAlgn val="ctr"/>
        <c:lblOffset val="100"/>
        <c:tickLblSkip val="1"/>
        <c:noMultiLvlLbl val="0"/>
      </c:catAx>
      <c:valAx>
        <c:axId val="18355283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54326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Jessica Bennett</cp:lastModifiedBy>
  <cp:revision>8</cp:revision>
  <dcterms:created xsi:type="dcterms:W3CDTF">2019-09-17T13:37:00Z</dcterms:created>
  <dcterms:modified xsi:type="dcterms:W3CDTF">2022-04-11T10:39:00Z</dcterms:modified>
</cp:coreProperties>
</file>