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3A151D" w:rsidRDefault="008C3787">
      <w:pPr>
        <w:rPr>
          <w:b/>
        </w:rPr>
      </w:pPr>
      <w:r w:rsidRPr="003A151D">
        <w:rPr>
          <w:b/>
        </w:rPr>
        <w:t>Tourism</w:t>
      </w:r>
    </w:p>
    <w:p w:rsidR="008C3787" w:rsidRPr="003A151D" w:rsidRDefault="008C3787">
      <w:r w:rsidRPr="003A151D">
        <w:t>The number of overnight trips to the boroug</w:t>
      </w:r>
      <w:r w:rsidR="005F169E" w:rsidRPr="003A151D">
        <w:t>h have varied over the last seven</w:t>
      </w:r>
      <w:r w:rsidRPr="003A151D">
        <w:t xml:space="preserve"> years. </w:t>
      </w:r>
      <w:r w:rsidR="00836E9E" w:rsidRPr="003A151D">
        <w:t xml:space="preserve">2014 saw the highest number of estimated overnight trips to Armagh City, </w:t>
      </w:r>
      <w:proofErr w:type="spellStart"/>
      <w:r w:rsidR="00836E9E" w:rsidRPr="003A151D">
        <w:t>Banbridge</w:t>
      </w:r>
      <w:proofErr w:type="spellEnd"/>
      <w:r w:rsidR="00836E9E" w:rsidRPr="003A151D">
        <w:t xml:space="preserve"> and Craigavon Borough (231,852). The estimated number of overni</w:t>
      </w:r>
      <w:r w:rsidR="005F169E" w:rsidRPr="003A151D">
        <w:t>ght trips to the borough in 2019 had fallen to 181,477</w:t>
      </w:r>
      <w:r w:rsidR="00836E9E" w:rsidRPr="003A151D">
        <w:t>.</w:t>
      </w:r>
    </w:p>
    <w:p w:rsidR="008C3787" w:rsidRPr="003A151D" w:rsidRDefault="008C3787">
      <w:r w:rsidRPr="003A151D">
        <w:t>The number of nights spent in the borough</w:t>
      </w:r>
      <w:r w:rsidR="008C1EDC" w:rsidRPr="003A151D">
        <w:t xml:space="preserve"> </w:t>
      </w:r>
      <w:r w:rsidRPr="003A151D">
        <w:t xml:space="preserve">in </w:t>
      </w:r>
      <w:r w:rsidR="003A151D" w:rsidRPr="003A151D">
        <w:t>2019</w:t>
      </w:r>
      <w:r w:rsidR="00154E71" w:rsidRPr="003A151D">
        <w:t xml:space="preserve"> was </w:t>
      </w:r>
      <w:r w:rsidR="003A151D" w:rsidRPr="003A151D">
        <w:t>573,627</w:t>
      </w:r>
      <w:r w:rsidR="00154E71" w:rsidRPr="003A151D">
        <w:t xml:space="preserve">. Across the last </w:t>
      </w:r>
      <w:r w:rsidR="003A151D" w:rsidRPr="003A151D">
        <w:t>seven</w:t>
      </w:r>
      <w:r w:rsidR="00E41CE3" w:rsidRPr="003A151D">
        <w:t xml:space="preserve"> years 2013 saw the highest number of nights spent with 817,881.</w:t>
      </w:r>
    </w:p>
    <w:p w:rsidR="008C3787" w:rsidRPr="003A151D" w:rsidRDefault="00543353">
      <w:r w:rsidRPr="003A151D">
        <w:t xml:space="preserve">Expenditure was </w:t>
      </w:r>
      <w:r w:rsidR="008C1EDC" w:rsidRPr="003A151D">
        <w:t>highest in 2017 with an estimated £32.4 million spent b</w:t>
      </w:r>
      <w:r w:rsidRPr="003A151D">
        <w:t xml:space="preserve">y </w:t>
      </w:r>
      <w:r w:rsidR="003A151D" w:rsidRPr="003A151D">
        <w:t>visitors to the borough. In 2019</w:t>
      </w:r>
      <w:r w:rsidRPr="003A151D">
        <w:t xml:space="preserve"> estimated expenditure was £2</w:t>
      </w:r>
      <w:r w:rsidR="003A151D" w:rsidRPr="003A151D">
        <w:t xml:space="preserve">7 </w:t>
      </w:r>
      <w:r w:rsidRPr="003A151D">
        <w:t>million.</w:t>
      </w:r>
    </w:p>
    <w:tbl>
      <w:tblPr>
        <w:tblW w:w="91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362"/>
        <w:gridCol w:w="1363"/>
        <w:gridCol w:w="1362"/>
        <w:gridCol w:w="1363"/>
        <w:gridCol w:w="1362"/>
        <w:gridCol w:w="1363"/>
      </w:tblGrid>
      <w:tr w:rsidR="005F169E" w:rsidRPr="005F169E" w:rsidTr="005F169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Overnight Trips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Nights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Expenditure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% of NI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% of NI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% of NI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201,161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817,881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6%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21,894,975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231,852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769,693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28,120,012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4%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149,782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563,238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4%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22,539,092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144,952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726,296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25,548,339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228,595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780,583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32,384,669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188,551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4%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704,130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4%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26,404,319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5F169E" w:rsidRPr="005F169E" w:rsidTr="005F169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b/>
                <w:bCs/>
                <w:lang w:eastAsia="en-GB"/>
              </w:rPr>
              <w:t>2019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181,477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573,627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26,969,066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9E" w:rsidRPr="005F169E" w:rsidRDefault="005F169E" w:rsidP="005F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F169E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</w:tbl>
    <w:p w:rsidR="008C3787" w:rsidRDefault="008C1EDC">
      <w:pPr>
        <w:rPr>
          <w:i/>
          <w:sz w:val="20"/>
          <w:szCs w:val="20"/>
        </w:rPr>
      </w:pPr>
      <w:r w:rsidRPr="005F169E">
        <w:rPr>
          <w:i/>
          <w:sz w:val="20"/>
          <w:szCs w:val="20"/>
        </w:rPr>
        <w:t xml:space="preserve">Table 1: Estimated overnight trips, nights and expenditure in Armagh City, </w:t>
      </w:r>
      <w:proofErr w:type="spellStart"/>
      <w:r w:rsidRPr="005F169E">
        <w:rPr>
          <w:i/>
          <w:sz w:val="20"/>
          <w:szCs w:val="20"/>
        </w:rPr>
        <w:t>Banbridge</w:t>
      </w:r>
      <w:proofErr w:type="spellEnd"/>
      <w:r w:rsidRPr="005F169E">
        <w:rPr>
          <w:i/>
          <w:sz w:val="20"/>
          <w:szCs w:val="20"/>
        </w:rPr>
        <w:t xml:space="preserve"> and Craigavon Borough 201</w:t>
      </w:r>
      <w:r w:rsidR="0028067A" w:rsidRPr="005F169E">
        <w:rPr>
          <w:i/>
          <w:sz w:val="20"/>
          <w:szCs w:val="20"/>
        </w:rPr>
        <w:t>3</w:t>
      </w:r>
      <w:r w:rsidR="005F169E" w:rsidRPr="005F169E">
        <w:rPr>
          <w:i/>
          <w:sz w:val="20"/>
          <w:szCs w:val="20"/>
        </w:rPr>
        <w:t xml:space="preserve"> to 2019</w:t>
      </w:r>
      <w:r w:rsidRPr="005F169E">
        <w:rPr>
          <w:i/>
          <w:sz w:val="20"/>
          <w:szCs w:val="20"/>
        </w:rPr>
        <w:t>. Source: Tourism Statistics, NISRA.</w:t>
      </w:r>
    </w:p>
    <w:p w:rsidR="00F62980" w:rsidRPr="005F169E" w:rsidRDefault="00F62980">
      <w:pPr>
        <w:rPr>
          <w:i/>
          <w:sz w:val="20"/>
          <w:szCs w:val="20"/>
        </w:rPr>
      </w:pPr>
    </w:p>
    <w:p w:rsidR="00A70F15" w:rsidRPr="005F169E" w:rsidRDefault="00F62980" w:rsidP="00A70F15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53C86BB" wp14:editId="2F65950F">
            <wp:extent cx="5867400" cy="3208020"/>
            <wp:effectExtent l="0" t="0" r="0" b="11430"/>
            <wp:docPr id="2" name="Chart 2" title="Estimated overnight trips, nights and expenditure in Armagh City, Banbridge and Craigavon Borough 2013 to 2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70F15" w:rsidRPr="00F62980">
        <w:rPr>
          <w:i/>
          <w:sz w:val="20"/>
          <w:szCs w:val="20"/>
        </w:rPr>
        <w:t>Figure 1: Estimated overnight trips</w:t>
      </w:r>
      <w:r w:rsidR="000C7CE8" w:rsidRPr="00F62980">
        <w:rPr>
          <w:i/>
          <w:sz w:val="20"/>
          <w:szCs w:val="20"/>
        </w:rPr>
        <w:t>, nights</w:t>
      </w:r>
      <w:r w:rsidR="00A70F15" w:rsidRPr="00F62980">
        <w:rPr>
          <w:i/>
          <w:sz w:val="20"/>
          <w:szCs w:val="20"/>
        </w:rPr>
        <w:t xml:space="preserve"> and expenditure in Armagh City, </w:t>
      </w:r>
      <w:proofErr w:type="spellStart"/>
      <w:r w:rsidR="00A70F15" w:rsidRPr="00F62980">
        <w:rPr>
          <w:i/>
          <w:sz w:val="20"/>
          <w:szCs w:val="20"/>
        </w:rPr>
        <w:t>Banbridge</w:t>
      </w:r>
      <w:proofErr w:type="spellEnd"/>
      <w:r w:rsidR="00A70F15" w:rsidRPr="00F62980">
        <w:rPr>
          <w:i/>
          <w:sz w:val="20"/>
          <w:szCs w:val="20"/>
        </w:rPr>
        <w:t xml:space="preserve"> and Craigavon Borough 201</w:t>
      </w:r>
      <w:r w:rsidR="0028067A" w:rsidRPr="00F62980">
        <w:rPr>
          <w:i/>
          <w:sz w:val="20"/>
          <w:szCs w:val="20"/>
        </w:rPr>
        <w:t>3</w:t>
      </w:r>
      <w:r w:rsidR="00A70F15" w:rsidRPr="00F62980">
        <w:rPr>
          <w:i/>
          <w:sz w:val="20"/>
          <w:szCs w:val="20"/>
        </w:rPr>
        <w:t xml:space="preserve"> to 201</w:t>
      </w:r>
      <w:r w:rsidRPr="00F62980">
        <w:rPr>
          <w:i/>
          <w:sz w:val="20"/>
          <w:szCs w:val="20"/>
        </w:rPr>
        <w:t>9</w:t>
      </w:r>
      <w:r w:rsidR="00A70F15" w:rsidRPr="00F62980">
        <w:rPr>
          <w:i/>
          <w:sz w:val="20"/>
          <w:szCs w:val="20"/>
        </w:rPr>
        <w:t>. Source: Tourism Statistics, NISRA.</w:t>
      </w:r>
    </w:p>
    <w:p w:rsidR="00A70F15" w:rsidRPr="005F169E" w:rsidRDefault="00A70F15">
      <w:pPr>
        <w:rPr>
          <w:i/>
          <w:color w:val="FF0000"/>
          <w:sz w:val="20"/>
          <w:szCs w:val="20"/>
        </w:rPr>
      </w:pPr>
    </w:p>
    <w:p w:rsidR="00A70F15" w:rsidRPr="005F169E" w:rsidRDefault="00A70F15">
      <w:pPr>
        <w:rPr>
          <w:i/>
          <w:color w:val="FF0000"/>
          <w:sz w:val="20"/>
          <w:szCs w:val="20"/>
        </w:rPr>
      </w:pPr>
    </w:p>
    <w:p w:rsidR="00A70F15" w:rsidRPr="005F169E" w:rsidRDefault="00A70F15">
      <w:pPr>
        <w:rPr>
          <w:i/>
          <w:color w:val="FF0000"/>
          <w:sz w:val="20"/>
          <w:szCs w:val="20"/>
        </w:rPr>
      </w:pPr>
    </w:p>
    <w:p w:rsidR="00381E1E" w:rsidRPr="00335F6B" w:rsidRDefault="00381E1E" w:rsidP="00381E1E">
      <w:r w:rsidRPr="00335F6B">
        <w:lastRenderedPageBreak/>
        <w:t>During the three-year period 201</w:t>
      </w:r>
      <w:r w:rsidR="00E81E87" w:rsidRPr="00335F6B">
        <w:t>7</w:t>
      </w:r>
      <w:r w:rsidRPr="00335F6B">
        <w:t>-201</w:t>
      </w:r>
      <w:r w:rsidR="00E81E87" w:rsidRPr="00335F6B">
        <w:t>9</w:t>
      </w:r>
      <w:r w:rsidRPr="00335F6B">
        <w:t xml:space="preserve">, the majority of </w:t>
      </w:r>
      <w:r w:rsidR="004B5004" w:rsidRPr="00335F6B">
        <w:t>overnight trips</w:t>
      </w:r>
      <w:r w:rsidRPr="00335F6B">
        <w:t xml:space="preserve"> to the borough were </w:t>
      </w:r>
      <w:r w:rsidR="004B5004" w:rsidRPr="00335F6B">
        <w:t>to visit</w:t>
      </w:r>
      <w:r w:rsidR="00443336" w:rsidRPr="00335F6B">
        <w:t xml:space="preserve"> friends and relatives (70</w:t>
      </w:r>
      <w:r w:rsidRPr="00335F6B">
        <w:t>%).</w:t>
      </w:r>
      <w:r w:rsidR="004B5004" w:rsidRPr="00335F6B">
        <w:t xml:space="preserve"> Around one in five </w:t>
      </w:r>
      <w:r w:rsidR="00A0792D" w:rsidRPr="00335F6B">
        <w:t>overnight trips to</w:t>
      </w:r>
      <w:r w:rsidR="004B5004" w:rsidRPr="00335F6B">
        <w:t xml:space="preserve"> the borough</w:t>
      </w:r>
      <w:r w:rsidR="00A0792D" w:rsidRPr="00335F6B">
        <w:t xml:space="preserve"> were</w:t>
      </w:r>
      <w:r w:rsidR="004B5004" w:rsidRPr="00335F6B">
        <w:t xml:space="preserve"> for holiday / pleasure / leisure purposes (19%). The remainder cam</w:t>
      </w:r>
      <w:r w:rsidR="00443336" w:rsidRPr="00335F6B">
        <w:t>e to the borough for business (7%) or other reasons (4</w:t>
      </w:r>
      <w:r w:rsidR="004B5004" w:rsidRPr="00335F6B">
        <w:t xml:space="preserve">%). </w:t>
      </w:r>
      <w:r w:rsidR="00443336" w:rsidRPr="00335F6B">
        <w:t xml:space="preserve"> </w:t>
      </w:r>
      <w:r w:rsidR="00543353" w:rsidRPr="00335F6B">
        <w:t xml:space="preserve">In Northern Ireland, more overnight trips are for </w:t>
      </w:r>
      <w:r w:rsidR="00335F6B">
        <w:t>holiday / pleasure / leisure (52</w:t>
      </w:r>
      <w:r w:rsidR="00543353" w:rsidRPr="00335F6B">
        <w:t>%) than the borough (19%), while a lower proportion are for vi</w:t>
      </w:r>
      <w:r w:rsidR="00335F6B">
        <w:t>siting friends and relatives, 37</w:t>
      </w:r>
      <w:r w:rsidR="00543353" w:rsidRPr="00335F6B">
        <w:t>% in Northern Ireland compared to 7</w:t>
      </w:r>
      <w:r w:rsidR="00335F6B">
        <w:t>0</w:t>
      </w:r>
      <w:r w:rsidR="00543353" w:rsidRPr="00335F6B">
        <w:t>% in the borough.</w:t>
      </w:r>
    </w:p>
    <w:p w:rsidR="00E81E87" w:rsidRDefault="00E81E87" w:rsidP="00381E1E">
      <w:pPr>
        <w:rPr>
          <w:color w:val="FF0000"/>
        </w:rPr>
      </w:pPr>
    </w:p>
    <w:tbl>
      <w:tblPr>
        <w:tblStyle w:val="GridTable1Light"/>
        <w:tblW w:w="9600" w:type="dxa"/>
        <w:tblLayout w:type="fixed"/>
        <w:tblLook w:val="04A0" w:firstRow="1" w:lastRow="0" w:firstColumn="1" w:lastColumn="0" w:noHBand="0" w:noVBand="1"/>
        <w:tblCaption w:val="Estimated average overnight trips in Armagh City, Banbridge and Craigavon Borough and Northern Ireland by reason for visit, 3-year average 2017-2019"/>
      </w:tblPr>
      <w:tblGrid>
        <w:gridCol w:w="2977"/>
        <w:gridCol w:w="1655"/>
        <w:gridCol w:w="1656"/>
        <w:gridCol w:w="1656"/>
        <w:gridCol w:w="1656"/>
      </w:tblGrid>
      <w:tr w:rsidR="00E81E87" w:rsidRPr="00E81E87" w:rsidTr="00FE3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 w:val="restart"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311" w:type="dxa"/>
            <w:gridSpan w:val="2"/>
            <w:hideMark/>
          </w:tcPr>
          <w:p w:rsidR="00E81E87" w:rsidRPr="00E81E87" w:rsidRDefault="00E81E87" w:rsidP="00E81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 xml:space="preserve">Armagh City, </w:t>
            </w:r>
            <w:proofErr w:type="spellStart"/>
            <w:r w:rsidRPr="00E81E87">
              <w:rPr>
                <w:rFonts w:ascii="Calibri" w:eastAsia="Times New Roman" w:hAnsi="Calibri" w:cs="Calibri"/>
                <w:lang w:eastAsia="en-GB"/>
              </w:rPr>
              <w:t>Banbridge</w:t>
            </w:r>
            <w:proofErr w:type="spellEnd"/>
            <w:r w:rsidRPr="00E81E87">
              <w:rPr>
                <w:rFonts w:ascii="Calibri" w:eastAsia="Times New Roman" w:hAnsi="Calibri" w:cs="Calibri"/>
                <w:lang w:eastAsia="en-GB"/>
              </w:rPr>
              <w:t xml:space="preserve"> and Craigavon</w:t>
            </w:r>
          </w:p>
        </w:tc>
        <w:tc>
          <w:tcPr>
            <w:tcW w:w="3312" w:type="dxa"/>
            <w:gridSpan w:val="2"/>
            <w:hideMark/>
          </w:tcPr>
          <w:p w:rsidR="00E81E87" w:rsidRPr="00E81E87" w:rsidRDefault="00E81E87" w:rsidP="00E81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Merge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655" w:type="dxa"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656" w:type="dxa"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656" w:type="dxa"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656" w:type="dxa"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Holiday / Pleasure / Leisure</w:t>
            </w:r>
          </w:p>
        </w:tc>
        <w:tc>
          <w:tcPr>
            <w:tcW w:w="1655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38,525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19%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2,696,816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52%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Visiting Friends and Relatives</w:t>
            </w:r>
          </w:p>
        </w:tc>
        <w:tc>
          <w:tcPr>
            <w:tcW w:w="1655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139,383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70%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1,940,844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37%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Business</w:t>
            </w:r>
          </w:p>
        </w:tc>
        <w:tc>
          <w:tcPr>
            <w:tcW w:w="1655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14,583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7%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429,658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8%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Other</w:t>
            </w:r>
          </w:p>
        </w:tc>
        <w:tc>
          <w:tcPr>
            <w:tcW w:w="1655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7,050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4%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131,793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3%</w:t>
            </w:r>
          </w:p>
        </w:tc>
      </w:tr>
      <w:tr w:rsidR="00E81E87" w:rsidRPr="00E81E87" w:rsidTr="00E81E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E81E87" w:rsidRPr="00E81E87" w:rsidRDefault="00E81E87" w:rsidP="00E81E87">
            <w:pPr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All</w:t>
            </w:r>
          </w:p>
        </w:tc>
        <w:tc>
          <w:tcPr>
            <w:tcW w:w="1655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199,541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5,199,111</w:t>
            </w:r>
          </w:p>
        </w:tc>
        <w:tc>
          <w:tcPr>
            <w:tcW w:w="1656" w:type="dxa"/>
            <w:noWrap/>
            <w:hideMark/>
          </w:tcPr>
          <w:p w:rsidR="00E81E87" w:rsidRPr="00E81E87" w:rsidRDefault="00E81E87" w:rsidP="00E8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E81E87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</w:tr>
    </w:tbl>
    <w:p w:rsidR="004B5004" w:rsidRDefault="004B5004" w:rsidP="00F14B8F">
      <w:pPr>
        <w:rPr>
          <w:i/>
          <w:sz w:val="20"/>
          <w:szCs w:val="20"/>
        </w:rPr>
      </w:pPr>
      <w:r w:rsidRPr="00443336">
        <w:rPr>
          <w:i/>
          <w:sz w:val="20"/>
          <w:szCs w:val="20"/>
        </w:rPr>
        <w:t xml:space="preserve">Table 2: Estimated average overnight trips in Armagh City, </w:t>
      </w:r>
      <w:proofErr w:type="spellStart"/>
      <w:r w:rsidRPr="00443336">
        <w:rPr>
          <w:i/>
          <w:sz w:val="20"/>
          <w:szCs w:val="20"/>
        </w:rPr>
        <w:t>Banbridge</w:t>
      </w:r>
      <w:proofErr w:type="spellEnd"/>
      <w:r w:rsidRPr="00443336">
        <w:rPr>
          <w:i/>
          <w:sz w:val="20"/>
          <w:szCs w:val="20"/>
        </w:rPr>
        <w:t xml:space="preserve"> and Craigavon Borough</w:t>
      </w:r>
      <w:r w:rsidR="00F14B8F" w:rsidRPr="00443336">
        <w:rPr>
          <w:i/>
          <w:sz w:val="20"/>
          <w:szCs w:val="20"/>
        </w:rPr>
        <w:t xml:space="preserve"> and Northern Ireland</w:t>
      </w:r>
      <w:r w:rsidRPr="00443336">
        <w:rPr>
          <w:i/>
          <w:sz w:val="20"/>
          <w:szCs w:val="20"/>
        </w:rPr>
        <w:t xml:space="preserve"> by reason for visit, 3-year average 201</w:t>
      </w:r>
      <w:r w:rsidR="00443336" w:rsidRPr="00443336">
        <w:rPr>
          <w:i/>
          <w:sz w:val="20"/>
          <w:szCs w:val="20"/>
        </w:rPr>
        <w:t>7</w:t>
      </w:r>
      <w:r w:rsidRPr="00443336">
        <w:rPr>
          <w:i/>
          <w:sz w:val="20"/>
          <w:szCs w:val="20"/>
        </w:rPr>
        <w:t>-</w:t>
      </w:r>
      <w:r w:rsidR="00443336" w:rsidRPr="00443336">
        <w:rPr>
          <w:i/>
          <w:sz w:val="20"/>
          <w:szCs w:val="20"/>
        </w:rPr>
        <w:t>2019</w:t>
      </w:r>
      <w:r w:rsidRPr="00443336">
        <w:rPr>
          <w:i/>
          <w:sz w:val="20"/>
          <w:szCs w:val="20"/>
        </w:rPr>
        <w:t>. Source: Tourism Statistics, NISRA.</w:t>
      </w:r>
      <w:r w:rsidR="004B5682" w:rsidRPr="00443336">
        <w:rPr>
          <w:i/>
          <w:sz w:val="20"/>
          <w:szCs w:val="20"/>
        </w:rPr>
        <w:t xml:space="preserve"> </w:t>
      </w:r>
    </w:p>
    <w:p w:rsidR="00FE02BE" w:rsidRDefault="00FE02BE" w:rsidP="00F14B8F">
      <w:pPr>
        <w:rPr>
          <w:i/>
          <w:sz w:val="20"/>
          <w:szCs w:val="20"/>
        </w:rPr>
      </w:pPr>
    </w:p>
    <w:p w:rsidR="0079173A" w:rsidRPr="00FE02BE" w:rsidRDefault="00FE02BE" w:rsidP="0079173A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C707611" wp14:editId="0990F48A">
            <wp:extent cx="5875020" cy="2743200"/>
            <wp:effectExtent l="0" t="0" r="11430" b="0"/>
            <wp:docPr id="1" name="Chart 1" title="Estimated average overnight trips in Armagh City, Banbridge and Craigavon Borough and Northern Ireland by reason for visit, 3-year average 2017-2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9173A" w:rsidRPr="00FE02BE">
        <w:rPr>
          <w:i/>
          <w:sz w:val="20"/>
          <w:szCs w:val="20"/>
        </w:rPr>
        <w:t xml:space="preserve">Figure 2: Estimated average overnight trips in Armagh City, </w:t>
      </w:r>
      <w:proofErr w:type="spellStart"/>
      <w:r w:rsidR="0079173A" w:rsidRPr="00FE02BE">
        <w:rPr>
          <w:i/>
          <w:sz w:val="20"/>
          <w:szCs w:val="20"/>
        </w:rPr>
        <w:t>Banbridge</w:t>
      </w:r>
      <w:proofErr w:type="spellEnd"/>
      <w:r w:rsidR="0079173A" w:rsidRPr="00FE02BE">
        <w:rPr>
          <w:i/>
          <w:sz w:val="20"/>
          <w:szCs w:val="20"/>
        </w:rPr>
        <w:t xml:space="preserve"> and Craigavon Borough</w:t>
      </w:r>
      <w:r w:rsidR="0028067A" w:rsidRPr="00FE02BE">
        <w:rPr>
          <w:i/>
          <w:sz w:val="20"/>
          <w:szCs w:val="20"/>
        </w:rPr>
        <w:t xml:space="preserve"> and Northern Ireland</w:t>
      </w:r>
      <w:r w:rsidR="0079173A" w:rsidRPr="00FE02BE">
        <w:rPr>
          <w:i/>
          <w:sz w:val="20"/>
          <w:szCs w:val="20"/>
        </w:rPr>
        <w:t xml:space="preserve"> by reaso</w:t>
      </w:r>
      <w:r w:rsidRPr="00FE02BE">
        <w:rPr>
          <w:i/>
          <w:sz w:val="20"/>
          <w:szCs w:val="20"/>
        </w:rPr>
        <w:t>n for visit, 3-year average 2017</w:t>
      </w:r>
      <w:r w:rsidR="0079173A" w:rsidRPr="00FE02BE">
        <w:rPr>
          <w:i/>
          <w:sz w:val="20"/>
          <w:szCs w:val="20"/>
        </w:rPr>
        <w:t>-</w:t>
      </w:r>
      <w:r w:rsidRPr="00FE02BE">
        <w:rPr>
          <w:i/>
          <w:sz w:val="20"/>
          <w:szCs w:val="20"/>
        </w:rPr>
        <w:t>2019</w:t>
      </w:r>
      <w:r w:rsidR="0079173A" w:rsidRPr="00FE02BE">
        <w:rPr>
          <w:i/>
          <w:sz w:val="20"/>
          <w:szCs w:val="20"/>
        </w:rPr>
        <w:t>. Source: Tourism Statistics, NISRA.</w:t>
      </w:r>
    </w:p>
    <w:p w:rsidR="00A70F15" w:rsidRPr="005F169E" w:rsidRDefault="00A70F15" w:rsidP="00DC0E4D">
      <w:pPr>
        <w:ind w:left="-851"/>
        <w:rPr>
          <w:i/>
          <w:color w:val="FF0000"/>
          <w:sz w:val="20"/>
          <w:szCs w:val="20"/>
        </w:rPr>
      </w:pPr>
    </w:p>
    <w:p w:rsidR="00A70F15" w:rsidRPr="005F169E" w:rsidRDefault="00A70F15" w:rsidP="00DC0E4D">
      <w:pPr>
        <w:ind w:left="-851"/>
        <w:rPr>
          <w:i/>
          <w:color w:val="FF0000"/>
          <w:sz w:val="20"/>
          <w:szCs w:val="20"/>
        </w:rPr>
      </w:pPr>
    </w:p>
    <w:p w:rsidR="00A70F15" w:rsidRPr="005F169E" w:rsidRDefault="00A70F15" w:rsidP="00DC0E4D">
      <w:pPr>
        <w:ind w:left="-851"/>
        <w:rPr>
          <w:i/>
          <w:color w:val="FF0000"/>
          <w:sz w:val="20"/>
          <w:szCs w:val="20"/>
        </w:rPr>
      </w:pPr>
    </w:p>
    <w:p w:rsidR="00A70F15" w:rsidRPr="005F169E" w:rsidRDefault="00A70F15" w:rsidP="00DC0E4D">
      <w:pPr>
        <w:ind w:left="-851"/>
        <w:rPr>
          <w:i/>
          <w:color w:val="FF0000"/>
          <w:sz w:val="20"/>
          <w:szCs w:val="20"/>
        </w:rPr>
      </w:pPr>
    </w:p>
    <w:p w:rsidR="00543353" w:rsidRPr="005F169E" w:rsidRDefault="00543353" w:rsidP="00DC0E4D">
      <w:pPr>
        <w:ind w:left="-851"/>
        <w:rPr>
          <w:i/>
          <w:color w:val="FF0000"/>
          <w:sz w:val="20"/>
          <w:szCs w:val="20"/>
        </w:rPr>
      </w:pPr>
    </w:p>
    <w:p w:rsidR="00543353" w:rsidRPr="005F169E" w:rsidRDefault="00543353" w:rsidP="00DC0E4D">
      <w:pPr>
        <w:ind w:left="-851"/>
        <w:rPr>
          <w:i/>
          <w:color w:val="FF0000"/>
          <w:sz w:val="20"/>
          <w:szCs w:val="20"/>
        </w:rPr>
      </w:pPr>
    </w:p>
    <w:p w:rsidR="00546B94" w:rsidRPr="00E963A1" w:rsidRDefault="00546B94" w:rsidP="00546B94">
      <w:r w:rsidRPr="00E963A1">
        <w:lastRenderedPageBreak/>
        <w:t>D</w:t>
      </w:r>
      <w:r w:rsidR="00D7456E" w:rsidRPr="00E963A1">
        <w:t>uring the three-year period 2017-2019</w:t>
      </w:r>
      <w:r w:rsidRPr="00E963A1">
        <w:t>, the majority of overnight trips</w:t>
      </w:r>
      <w:r w:rsidR="004B5682" w:rsidRPr="00E963A1">
        <w:t xml:space="preserve"> to the borough were</w:t>
      </w:r>
      <w:r w:rsidR="00DC0E4D" w:rsidRPr="00E963A1">
        <w:t xml:space="preserve"> from</w:t>
      </w:r>
      <w:r w:rsidR="00470647" w:rsidRPr="00E963A1">
        <w:t xml:space="preserve"> </w:t>
      </w:r>
      <w:r w:rsidR="00D7456E" w:rsidRPr="00E963A1">
        <w:t>Northern Ireland (39%) and Great Britain (35</w:t>
      </w:r>
      <w:r w:rsidR="00470647" w:rsidRPr="00E963A1">
        <w:t>%)</w:t>
      </w:r>
      <w:r w:rsidR="00D7456E" w:rsidRPr="00E963A1">
        <w:t xml:space="preserve">. </w:t>
      </w:r>
      <w:r w:rsidR="00DC0E4D" w:rsidRPr="00E963A1">
        <w:t xml:space="preserve"> </w:t>
      </w:r>
      <w:r w:rsidR="00D7456E" w:rsidRPr="00E963A1">
        <w:t>Approximately 8% of</w:t>
      </w:r>
      <w:r w:rsidR="00D14FF4" w:rsidRPr="00E963A1">
        <w:t xml:space="preserve"> overnight trips were from Other </w:t>
      </w:r>
      <w:r w:rsidR="004B5682" w:rsidRPr="00E963A1">
        <w:t xml:space="preserve">European </w:t>
      </w:r>
      <w:r w:rsidR="00543353" w:rsidRPr="00E963A1">
        <w:t xml:space="preserve">countries </w:t>
      </w:r>
      <w:r w:rsidR="00D7456E" w:rsidRPr="00E963A1">
        <w:t>and 13</w:t>
      </w:r>
      <w:r w:rsidR="004B5682" w:rsidRPr="00E963A1">
        <w:t xml:space="preserve">% from </w:t>
      </w:r>
      <w:proofErr w:type="gramStart"/>
      <w:r w:rsidR="004B5682" w:rsidRPr="00E963A1">
        <w:t>Other</w:t>
      </w:r>
      <w:proofErr w:type="gramEnd"/>
      <w:r w:rsidR="004B5682" w:rsidRPr="00E963A1">
        <w:t xml:space="preserve"> </w:t>
      </w:r>
      <w:r w:rsidR="00543353" w:rsidRPr="00E963A1">
        <w:t xml:space="preserve">countries </w:t>
      </w:r>
      <w:r w:rsidR="004B5682" w:rsidRPr="00E963A1">
        <w:t>(including Republic of Ireland). The remaining 6% were from North America.</w:t>
      </w:r>
      <w:r w:rsidR="00E963A1" w:rsidRPr="00E963A1">
        <w:t xml:space="preserve"> The proportions of </w:t>
      </w:r>
      <w:r w:rsidR="00543353" w:rsidRPr="00E963A1">
        <w:t xml:space="preserve">visitors to Northern Ireland overall </w:t>
      </w:r>
      <w:r w:rsidR="00D7456E" w:rsidRPr="00E963A1">
        <w:t>was very similar</w:t>
      </w:r>
      <w:r w:rsidR="00543353" w:rsidRPr="00E963A1">
        <w:t xml:space="preserve"> with</w:t>
      </w:r>
      <w:r w:rsidR="00E963A1" w:rsidRPr="00E963A1">
        <w:t xml:space="preserve"> visitors from Northern Ireland accounting for 43% and visitors from </w:t>
      </w:r>
      <w:r w:rsidR="00543353" w:rsidRPr="00E963A1">
        <w:t xml:space="preserve">Great Britain making up </w:t>
      </w:r>
      <w:r w:rsidR="00D7456E" w:rsidRPr="00E963A1">
        <w:t>29</w:t>
      </w:r>
      <w:r w:rsidR="00543353" w:rsidRPr="00E963A1">
        <w:t>% o</w:t>
      </w:r>
      <w:r w:rsidR="00E963A1" w:rsidRPr="00E963A1">
        <w:t xml:space="preserve">f the origin of overnight trips. </w:t>
      </w:r>
    </w:p>
    <w:p w:rsidR="00381E1E" w:rsidRDefault="00381E1E">
      <w:pPr>
        <w:rPr>
          <w:i/>
          <w:color w:val="FF0000"/>
          <w:sz w:val="20"/>
          <w:szCs w:val="20"/>
        </w:rPr>
      </w:pPr>
    </w:p>
    <w:tbl>
      <w:tblPr>
        <w:tblStyle w:val="GridTable1Light"/>
        <w:tblW w:w="9500" w:type="dxa"/>
        <w:tblLayout w:type="fixed"/>
        <w:tblLook w:val="04A0" w:firstRow="1" w:lastRow="0" w:firstColumn="1" w:lastColumn="0" w:noHBand="0" w:noVBand="1"/>
        <w:tblCaption w:val="Estimated average overnight trips in Armagh City, Banbridge and Craigavon Borough and Northern Ireland by place of origin, 3-year average 2017-2019"/>
      </w:tblPr>
      <w:tblGrid>
        <w:gridCol w:w="2268"/>
        <w:gridCol w:w="1808"/>
        <w:gridCol w:w="1808"/>
        <w:gridCol w:w="1808"/>
        <w:gridCol w:w="1808"/>
      </w:tblGrid>
      <w:tr w:rsidR="00FE02BE" w:rsidRPr="00FE02BE" w:rsidTr="00FE3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bookmarkStart w:id="0" w:name="_GoBack" w:colFirst="0" w:colLast="3"/>
            <w:r w:rsidRPr="00FE02B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616" w:type="dxa"/>
            <w:gridSpan w:val="2"/>
            <w:hideMark/>
          </w:tcPr>
          <w:p w:rsidR="00FE02BE" w:rsidRPr="00FE02BE" w:rsidRDefault="00FE02BE" w:rsidP="00FE02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 xml:space="preserve">Armagh City, </w:t>
            </w:r>
            <w:proofErr w:type="spellStart"/>
            <w:r w:rsidRPr="00FE02BE">
              <w:rPr>
                <w:rFonts w:ascii="Calibri" w:eastAsia="Times New Roman" w:hAnsi="Calibri" w:cs="Calibri"/>
                <w:lang w:eastAsia="en-GB"/>
              </w:rPr>
              <w:t>Banbridge</w:t>
            </w:r>
            <w:proofErr w:type="spellEnd"/>
            <w:r w:rsidRPr="00FE02BE">
              <w:rPr>
                <w:rFonts w:ascii="Calibri" w:eastAsia="Times New Roman" w:hAnsi="Calibri" w:cs="Calibri"/>
                <w:lang w:eastAsia="en-GB"/>
              </w:rPr>
              <w:t xml:space="preserve"> and Craigavon</w:t>
            </w:r>
          </w:p>
        </w:tc>
        <w:tc>
          <w:tcPr>
            <w:tcW w:w="3616" w:type="dxa"/>
            <w:gridSpan w:val="2"/>
            <w:hideMark/>
          </w:tcPr>
          <w:p w:rsidR="00FE02BE" w:rsidRPr="00FE02BE" w:rsidRDefault="00FE02BE" w:rsidP="00FE02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bookmarkEnd w:id="0"/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08" w:type="dxa"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808" w:type="dxa"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  <w:tc>
          <w:tcPr>
            <w:tcW w:w="1808" w:type="dxa"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808" w:type="dxa"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b/>
                <w:bCs/>
                <w:lang w:eastAsia="en-GB"/>
              </w:rPr>
              <w:t>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76,919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39%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2,237,584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43%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Great Britain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68,971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35%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1,504,973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29%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Other European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16,044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8%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372,220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7%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North America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11,756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6%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300,784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6%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Other (Including ROI)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25,851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13%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783,550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15%</w:t>
            </w:r>
          </w:p>
        </w:tc>
      </w:tr>
      <w:tr w:rsidR="00FE02BE" w:rsidRPr="00FE02BE" w:rsidTr="00D74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noWrap/>
            <w:hideMark/>
          </w:tcPr>
          <w:p w:rsidR="00FE02BE" w:rsidRPr="00FE02BE" w:rsidRDefault="00FE02BE" w:rsidP="00FE02BE">
            <w:pPr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All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199,541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5,199,110</w:t>
            </w:r>
          </w:p>
        </w:tc>
        <w:tc>
          <w:tcPr>
            <w:tcW w:w="1808" w:type="dxa"/>
            <w:noWrap/>
            <w:hideMark/>
          </w:tcPr>
          <w:p w:rsidR="00FE02BE" w:rsidRPr="00FE02BE" w:rsidRDefault="00FE02BE" w:rsidP="00FE0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FE02BE">
              <w:rPr>
                <w:rFonts w:ascii="Calibri" w:eastAsia="Times New Roman" w:hAnsi="Calibri" w:cs="Calibri"/>
                <w:lang w:eastAsia="en-GB"/>
              </w:rPr>
              <w:t>100%</w:t>
            </w:r>
          </w:p>
        </w:tc>
      </w:tr>
    </w:tbl>
    <w:p w:rsidR="00DC0E4D" w:rsidRDefault="00DC0E4D" w:rsidP="00CA73A0">
      <w:pPr>
        <w:rPr>
          <w:i/>
          <w:sz w:val="20"/>
          <w:szCs w:val="20"/>
        </w:rPr>
      </w:pPr>
      <w:r w:rsidRPr="00D7456E">
        <w:rPr>
          <w:i/>
          <w:sz w:val="20"/>
          <w:szCs w:val="20"/>
        </w:rPr>
        <w:t xml:space="preserve">Table 3: Estimated average overnight trips in Armagh City, </w:t>
      </w:r>
      <w:proofErr w:type="spellStart"/>
      <w:r w:rsidRPr="00D7456E">
        <w:rPr>
          <w:i/>
          <w:sz w:val="20"/>
          <w:szCs w:val="20"/>
        </w:rPr>
        <w:t>Banbridge</w:t>
      </w:r>
      <w:proofErr w:type="spellEnd"/>
      <w:r w:rsidRPr="00D7456E">
        <w:rPr>
          <w:i/>
          <w:sz w:val="20"/>
          <w:szCs w:val="20"/>
        </w:rPr>
        <w:t xml:space="preserve"> and Craigavon Borough</w:t>
      </w:r>
      <w:r w:rsidR="00CA73A0" w:rsidRPr="00D7456E">
        <w:rPr>
          <w:i/>
          <w:sz w:val="20"/>
          <w:szCs w:val="20"/>
        </w:rPr>
        <w:t xml:space="preserve"> and Northern Ireland</w:t>
      </w:r>
      <w:r w:rsidRPr="00D7456E">
        <w:rPr>
          <w:i/>
          <w:sz w:val="20"/>
          <w:szCs w:val="20"/>
        </w:rPr>
        <w:t xml:space="preserve"> by place</w:t>
      </w:r>
      <w:r w:rsidR="00CA73A0" w:rsidRPr="00D7456E">
        <w:rPr>
          <w:i/>
          <w:sz w:val="20"/>
          <w:szCs w:val="20"/>
        </w:rPr>
        <w:t xml:space="preserve"> of origin, 3-year average </w:t>
      </w:r>
      <w:r w:rsidR="00D7456E" w:rsidRPr="00D7456E">
        <w:rPr>
          <w:i/>
          <w:sz w:val="20"/>
          <w:szCs w:val="20"/>
        </w:rPr>
        <w:t>2017</w:t>
      </w:r>
      <w:r w:rsidRPr="00D7456E">
        <w:rPr>
          <w:i/>
          <w:sz w:val="20"/>
          <w:szCs w:val="20"/>
        </w:rPr>
        <w:t>-</w:t>
      </w:r>
      <w:r w:rsidR="00D7456E" w:rsidRPr="00D7456E">
        <w:rPr>
          <w:i/>
          <w:sz w:val="20"/>
          <w:szCs w:val="20"/>
        </w:rPr>
        <w:t>2019</w:t>
      </w:r>
      <w:r w:rsidRPr="00D7456E">
        <w:rPr>
          <w:i/>
          <w:sz w:val="20"/>
          <w:szCs w:val="20"/>
        </w:rPr>
        <w:t>. Source: Tourism Statistics, NISRA.</w:t>
      </w:r>
      <w:r w:rsidR="004B5682" w:rsidRPr="00D7456E">
        <w:rPr>
          <w:i/>
          <w:sz w:val="20"/>
          <w:szCs w:val="20"/>
        </w:rPr>
        <w:t xml:space="preserve"> Please note percentages may not sum due to rounding.</w:t>
      </w:r>
    </w:p>
    <w:p w:rsidR="00205E70" w:rsidRPr="00D7456E" w:rsidRDefault="00205E70" w:rsidP="00CA73A0">
      <w:pPr>
        <w:rPr>
          <w:i/>
          <w:sz w:val="20"/>
          <w:szCs w:val="20"/>
        </w:rPr>
      </w:pPr>
    </w:p>
    <w:p w:rsidR="00D82855" w:rsidRPr="005F169E" w:rsidRDefault="00205E70" w:rsidP="0079173A">
      <w:pPr>
        <w:rPr>
          <w:i/>
          <w:color w:val="FF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F2C8B5C" wp14:editId="62309659">
            <wp:extent cx="5935980" cy="3017520"/>
            <wp:effectExtent l="0" t="0" r="7620" b="11430"/>
            <wp:docPr id="3" name="Chart 3" title="Estimated average overnight trips in Armagh City, Banbridge and Craigavon Borough and Northern Ireland by place of origin, 3-year average 2017-2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9173A" w:rsidRPr="00205E70">
        <w:rPr>
          <w:i/>
          <w:sz w:val="20"/>
          <w:szCs w:val="20"/>
        </w:rPr>
        <w:t xml:space="preserve">Figure 3: Estimated average overnight trips in Armagh City, </w:t>
      </w:r>
      <w:proofErr w:type="spellStart"/>
      <w:r w:rsidR="0079173A" w:rsidRPr="00205E70">
        <w:rPr>
          <w:i/>
          <w:sz w:val="20"/>
          <w:szCs w:val="20"/>
        </w:rPr>
        <w:t>Banbridge</w:t>
      </w:r>
      <w:proofErr w:type="spellEnd"/>
      <w:r w:rsidR="0079173A" w:rsidRPr="00205E70">
        <w:rPr>
          <w:i/>
          <w:sz w:val="20"/>
          <w:szCs w:val="20"/>
        </w:rPr>
        <w:t xml:space="preserve"> and Craigavon Borough</w:t>
      </w:r>
      <w:r w:rsidR="0028067A" w:rsidRPr="00205E70">
        <w:rPr>
          <w:i/>
          <w:sz w:val="20"/>
          <w:szCs w:val="20"/>
        </w:rPr>
        <w:t xml:space="preserve"> and Northern Ireland</w:t>
      </w:r>
      <w:r w:rsidR="0079173A" w:rsidRPr="00205E70">
        <w:rPr>
          <w:i/>
          <w:sz w:val="20"/>
          <w:szCs w:val="20"/>
        </w:rPr>
        <w:t xml:space="preserve"> by plac</w:t>
      </w:r>
      <w:r w:rsidRPr="00205E70">
        <w:rPr>
          <w:i/>
          <w:sz w:val="20"/>
          <w:szCs w:val="20"/>
        </w:rPr>
        <w:t>e of origin, 3-year average 2017</w:t>
      </w:r>
      <w:r w:rsidR="0079173A" w:rsidRPr="00205E70">
        <w:rPr>
          <w:i/>
          <w:sz w:val="20"/>
          <w:szCs w:val="20"/>
        </w:rPr>
        <w:t>-</w:t>
      </w:r>
      <w:r w:rsidRPr="00205E70">
        <w:rPr>
          <w:i/>
          <w:sz w:val="20"/>
          <w:szCs w:val="20"/>
        </w:rPr>
        <w:t>2019</w:t>
      </w:r>
      <w:r w:rsidR="0079173A" w:rsidRPr="00205E70">
        <w:rPr>
          <w:i/>
          <w:sz w:val="20"/>
          <w:szCs w:val="20"/>
        </w:rPr>
        <w:t>. Source: Tourism Statistics, NISRA.</w:t>
      </w:r>
    </w:p>
    <w:p w:rsidR="001464FA" w:rsidRPr="005F169E" w:rsidRDefault="001464FA" w:rsidP="0079173A">
      <w:pPr>
        <w:rPr>
          <w:i/>
          <w:color w:val="FF0000"/>
          <w:sz w:val="20"/>
          <w:szCs w:val="20"/>
        </w:rPr>
      </w:pPr>
    </w:p>
    <w:p w:rsidR="001464FA" w:rsidRPr="00205E70" w:rsidRDefault="00BC5454" w:rsidP="0079173A">
      <w:pPr>
        <w:rPr>
          <w:i/>
          <w:sz w:val="20"/>
          <w:szCs w:val="20"/>
        </w:rPr>
      </w:pPr>
      <w:r w:rsidRPr="00205E70">
        <w:t>Further information on tourism</w:t>
      </w:r>
      <w:r w:rsidR="0028067A" w:rsidRPr="00205E70">
        <w:t xml:space="preserve"> statistics</w:t>
      </w:r>
      <w:r w:rsidRPr="00205E70">
        <w:t xml:space="preserve"> can be found via the following link:</w:t>
      </w:r>
    </w:p>
    <w:p w:rsidR="001464FA" w:rsidRPr="00205E70" w:rsidRDefault="00FE3693" w:rsidP="0079173A">
      <w:pPr>
        <w:rPr>
          <w:i/>
          <w:sz w:val="20"/>
          <w:szCs w:val="20"/>
        </w:rPr>
      </w:pPr>
      <w:hyperlink r:id="rId9" w:history="1">
        <w:r w:rsidR="00BC5454" w:rsidRPr="00205E70">
          <w:rPr>
            <w:rStyle w:val="Hyperlink"/>
            <w:color w:val="auto"/>
          </w:rPr>
          <w:t>https://www.nisra.gov.uk/statistics/tourism/local-government-district-tourism-statistics</w:t>
        </w:r>
      </w:hyperlink>
    </w:p>
    <w:sectPr w:rsidR="001464FA" w:rsidRPr="00205E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29" w:rsidRDefault="00820F29" w:rsidP="009470B4">
      <w:pPr>
        <w:spacing w:after="0" w:line="240" w:lineRule="auto"/>
      </w:pPr>
      <w:r>
        <w:separator/>
      </w:r>
    </w:p>
  </w:endnote>
  <w:endnote w:type="continuationSeparator" w:id="0">
    <w:p w:rsidR="00820F29" w:rsidRDefault="00820F2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0B4" w:rsidRDefault="0094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70B4" w:rsidRDefault="009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29" w:rsidRDefault="00820F29" w:rsidP="009470B4">
      <w:pPr>
        <w:spacing w:after="0" w:line="240" w:lineRule="auto"/>
      </w:pPr>
      <w:r>
        <w:separator/>
      </w:r>
    </w:p>
  </w:footnote>
  <w:footnote w:type="continuationSeparator" w:id="0">
    <w:p w:rsidR="00820F29" w:rsidRDefault="00820F29" w:rsidP="0094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C7CE8"/>
    <w:rsid w:val="000E40BC"/>
    <w:rsid w:val="001464FA"/>
    <w:rsid w:val="00154E71"/>
    <w:rsid w:val="00205E70"/>
    <w:rsid w:val="0022340B"/>
    <w:rsid w:val="00265E55"/>
    <w:rsid w:val="0028067A"/>
    <w:rsid w:val="002B13D9"/>
    <w:rsid w:val="00335F6B"/>
    <w:rsid w:val="00381E1E"/>
    <w:rsid w:val="003A151D"/>
    <w:rsid w:val="00443336"/>
    <w:rsid w:val="00470647"/>
    <w:rsid w:val="00494448"/>
    <w:rsid w:val="004B5004"/>
    <w:rsid w:val="004B5682"/>
    <w:rsid w:val="00543353"/>
    <w:rsid w:val="00543809"/>
    <w:rsid w:val="00546B94"/>
    <w:rsid w:val="005F169E"/>
    <w:rsid w:val="006E4145"/>
    <w:rsid w:val="007814F5"/>
    <w:rsid w:val="0079173A"/>
    <w:rsid w:val="007C7AFB"/>
    <w:rsid w:val="00820F29"/>
    <w:rsid w:val="00836E9E"/>
    <w:rsid w:val="0084512A"/>
    <w:rsid w:val="008C1EDC"/>
    <w:rsid w:val="008C3787"/>
    <w:rsid w:val="009470B4"/>
    <w:rsid w:val="00A0792D"/>
    <w:rsid w:val="00A64F03"/>
    <w:rsid w:val="00A70F15"/>
    <w:rsid w:val="00A76810"/>
    <w:rsid w:val="00BC5454"/>
    <w:rsid w:val="00C17259"/>
    <w:rsid w:val="00CA73A0"/>
    <w:rsid w:val="00D14FF4"/>
    <w:rsid w:val="00D7456E"/>
    <w:rsid w:val="00D82855"/>
    <w:rsid w:val="00DC0E4D"/>
    <w:rsid w:val="00E00CE7"/>
    <w:rsid w:val="00E41CE3"/>
    <w:rsid w:val="00E81E87"/>
    <w:rsid w:val="00E963A1"/>
    <w:rsid w:val="00F008E3"/>
    <w:rsid w:val="00F14B8F"/>
    <w:rsid w:val="00F62980"/>
    <w:rsid w:val="00FE02BE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character" w:styleId="Hyperlink">
    <w:name w:val="Hyperlink"/>
    <w:basedOn w:val="DefaultParagraphFont"/>
    <w:uiPriority w:val="99"/>
    <w:semiHidden/>
    <w:unhideWhenUsed/>
    <w:rsid w:val="00BC5454"/>
    <w:rPr>
      <w:color w:val="0000FF"/>
      <w:u w:val="single"/>
    </w:rPr>
  </w:style>
  <w:style w:type="table" w:styleId="GridTable1Light">
    <w:name w:val="Grid Table 1 Light"/>
    <w:basedOn w:val="TableNormal"/>
    <w:uiPriority w:val="46"/>
    <w:rsid w:val="00E81E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nisra.gov.uk/statistics/tourism/local-government-district-tourism-statistic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Tourism%20and%20Culture\2022%20Updates\Accommodation%20data%20updates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Tourism%20and%20Culture\2022%20Updates\Accommodation%20data%20updates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Tourism%20and%20Culture\2022%20Updates\Accommodation%20data%20updates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5451659194162"/>
          <c:y val="5.0925925925925923E-2"/>
          <c:w val="0.69010060003122842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Sheet3!$L$3</c:f>
              <c:strCache>
                <c:ptCount val="1"/>
                <c:pt idx="0">
                  <c:v>Overnight Trips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Sheet3!$K$4:$K$10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Sheet3!$L$4:$L$10</c:f>
              <c:numCache>
                <c:formatCode>#,##0</c:formatCode>
                <c:ptCount val="7"/>
                <c:pt idx="0">
                  <c:v>201161</c:v>
                </c:pt>
                <c:pt idx="1">
                  <c:v>231852</c:v>
                </c:pt>
                <c:pt idx="2">
                  <c:v>149782</c:v>
                </c:pt>
                <c:pt idx="3">
                  <c:v>144952</c:v>
                </c:pt>
                <c:pt idx="4">
                  <c:v>228595</c:v>
                </c:pt>
                <c:pt idx="5">
                  <c:v>188551</c:v>
                </c:pt>
                <c:pt idx="6">
                  <c:v>181477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A-4E49-A73E-E58D634C053F}"/>
            </c:ext>
          </c:extLst>
        </c:ser>
        <c:ser>
          <c:idx val="1"/>
          <c:order val="1"/>
          <c:tx>
            <c:strRef>
              <c:f>Sheet3!$M$3</c:f>
              <c:strCache>
                <c:ptCount val="1"/>
                <c:pt idx="0">
                  <c:v>Nights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Sheet3!$K$4:$K$10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Sheet3!$M$4:$M$10</c:f>
              <c:numCache>
                <c:formatCode>#,##0</c:formatCode>
                <c:ptCount val="7"/>
                <c:pt idx="0">
                  <c:v>817881</c:v>
                </c:pt>
                <c:pt idx="1">
                  <c:v>769693</c:v>
                </c:pt>
                <c:pt idx="2">
                  <c:v>563238</c:v>
                </c:pt>
                <c:pt idx="3">
                  <c:v>726296</c:v>
                </c:pt>
                <c:pt idx="4">
                  <c:v>780583</c:v>
                </c:pt>
                <c:pt idx="5">
                  <c:v>704130</c:v>
                </c:pt>
                <c:pt idx="6">
                  <c:v>573627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EA-4E49-A73E-E58D634C0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295071"/>
        <c:axId val="691295487"/>
      </c:barChart>
      <c:lineChart>
        <c:grouping val="standard"/>
        <c:varyColors val="0"/>
        <c:ser>
          <c:idx val="2"/>
          <c:order val="2"/>
          <c:tx>
            <c:strRef>
              <c:f>Sheet3!$N$3</c:f>
              <c:strCache>
                <c:ptCount val="1"/>
                <c:pt idx="0">
                  <c:v>Expenditure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Sheet3!$K$4:$K$10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Sheet3!$N$4:$N$10</c:f>
              <c:numCache>
                <c:formatCode>#,##0</c:formatCode>
                <c:ptCount val="7"/>
                <c:pt idx="0">
                  <c:v>21894975</c:v>
                </c:pt>
                <c:pt idx="1">
                  <c:v>28120012</c:v>
                </c:pt>
                <c:pt idx="2">
                  <c:v>22539092</c:v>
                </c:pt>
                <c:pt idx="3">
                  <c:v>25548339</c:v>
                </c:pt>
                <c:pt idx="4">
                  <c:v>32384669</c:v>
                </c:pt>
                <c:pt idx="5">
                  <c:v>26404319</c:v>
                </c:pt>
                <c:pt idx="6">
                  <c:v>26969066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EA-4E49-A73E-E58D634C0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1290495"/>
        <c:axId val="691307551"/>
      </c:lineChart>
      <c:catAx>
        <c:axId val="69129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95487"/>
        <c:crosses val="autoZero"/>
        <c:auto val="1"/>
        <c:lblAlgn val="ctr"/>
        <c:lblOffset val="100"/>
        <c:noMultiLvlLbl val="0"/>
      </c:catAx>
      <c:valAx>
        <c:axId val="69129548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95071"/>
        <c:crosses val="autoZero"/>
        <c:crossBetween val="between"/>
      </c:valAx>
      <c:valAx>
        <c:axId val="691307551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90495"/>
        <c:crosses val="max"/>
        <c:crossBetween val="between"/>
      </c:valAx>
      <c:catAx>
        <c:axId val="69129049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9130755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894651099647029E-2"/>
          <c:y val="8.1020705745115162E-2"/>
          <c:w val="0.8977100190062447"/>
          <c:h val="0.73294546515018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Sheet4!$I$2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Sheet4!$H$3:$H$6</c:f>
              <c:strCache>
                <c:ptCount val="4"/>
                <c:pt idx="0">
                  <c:v>Holiday / Pleasure / Leisure</c:v>
                </c:pt>
                <c:pt idx="1">
                  <c:v>Visiting Friends and Relatives</c:v>
                </c:pt>
                <c:pt idx="2">
                  <c:v>Business</c:v>
                </c:pt>
                <c:pt idx="3">
                  <c:v>Other</c:v>
                </c:pt>
              </c:strCache>
            </c:strRef>
          </c:cat>
          <c:val>
            <c:numRef>
              <c:f>Sheet4!$I$3:$I$6</c:f>
              <c:numCache>
                <c:formatCode>0%</c:formatCode>
                <c:ptCount val="4"/>
                <c:pt idx="0">
                  <c:v>0.19</c:v>
                </c:pt>
                <c:pt idx="1">
                  <c:v>0.7</c:v>
                </c:pt>
                <c:pt idx="2">
                  <c:v>7.0000000000000007E-2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3-4A0F-9057-6703D66E38D8}"/>
            </c:ext>
          </c:extLst>
        </c:ser>
        <c:ser>
          <c:idx val="1"/>
          <c:order val="1"/>
          <c:tx>
            <c:strRef>
              <c:f>Sheet4!$J$2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Sheet4!$H$3:$H$6</c:f>
              <c:strCache>
                <c:ptCount val="4"/>
                <c:pt idx="0">
                  <c:v>Holiday / Pleasure / Leisure</c:v>
                </c:pt>
                <c:pt idx="1">
                  <c:v>Visiting Friends and Relatives</c:v>
                </c:pt>
                <c:pt idx="2">
                  <c:v>Business</c:v>
                </c:pt>
                <c:pt idx="3">
                  <c:v>Other</c:v>
                </c:pt>
              </c:strCache>
            </c:strRef>
          </c:cat>
          <c:val>
            <c:numRef>
              <c:f>Sheet4!$J$3:$J$6</c:f>
              <c:numCache>
                <c:formatCode>0%</c:formatCode>
                <c:ptCount val="4"/>
                <c:pt idx="0">
                  <c:v>0.52</c:v>
                </c:pt>
                <c:pt idx="1">
                  <c:v>0.37</c:v>
                </c:pt>
                <c:pt idx="2">
                  <c:v>0.08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23-4A0F-9057-6703D66E3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91297983"/>
        <c:axId val="691302143"/>
      </c:barChart>
      <c:catAx>
        <c:axId val="69129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302143"/>
        <c:crosses val="autoZero"/>
        <c:auto val="1"/>
        <c:lblAlgn val="ctr"/>
        <c:lblOffset val="100"/>
        <c:noMultiLvlLbl val="0"/>
      </c:catAx>
      <c:valAx>
        <c:axId val="69130214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297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1473110688750119"/>
          <c:y val="8.3333333333333329E-2"/>
          <c:w val="0.27147578966422303"/>
          <c:h val="0.25694663167104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Sheet6!$J$2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Sheet6!$I$3:$I$7</c:f>
              <c:strCache>
                <c:ptCount val="5"/>
                <c:pt idx="0">
                  <c:v>Northern Ireland</c:v>
                </c:pt>
                <c:pt idx="1">
                  <c:v>Great Britain</c:v>
                </c:pt>
                <c:pt idx="2">
                  <c:v>Other European</c:v>
                </c:pt>
                <c:pt idx="3">
                  <c:v>North America</c:v>
                </c:pt>
                <c:pt idx="4">
                  <c:v>Other (Including ROI)</c:v>
                </c:pt>
              </c:strCache>
            </c:strRef>
          </c:cat>
          <c:val>
            <c:numRef>
              <c:f>Sheet6!$J$3:$J$7</c:f>
              <c:numCache>
                <c:formatCode>0%</c:formatCode>
                <c:ptCount val="5"/>
                <c:pt idx="0">
                  <c:v>0.38547873778659569</c:v>
                </c:pt>
                <c:pt idx="1">
                  <c:v>0.34564972097099739</c:v>
                </c:pt>
                <c:pt idx="2">
                  <c:v>8.040601323835489E-2</c:v>
                </c:pt>
                <c:pt idx="3">
                  <c:v>5.8913707299522389E-2</c:v>
                </c:pt>
                <c:pt idx="4">
                  <c:v>0.12955182070452959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3F-408C-B33F-642F8A4E0E5C}"/>
            </c:ext>
          </c:extLst>
        </c:ser>
        <c:ser>
          <c:idx val="1"/>
          <c:order val="1"/>
          <c:tx>
            <c:strRef>
              <c:f>Sheet6!$K$2</c:f>
              <c:strCache>
                <c:ptCount val="1"/>
                <c:pt idx="0">
                  <c:v>Northern Ireland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Sheet6!$I$3:$I$7</c:f>
              <c:strCache>
                <c:ptCount val="5"/>
                <c:pt idx="0">
                  <c:v>Northern Ireland</c:v>
                </c:pt>
                <c:pt idx="1">
                  <c:v>Great Britain</c:v>
                </c:pt>
                <c:pt idx="2">
                  <c:v>Other European</c:v>
                </c:pt>
                <c:pt idx="3">
                  <c:v>North America</c:v>
                </c:pt>
                <c:pt idx="4">
                  <c:v>Other (Including ROI)</c:v>
                </c:pt>
              </c:strCache>
            </c:strRef>
          </c:cat>
          <c:val>
            <c:numRef>
              <c:f>Sheet6!$K$3:$K$7</c:f>
              <c:numCache>
                <c:formatCode>0%</c:formatCode>
                <c:ptCount val="5"/>
                <c:pt idx="0">
                  <c:v>0.43037823547650184</c:v>
                </c:pt>
                <c:pt idx="1">
                  <c:v>0.28946748785853943</c:v>
                </c:pt>
                <c:pt idx="2">
                  <c:v>7.1592957923788517E-2</c:v>
                </c:pt>
                <c:pt idx="3">
                  <c:v>5.7852933116228411E-2</c:v>
                </c:pt>
                <c:pt idx="4">
                  <c:v>0.1507083856249419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3F-408C-B33F-642F8A4E0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7"/>
        <c:axId val="691308799"/>
        <c:axId val="691304639"/>
      </c:barChart>
      <c:catAx>
        <c:axId val="69130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304639"/>
        <c:crosses val="autoZero"/>
        <c:auto val="1"/>
        <c:lblAlgn val="ctr"/>
        <c:lblOffset val="100"/>
        <c:noMultiLvlLbl val="0"/>
      </c:catAx>
      <c:valAx>
        <c:axId val="691304639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308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0.20972</cdr:y>
    </cdr:from>
    <cdr:to>
      <cdr:x>0.06232</cdr:x>
      <cdr:y>0.54306</cdr:y>
    </cdr:to>
    <cdr:sp macro="" textlink="">
      <cdr:nvSpPr>
        <cdr:cNvPr id="2" name="TextBox 1"/>
        <cdr:cNvSpPr txBox="1"/>
      </cdr:nvSpPr>
      <cdr:spPr>
        <a:xfrm xmlns:a="http://schemas.openxmlformats.org/drawingml/2006/main" rot="16200000">
          <a:off x="-289560" y="864870"/>
          <a:ext cx="914400" cy="3352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Number </a:t>
          </a:r>
        </a:p>
      </cdr:txBody>
    </cdr:sp>
  </cdr:relSizeAnchor>
  <cdr:relSizeAnchor xmlns:cdr="http://schemas.openxmlformats.org/drawingml/2006/chartDrawing">
    <cdr:from>
      <cdr:x>0.95326</cdr:x>
      <cdr:y>0.28056</cdr:y>
    </cdr:from>
    <cdr:to>
      <cdr:x>1</cdr:x>
      <cdr:y>0.60694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4806315" y="1091565"/>
          <a:ext cx="895350" cy="2514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Expenditure (£)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21</cp:revision>
  <dcterms:created xsi:type="dcterms:W3CDTF">2019-09-25T13:17:00Z</dcterms:created>
  <dcterms:modified xsi:type="dcterms:W3CDTF">2022-04-14T13:36:00Z</dcterms:modified>
</cp:coreProperties>
</file>