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F6248" w14:textId="77777777" w:rsidR="002E31FB" w:rsidRPr="00A65E19" w:rsidRDefault="00802C98">
      <w:pPr>
        <w:rPr>
          <w:b/>
        </w:rPr>
      </w:pPr>
      <w:r>
        <w:rPr>
          <w:b/>
        </w:rPr>
        <w:t>Population Projections</w:t>
      </w:r>
    </w:p>
    <w:p w14:paraId="6D0E989B" w14:textId="3761C2BB" w:rsidR="005C1C25" w:rsidRDefault="003A6B98">
      <w:r>
        <w:t xml:space="preserve">The </w:t>
      </w:r>
      <w:r w:rsidR="00802C98">
        <w:t>projected</w:t>
      </w:r>
      <w:r>
        <w:t xml:space="preserve"> population of Armagh City, Banbridge and Craigavon </w:t>
      </w:r>
      <w:r w:rsidR="00E1225D">
        <w:t xml:space="preserve">Borough </w:t>
      </w:r>
      <w:r w:rsidR="004163A1">
        <w:t>is expected to increase year on year up until 204</w:t>
      </w:r>
      <w:r w:rsidR="00CC3C65">
        <w:t>3</w:t>
      </w:r>
      <w:r w:rsidR="004163A1">
        <w:t xml:space="preserve"> </w:t>
      </w:r>
      <w:r w:rsidR="00646ADD">
        <w:t>(the latest year projections are</w:t>
      </w:r>
      <w:r w:rsidR="004163A1">
        <w:t xml:space="preserve"> available).</w:t>
      </w:r>
      <w:r w:rsidR="00DB5602">
        <w:t xml:space="preserve"> The po</w:t>
      </w:r>
      <w:r w:rsidR="00CC3C65">
        <w:t>pulation at the end of June 2043 is projected to be 250,870</w:t>
      </w:r>
      <w:r w:rsidR="00DB5602">
        <w:t xml:space="preserve">. This is an increase of </w:t>
      </w:r>
      <w:r w:rsidR="00646ADD">
        <w:t>33,638</w:t>
      </w:r>
      <w:r w:rsidR="00DB5602">
        <w:t xml:space="preserve"> people or </w:t>
      </w:r>
      <w:r w:rsidR="00CC3C65">
        <w:t>15.</w:t>
      </w:r>
      <w:r w:rsidR="00646ADD">
        <w:t>5</w:t>
      </w:r>
      <w:r w:rsidR="00DB5602">
        <w:t>%</w:t>
      </w:r>
      <w:r w:rsidR="00CC3C65">
        <w:t xml:space="preserve"> on 20</w:t>
      </w:r>
      <w:r w:rsidR="00646ADD">
        <w:t>20</w:t>
      </w:r>
      <w:r w:rsidR="000241BF">
        <w:t xml:space="preserve"> mid-</w:t>
      </w:r>
      <w:r w:rsidR="00DB5602">
        <w:t>year population estimates.</w:t>
      </w:r>
      <w:r w:rsidR="009842E7">
        <w:t xml:space="preserve"> This is projected to </w:t>
      </w:r>
      <w:r w:rsidR="007A7752">
        <w:t xml:space="preserve">be the largest increase in </w:t>
      </w:r>
      <w:r w:rsidR="009842E7">
        <w:t>the number of people across all 11 counci</w:t>
      </w:r>
      <w:r w:rsidR="007A7752">
        <w:t>l areas</w:t>
      </w:r>
      <w:r w:rsidR="009842E7">
        <w:t xml:space="preserve">. The projected population increase </w:t>
      </w:r>
      <w:r w:rsidR="00646ADD">
        <w:t>in Northern Ireland between 2020</w:t>
      </w:r>
      <w:r w:rsidR="00CC3C65">
        <w:t xml:space="preserve"> and 2043</w:t>
      </w:r>
      <w:r w:rsidR="009842E7">
        <w:t xml:space="preserve"> </w:t>
      </w:r>
      <w:r w:rsidR="009842E7" w:rsidRPr="007A7752">
        <w:t xml:space="preserve">is </w:t>
      </w:r>
      <w:r w:rsidR="00646ADD">
        <w:t>93,685 which equates to an increase of approximately 4.9</w:t>
      </w:r>
      <w:r w:rsidR="009842E7" w:rsidRPr="007A7752">
        <w:t>%.</w:t>
      </w:r>
    </w:p>
    <w:p w14:paraId="0C0AE8B9" w14:textId="53F7AE6C" w:rsidR="005C1C25" w:rsidRDefault="005C1C25">
      <w:r>
        <w:rPr>
          <w:noProof/>
          <w:lang w:eastAsia="en-GB"/>
        </w:rPr>
        <w:drawing>
          <wp:inline distT="0" distB="0" distL="0" distR="0" wp14:anchorId="5FEB4EE2" wp14:editId="48D2DB7C">
            <wp:extent cx="5953125" cy="3914775"/>
            <wp:effectExtent l="0" t="0" r="9525" b="9525"/>
            <wp:docPr id="6" name="Chart 6" descr="Line graph showing the increase in population in Armagh, Banbridge and Craigavon  from 198,202 in 2010 to 217,232 in 2020 and the projected increase to 250,870 in 2043." title="Population estimates and projections for Armagh City, Banbridge and Craigavon Borough 2010 - 2043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B046EA7" w14:textId="52F0DC1D" w:rsidR="004163A1" w:rsidRPr="005C1C25" w:rsidRDefault="003647E4">
      <w:pPr>
        <w:rPr>
          <w:i/>
          <w:sz w:val="20"/>
          <w:szCs w:val="20"/>
        </w:rPr>
      </w:pPr>
      <w:r>
        <w:rPr>
          <w:i/>
          <w:sz w:val="20"/>
          <w:szCs w:val="20"/>
        </w:rPr>
        <w:t>Figure 1: Population e</w:t>
      </w:r>
      <w:r w:rsidR="00DB5602">
        <w:rPr>
          <w:i/>
          <w:sz w:val="20"/>
          <w:szCs w:val="20"/>
        </w:rPr>
        <w:t xml:space="preserve">stimates and </w:t>
      </w:r>
      <w:r>
        <w:rPr>
          <w:i/>
          <w:sz w:val="20"/>
          <w:szCs w:val="20"/>
        </w:rPr>
        <w:t>p</w:t>
      </w:r>
      <w:r w:rsidR="00DB5602">
        <w:rPr>
          <w:i/>
          <w:sz w:val="20"/>
          <w:szCs w:val="20"/>
        </w:rPr>
        <w:t>rojections for Armagh City, Banbridge and Craigavon</w:t>
      </w:r>
      <w:r>
        <w:rPr>
          <w:i/>
          <w:sz w:val="20"/>
          <w:szCs w:val="20"/>
        </w:rPr>
        <w:t xml:space="preserve"> Borough</w:t>
      </w:r>
      <w:r w:rsidR="004903E5">
        <w:rPr>
          <w:i/>
          <w:sz w:val="20"/>
          <w:szCs w:val="20"/>
        </w:rPr>
        <w:t xml:space="preserve"> 20</w:t>
      </w:r>
      <w:r w:rsidR="005C1C25">
        <w:rPr>
          <w:i/>
          <w:sz w:val="20"/>
          <w:szCs w:val="20"/>
        </w:rPr>
        <w:t>10</w:t>
      </w:r>
      <w:r w:rsidR="004903E5">
        <w:rPr>
          <w:i/>
          <w:sz w:val="20"/>
          <w:szCs w:val="20"/>
        </w:rPr>
        <w:t xml:space="preserve"> to 204</w:t>
      </w:r>
      <w:r w:rsidR="005C1C25">
        <w:rPr>
          <w:i/>
          <w:sz w:val="20"/>
          <w:szCs w:val="20"/>
        </w:rPr>
        <w:t>3</w:t>
      </w:r>
      <w:r w:rsidR="005F3D41" w:rsidRPr="002A2185">
        <w:rPr>
          <w:i/>
          <w:sz w:val="20"/>
          <w:szCs w:val="20"/>
        </w:rPr>
        <w:t>. Source:</w:t>
      </w:r>
      <w:r w:rsidR="005C1C25">
        <w:rPr>
          <w:i/>
          <w:sz w:val="20"/>
          <w:szCs w:val="20"/>
        </w:rPr>
        <w:t xml:space="preserve"> 2020</w:t>
      </w:r>
      <w:r w:rsidR="00DB5602">
        <w:rPr>
          <w:i/>
          <w:sz w:val="20"/>
          <w:szCs w:val="20"/>
        </w:rPr>
        <w:t xml:space="preserve"> Mid-Year Population Estimate</w:t>
      </w:r>
      <w:r w:rsidR="005C1C25">
        <w:rPr>
          <w:i/>
          <w:sz w:val="20"/>
          <w:szCs w:val="20"/>
        </w:rPr>
        <w:t>s and 2018</w:t>
      </w:r>
      <w:r w:rsidR="00DB5602">
        <w:rPr>
          <w:i/>
          <w:sz w:val="20"/>
          <w:szCs w:val="20"/>
        </w:rPr>
        <w:t xml:space="preserve"> Based Population Projections,</w:t>
      </w:r>
      <w:r w:rsidR="005F3D41">
        <w:rPr>
          <w:i/>
          <w:sz w:val="20"/>
          <w:szCs w:val="20"/>
        </w:rPr>
        <w:t xml:space="preserve"> NISRA</w:t>
      </w:r>
      <w:r w:rsidR="005F3D41" w:rsidRPr="002A2185">
        <w:rPr>
          <w:i/>
          <w:sz w:val="20"/>
          <w:szCs w:val="20"/>
        </w:rPr>
        <w:t>.</w:t>
      </w:r>
    </w:p>
    <w:p w14:paraId="6415CC9D" w14:textId="26970CA8" w:rsidR="00E1225D" w:rsidRDefault="002B6ED8">
      <w:r>
        <w:t>Most</w:t>
      </w:r>
      <w:r w:rsidR="0076127A">
        <w:t xml:space="preserve"> age groups</w:t>
      </w:r>
      <w:r w:rsidR="002E1FFF">
        <w:t xml:space="preserve"> in the borough</w:t>
      </w:r>
      <w:r w:rsidR="0076127A">
        <w:t xml:space="preserve"> are projected to increase between 20</w:t>
      </w:r>
      <w:r w:rsidR="00B00B37">
        <w:t>20</w:t>
      </w:r>
      <w:r w:rsidR="0076127A">
        <w:t xml:space="preserve"> and 204</w:t>
      </w:r>
      <w:r w:rsidR="00B00B37">
        <w:t>3</w:t>
      </w:r>
      <w:r w:rsidR="0076127A">
        <w:t xml:space="preserve">, most notably those aged 65 and over, who are projected to increase by </w:t>
      </w:r>
      <w:r w:rsidR="0067542F">
        <w:t>21,365</w:t>
      </w:r>
      <w:r w:rsidR="0076127A">
        <w:t xml:space="preserve"> people or </w:t>
      </w:r>
      <w:r w:rsidR="0067542F">
        <w:t>62.5</w:t>
      </w:r>
      <w:r w:rsidR="0076127A">
        <w:t xml:space="preserve">%. </w:t>
      </w:r>
      <w:r w:rsidR="0067542F">
        <w:t xml:space="preserve">There is a projected decrease in those aged 0-15 in the borough while in Northern Ireland overall, all age groups up to </w:t>
      </w:r>
      <w:r w:rsidR="00E64F58">
        <w:t>49 years are projected to decrease.</w:t>
      </w:r>
    </w:p>
    <w:tbl>
      <w:tblPr>
        <w:tblStyle w:val="GridTable1Light"/>
        <w:tblW w:w="8554" w:type="dxa"/>
        <w:tblLayout w:type="fixed"/>
        <w:tblLook w:val="04A0" w:firstRow="1" w:lastRow="0" w:firstColumn="1" w:lastColumn="0" w:noHBand="0" w:noVBand="1"/>
        <w:tblCaption w:val="Population Changes between 2020-2043 for Armagh City, Banbridge and Craigavon Borough and Northern Ireland. "/>
        <w:tblDescription w:val="Table to show projected percentage changes in population within ABC and NI between 2020 and 2043"/>
      </w:tblPr>
      <w:tblGrid>
        <w:gridCol w:w="1555"/>
        <w:gridCol w:w="1399"/>
        <w:gridCol w:w="1400"/>
        <w:gridCol w:w="1400"/>
        <w:gridCol w:w="1400"/>
        <w:gridCol w:w="1400"/>
      </w:tblGrid>
      <w:tr w:rsidR="0067542F" w:rsidRPr="00B00B37" w14:paraId="42137F52" w14:textId="77777777" w:rsidTr="00AB0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E8FED93" w14:textId="77777777" w:rsidR="0079282F" w:rsidRDefault="0079282F" w:rsidP="00B00B3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D9F5F6A" w14:textId="087D00AF" w:rsidR="00B00B37" w:rsidRPr="00B00B37" w:rsidRDefault="00B00B37" w:rsidP="00B00B3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Age Group</w:t>
            </w:r>
          </w:p>
        </w:tc>
        <w:tc>
          <w:tcPr>
            <w:tcW w:w="1399" w:type="dxa"/>
            <w:noWrap/>
            <w:hideMark/>
          </w:tcPr>
          <w:p w14:paraId="425F0C3D" w14:textId="77777777" w:rsidR="0079282F" w:rsidRDefault="00B00B37" w:rsidP="00B00B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</w:p>
          <w:p w14:paraId="761C4557" w14:textId="1C24946E" w:rsidR="00B00B37" w:rsidRPr="00B00B37" w:rsidRDefault="00B00B37" w:rsidP="00B00B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ABC 2020</w:t>
            </w:r>
          </w:p>
        </w:tc>
        <w:tc>
          <w:tcPr>
            <w:tcW w:w="1400" w:type="dxa"/>
            <w:noWrap/>
            <w:hideMark/>
          </w:tcPr>
          <w:p w14:paraId="63D5153D" w14:textId="72A73F32" w:rsidR="0079282F" w:rsidRDefault="0079282F" w:rsidP="00B00B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59D00A9" w14:textId="5A46A92D" w:rsidR="00B00B37" w:rsidRPr="00B00B37" w:rsidRDefault="00B00B37" w:rsidP="00B00B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ABC 2043</w:t>
            </w:r>
          </w:p>
        </w:tc>
        <w:tc>
          <w:tcPr>
            <w:tcW w:w="1400" w:type="dxa"/>
            <w:hideMark/>
          </w:tcPr>
          <w:p w14:paraId="4FBFBAB9" w14:textId="77777777" w:rsidR="0079282F" w:rsidRDefault="0079282F" w:rsidP="00B00B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32F1627" w14:textId="5047060B" w:rsidR="00B00B37" w:rsidRPr="00B00B37" w:rsidRDefault="00B00B37" w:rsidP="00B00B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ABC Change</w:t>
            </w:r>
            <w:r w:rsidR="0079282F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 (No.)</w:t>
            </w:r>
          </w:p>
        </w:tc>
        <w:tc>
          <w:tcPr>
            <w:tcW w:w="1400" w:type="dxa"/>
            <w:hideMark/>
          </w:tcPr>
          <w:p w14:paraId="68BF9665" w14:textId="77777777" w:rsidR="0079282F" w:rsidRDefault="0079282F" w:rsidP="00792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071D04E" w14:textId="2948CBCF" w:rsidR="00B00B37" w:rsidRPr="00B00B37" w:rsidRDefault="00B00B37" w:rsidP="00792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ABC</w:t>
            </w:r>
            <w:r w:rsidR="0079282F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 </w:t>
            </w:r>
            <w:r w:rsidR="0079282F"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Change</w:t>
            </w:r>
            <w:r w:rsidR="0079282F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 (</w:t>
            </w:r>
            <w:r w:rsidR="0079282F"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  <w:r w:rsidR="0079282F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)</w:t>
            </w:r>
          </w:p>
        </w:tc>
        <w:tc>
          <w:tcPr>
            <w:tcW w:w="1400" w:type="dxa"/>
            <w:hideMark/>
          </w:tcPr>
          <w:p w14:paraId="4950F6A9" w14:textId="7F021080" w:rsidR="00B00B37" w:rsidRPr="00B00B37" w:rsidRDefault="00B00B37" w:rsidP="00792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  <w:r w:rsidR="0079282F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 </w:t>
            </w:r>
            <w:r w:rsidR="0079282F"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Change</w:t>
            </w:r>
            <w:r w:rsidR="0079282F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 (</w:t>
            </w:r>
            <w:r w:rsidR="0079282F"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  <w:r w:rsidR="0079282F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)</w:t>
            </w:r>
          </w:p>
        </w:tc>
      </w:tr>
      <w:tr w:rsidR="002B6ED8" w:rsidRPr="00B00B37" w14:paraId="5A2DE27E" w14:textId="77777777" w:rsidTr="007928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1084309" w14:textId="77777777" w:rsidR="002B6ED8" w:rsidRPr="00B00B37" w:rsidRDefault="002B6ED8" w:rsidP="002B6ED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0-15 years</w:t>
            </w:r>
          </w:p>
        </w:tc>
        <w:tc>
          <w:tcPr>
            <w:tcW w:w="1399" w:type="dxa"/>
            <w:noWrap/>
            <w:hideMark/>
          </w:tcPr>
          <w:p w14:paraId="3500665E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48,872</w:t>
            </w:r>
          </w:p>
        </w:tc>
        <w:tc>
          <w:tcPr>
            <w:tcW w:w="1400" w:type="dxa"/>
            <w:noWrap/>
            <w:hideMark/>
          </w:tcPr>
          <w:p w14:paraId="6B640388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47,450</w:t>
            </w:r>
          </w:p>
        </w:tc>
        <w:tc>
          <w:tcPr>
            <w:tcW w:w="1400" w:type="dxa"/>
            <w:noWrap/>
            <w:hideMark/>
          </w:tcPr>
          <w:p w14:paraId="76E86683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-1,422</w:t>
            </w:r>
          </w:p>
        </w:tc>
        <w:tc>
          <w:tcPr>
            <w:tcW w:w="1400" w:type="dxa"/>
            <w:noWrap/>
            <w:hideMark/>
          </w:tcPr>
          <w:p w14:paraId="4CB1999D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-2.9%</w:t>
            </w:r>
          </w:p>
        </w:tc>
        <w:tc>
          <w:tcPr>
            <w:tcW w:w="1400" w:type="dxa"/>
            <w:noWrap/>
            <w:hideMark/>
          </w:tcPr>
          <w:p w14:paraId="545EF6C6" w14:textId="5BAF3B5C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-11.3%</w:t>
            </w:r>
          </w:p>
        </w:tc>
      </w:tr>
      <w:tr w:rsidR="002B6ED8" w:rsidRPr="00B00B37" w14:paraId="5FBF7C13" w14:textId="77777777" w:rsidTr="007928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D56F070" w14:textId="77777777" w:rsidR="002B6ED8" w:rsidRPr="00B00B37" w:rsidRDefault="002B6ED8" w:rsidP="002B6ED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16-24 years</w:t>
            </w:r>
          </w:p>
        </w:tc>
        <w:tc>
          <w:tcPr>
            <w:tcW w:w="1399" w:type="dxa"/>
            <w:noWrap/>
            <w:hideMark/>
          </w:tcPr>
          <w:p w14:paraId="7B52CB68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lang w:eastAsia="en-GB"/>
              </w:rPr>
              <w:t>21,132</w:t>
            </w:r>
          </w:p>
        </w:tc>
        <w:tc>
          <w:tcPr>
            <w:tcW w:w="1400" w:type="dxa"/>
            <w:noWrap/>
            <w:hideMark/>
          </w:tcPr>
          <w:p w14:paraId="32524300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24,385</w:t>
            </w:r>
          </w:p>
        </w:tc>
        <w:tc>
          <w:tcPr>
            <w:tcW w:w="1400" w:type="dxa"/>
            <w:noWrap/>
            <w:hideMark/>
          </w:tcPr>
          <w:p w14:paraId="18E13856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3,253</w:t>
            </w:r>
          </w:p>
        </w:tc>
        <w:tc>
          <w:tcPr>
            <w:tcW w:w="1400" w:type="dxa"/>
            <w:noWrap/>
            <w:hideMark/>
          </w:tcPr>
          <w:p w14:paraId="133AECD9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15.4%</w:t>
            </w:r>
          </w:p>
        </w:tc>
        <w:tc>
          <w:tcPr>
            <w:tcW w:w="1400" w:type="dxa"/>
            <w:noWrap/>
            <w:hideMark/>
          </w:tcPr>
          <w:p w14:paraId="569CFDBF" w14:textId="487F017C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-0.1%</w:t>
            </w:r>
          </w:p>
        </w:tc>
      </w:tr>
      <w:tr w:rsidR="002B6ED8" w:rsidRPr="00B00B37" w14:paraId="53132CA2" w14:textId="77777777" w:rsidTr="007928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007D020" w14:textId="77777777" w:rsidR="002B6ED8" w:rsidRPr="00B00B37" w:rsidRDefault="002B6ED8" w:rsidP="002B6ED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25-49 years</w:t>
            </w:r>
          </w:p>
        </w:tc>
        <w:tc>
          <w:tcPr>
            <w:tcW w:w="1399" w:type="dxa"/>
            <w:noWrap/>
            <w:hideMark/>
          </w:tcPr>
          <w:p w14:paraId="56C832B1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lang w:eastAsia="en-GB"/>
              </w:rPr>
              <w:t>72,155</w:t>
            </w:r>
          </w:p>
        </w:tc>
        <w:tc>
          <w:tcPr>
            <w:tcW w:w="1400" w:type="dxa"/>
            <w:noWrap/>
            <w:hideMark/>
          </w:tcPr>
          <w:p w14:paraId="594D8CB0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76,934</w:t>
            </w:r>
          </w:p>
        </w:tc>
        <w:tc>
          <w:tcPr>
            <w:tcW w:w="1400" w:type="dxa"/>
            <w:noWrap/>
            <w:hideMark/>
          </w:tcPr>
          <w:p w14:paraId="0F1B145B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4,779</w:t>
            </w:r>
          </w:p>
        </w:tc>
        <w:tc>
          <w:tcPr>
            <w:tcW w:w="1400" w:type="dxa"/>
            <w:noWrap/>
            <w:hideMark/>
          </w:tcPr>
          <w:p w14:paraId="1CE8A76D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6.6%</w:t>
            </w:r>
          </w:p>
        </w:tc>
        <w:tc>
          <w:tcPr>
            <w:tcW w:w="1400" w:type="dxa"/>
            <w:noWrap/>
            <w:hideMark/>
          </w:tcPr>
          <w:p w14:paraId="246BB533" w14:textId="0FB5C5E1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-4.4%</w:t>
            </w:r>
          </w:p>
        </w:tc>
      </w:tr>
      <w:tr w:rsidR="002B6ED8" w:rsidRPr="00B00B37" w14:paraId="0AC38358" w14:textId="77777777" w:rsidTr="007928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1A42B27" w14:textId="77777777" w:rsidR="002B6ED8" w:rsidRPr="00B00B37" w:rsidRDefault="002B6ED8" w:rsidP="002B6ED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50-64 years</w:t>
            </w:r>
          </w:p>
        </w:tc>
        <w:tc>
          <w:tcPr>
            <w:tcW w:w="1399" w:type="dxa"/>
            <w:noWrap/>
            <w:hideMark/>
          </w:tcPr>
          <w:p w14:paraId="32184B04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lang w:eastAsia="en-GB"/>
              </w:rPr>
              <w:t>40,906</w:t>
            </w:r>
          </w:p>
        </w:tc>
        <w:tc>
          <w:tcPr>
            <w:tcW w:w="1400" w:type="dxa"/>
            <w:noWrap/>
            <w:hideMark/>
          </w:tcPr>
          <w:p w14:paraId="690295BE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46,569</w:t>
            </w:r>
          </w:p>
        </w:tc>
        <w:tc>
          <w:tcPr>
            <w:tcW w:w="1400" w:type="dxa"/>
            <w:noWrap/>
            <w:hideMark/>
          </w:tcPr>
          <w:p w14:paraId="23378A31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5,663</w:t>
            </w:r>
          </w:p>
        </w:tc>
        <w:tc>
          <w:tcPr>
            <w:tcW w:w="1400" w:type="dxa"/>
            <w:noWrap/>
            <w:hideMark/>
          </w:tcPr>
          <w:p w14:paraId="24BD506B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13.8%</w:t>
            </w:r>
          </w:p>
        </w:tc>
        <w:tc>
          <w:tcPr>
            <w:tcW w:w="1400" w:type="dxa"/>
            <w:noWrap/>
            <w:hideMark/>
          </w:tcPr>
          <w:p w14:paraId="0DC2F1D0" w14:textId="63C886F5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1.2%</w:t>
            </w:r>
          </w:p>
        </w:tc>
      </w:tr>
      <w:tr w:rsidR="002B6ED8" w:rsidRPr="00B00B37" w14:paraId="595A334F" w14:textId="77777777" w:rsidTr="007928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9928517" w14:textId="77777777" w:rsidR="002B6ED8" w:rsidRPr="00B00B37" w:rsidRDefault="002B6ED8" w:rsidP="002B6ED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65 and over</w:t>
            </w:r>
          </w:p>
        </w:tc>
        <w:tc>
          <w:tcPr>
            <w:tcW w:w="1399" w:type="dxa"/>
            <w:noWrap/>
            <w:hideMark/>
          </w:tcPr>
          <w:p w14:paraId="550866B8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lang w:eastAsia="en-GB"/>
              </w:rPr>
              <w:t>34,167</w:t>
            </w:r>
          </w:p>
        </w:tc>
        <w:tc>
          <w:tcPr>
            <w:tcW w:w="1400" w:type="dxa"/>
            <w:noWrap/>
            <w:hideMark/>
          </w:tcPr>
          <w:p w14:paraId="3E5996DB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55,532</w:t>
            </w:r>
          </w:p>
        </w:tc>
        <w:tc>
          <w:tcPr>
            <w:tcW w:w="1400" w:type="dxa"/>
            <w:noWrap/>
            <w:hideMark/>
          </w:tcPr>
          <w:p w14:paraId="0DFD2C9F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21,365</w:t>
            </w:r>
          </w:p>
        </w:tc>
        <w:tc>
          <w:tcPr>
            <w:tcW w:w="1400" w:type="dxa"/>
            <w:noWrap/>
            <w:hideMark/>
          </w:tcPr>
          <w:p w14:paraId="44A59A2A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62.5%</w:t>
            </w:r>
          </w:p>
        </w:tc>
        <w:tc>
          <w:tcPr>
            <w:tcW w:w="1400" w:type="dxa"/>
            <w:noWrap/>
            <w:hideMark/>
          </w:tcPr>
          <w:p w14:paraId="20182543" w14:textId="3988411E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50.5%</w:t>
            </w:r>
          </w:p>
        </w:tc>
      </w:tr>
      <w:tr w:rsidR="002B6ED8" w:rsidRPr="00B00B37" w14:paraId="05E23283" w14:textId="77777777" w:rsidTr="007928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46F51D6" w14:textId="77777777" w:rsidR="002B6ED8" w:rsidRPr="00B00B37" w:rsidRDefault="002B6ED8" w:rsidP="002B6ED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1399" w:type="dxa"/>
            <w:noWrap/>
            <w:hideMark/>
          </w:tcPr>
          <w:p w14:paraId="6DA36D69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217,232</w:t>
            </w:r>
          </w:p>
        </w:tc>
        <w:tc>
          <w:tcPr>
            <w:tcW w:w="1400" w:type="dxa"/>
            <w:noWrap/>
            <w:hideMark/>
          </w:tcPr>
          <w:p w14:paraId="31A939ED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250,870</w:t>
            </w:r>
          </w:p>
        </w:tc>
        <w:tc>
          <w:tcPr>
            <w:tcW w:w="1400" w:type="dxa"/>
            <w:noWrap/>
            <w:hideMark/>
          </w:tcPr>
          <w:p w14:paraId="441FF86A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33,638</w:t>
            </w:r>
          </w:p>
        </w:tc>
        <w:tc>
          <w:tcPr>
            <w:tcW w:w="1400" w:type="dxa"/>
            <w:noWrap/>
            <w:hideMark/>
          </w:tcPr>
          <w:p w14:paraId="1989C0A5" w14:textId="77777777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00B3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15.5%</w:t>
            </w:r>
          </w:p>
        </w:tc>
        <w:tc>
          <w:tcPr>
            <w:tcW w:w="1400" w:type="dxa"/>
            <w:noWrap/>
            <w:hideMark/>
          </w:tcPr>
          <w:p w14:paraId="54B02E04" w14:textId="462DA8F4" w:rsidR="002B6ED8" w:rsidRPr="00B00B37" w:rsidRDefault="002B6ED8" w:rsidP="002B6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4.9%</w:t>
            </w:r>
          </w:p>
        </w:tc>
      </w:tr>
    </w:tbl>
    <w:p w14:paraId="40147CCA" w14:textId="340BC434" w:rsidR="009B4079" w:rsidRPr="002A2185" w:rsidRDefault="003647E4" w:rsidP="009B407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Table 1: </w:t>
      </w:r>
      <w:r w:rsidR="002E1FFF">
        <w:rPr>
          <w:i/>
          <w:sz w:val="20"/>
          <w:szCs w:val="20"/>
        </w:rPr>
        <w:t xml:space="preserve">Population </w:t>
      </w:r>
      <w:r>
        <w:rPr>
          <w:i/>
          <w:sz w:val="20"/>
          <w:szCs w:val="20"/>
        </w:rPr>
        <w:t>c</w:t>
      </w:r>
      <w:r w:rsidR="00703AD1">
        <w:rPr>
          <w:i/>
          <w:sz w:val="20"/>
          <w:szCs w:val="20"/>
        </w:rPr>
        <w:t>hanges</w:t>
      </w:r>
      <w:r w:rsidR="004903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b</w:t>
      </w:r>
      <w:r w:rsidR="004903E5">
        <w:rPr>
          <w:i/>
          <w:sz w:val="20"/>
          <w:szCs w:val="20"/>
        </w:rPr>
        <w:t>etween 20</w:t>
      </w:r>
      <w:r w:rsidR="0067542F">
        <w:rPr>
          <w:i/>
          <w:sz w:val="20"/>
          <w:szCs w:val="20"/>
        </w:rPr>
        <w:t>20</w:t>
      </w:r>
      <w:r w:rsidR="004903E5">
        <w:rPr>
          <w:i/>
          <w:sz w:val="20"/>
          <w:szCs w:val="20"/>
        </w:rPr>
        <w:t xml:space="preserve"> and 204</w:t>
      </w:r>
      <w:r w:rsidR="0067542F">
        <w:rPr>
          <w:i/>
          <w:sz w:val="20"/>
          <w:szCs w:val="20"/>
        </w:rPr>
        <w:t>3</w:t>
      </w:r>
      <w:r w:rsidR="002E1FFF">
        <w:rPr>
          <w:i/>
          <w:sz w:val="20"/>
          <w:szCs w:val="20"/>
        </w:rPr>
        <w:t xml:space="preserve"> for Armagh City, Banbridge and Craigavon</w:t>
      </w:r>
      <w:r w:rsidR="00703AD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Borough </w:t>
      </w:r>
      <w:r w:rsidR="00703AD1">
        <w:rPr>
          <w:i/>
          <w:sz w:val="20"/>
          <w:szCs w:val="20"/>
        </w:rPr>
        <w:t>and Northern Ireland</w:t>
      </w:r>
      <w:r w:rsidR="002E1FFF" w:rsidRPr="002A2185">
        <w:rPr>
          <w:i/>
          <w:sz w:val="20"/>
          <w:szCs w:val="20"/>
        </w:rPr>
        <w:t>. Source:</w:t>
      </w:r>
      <w:r w:rsidR="002E1FFF">
        <w:rPr>
          <w:i/>
          <w:sz w:val="20"/>
          <w:szCs w:val="20"/>
        </w:rPr>
        <w:t xml:space="preserve"> 20</w:t>
      </w:r>
      <w:r w:rsidR="0067542F">
        <w:rPr>
          <w:i/>
          <w:sz w:val="20"/>
          <w:szCs w:val="20"/>
        </w:rPr>
        <w:t>20</w:t>
      </w:r>
      <w:r w:rsidR="002E1FFF">
        <w:rPr>
          <w:i/>
          <w:sz w:val="20"/>
          <w:szCs w:val="20"/>
        </w:rPr>
        <w:t xml:space="preserve"> Mid-Year Population Estimates and 201</w:t>
      </w:r>
      <w:r w:rsidR="0067542F">
        <w:rPr>
          <w:i/>
          <w:sz w:val="20"/>
          <w:szCs w:val="20"/>
        </w:rPr>
        <w:t>8</w:t>
      </w:r>
      <w:r w:rsidR="002E1FFF">
        <w:rPr>
          <w:i/>
          <w:sz w:val="20"/>
          <w:szCs w:val="20"/>
        </w:rPr>
        <w:t xml:space="preserve"> Based Population Projections, NISRA</w:t>
      </w:r>
      <w:r w:rsidR="002E1FFF" w:rsidRPr="002A2185">
        <w:rPr>
          <w:i/>
          <w:sz w:val="20"/>
          <w:szCs w:val="20"/>
        </w:rPr>
        <w:t>.</w:t>
      </w:r>
    </w:p>
    <w:p w14:paraId="6D041FAE" w14:textId="75823C0B" w:rsidR="00E64F58" w:rsidRPr="009B712C" w:rsidRDefault="008F1556" w:rsidP="003A7285">
      <w:r w:rsidRPr="009B712C">
        <w:lastRenderedPageBreak/>
        <w:t>The age profile of the borough is projected to change between 20</w:t>
      </w:r>
      <w:r w:rsidR="0067542F" w:rsidRPr="009B712C">
        <w:t>20</w:t>
      </w:r>
      <w:r w:rsidRPr="009B712C">
        <w:t xml:space="preserve"> and 204</w:t>
      </w:r>
      <w:r w:rsidR="0067542F" w:rsidRPr="009B712C">
        <w:t>3</w:t>
      </w:r>
      <w:r w:rsidRPr="009B712C">
        <w:t xml:space="preserve"> with an ageing population. It is pr</w:t>
      </w:r>
      <w:r w:rsidR="00D46075" w:rsidRPr="009B712C">
        <w:t>ojected that in 2033, the proportion</w:t>
      </w:r>
      <w:r w:rsidRPr="009B712C">
        <w:t xml:space="preserve"> of older people in the borough (those aged 65 and over)</w:t>
      </w:r>
      <w:r w:rsidR="00D46075" w:rsidRPr="009B712C">
        <w:t xml:space="preserve"> will be higher than the proportion of children (those aged 15 and under). The proportion of those aged 65 and over is</w:t>
      </w:r>
      <w:r w:rsidR="0067542F" w:rsidRPr="009B712C">
        <w:t xml:space="preserve"> projected to increase from 15.7</w:t>
      </w:r>
      <w:r w:rsidR="00D46075" w:rsidRPr="009B712C">
        <w:t>% in 20</w:t>
      </w:r>
      <w:r w:rsidR="0067542F" w:rsidRPr="009B712C">
        <w:t>20 to 22.1</w:t>
      </w:r>
      <w:r w:rsidR="00D46075" w:rsidRPr="009B712C">
        <w:t>% in 204</w:t>
      </w:r>
      <w:r w:rsidR="0067542F" w:rsidRPr="009B712C">
        <w:t>3</w:t>
      </w:r>
      <w:r w:rsidR="00D46075" w:rsidRPr="009B712C">
        <w:t>. The proportion of those aged under 16 is projected to decrease from 22.5% in 20</w:t>
      </w:r>
      <w:r w:rsidR="009B712C" w:rsidRPr="009B712C">
        <w:t>20</w:t>
      </w:r>
      <w:r w:rsidR="00D46075" w:rsidRPr="009B712C">
        <w:t xml:space="preserve"> to </w:t>
      </w:r>
      <w:r w:rsidR="009B712C" w:rsidRPr="009B712C">
        <w:t>18.9% in 2043</w:t>
      </w:r>
      <w:r w:rsidR="00D46075" w:rsidRPr="009B712C">
        <w:t>.</w:t>
      </w:r>
    </w:p>
    <w:tbl>
      <w:tblPr>
        <w:tblStyle w:val="GridTable1Light"/>
        <w:tblW w:w="9544" w:type="dxa"/>
        <w:tblLayout w:type="fixed"/>
        <w:tblLook w:val="04A0" w:firstRow="1" w:lastRow="0" w:firstColumn="1" w:lastColumn="0" w:noHBand="0" w:noVBand="1"/>
        <w:tblCaption w:val="Age Profile of Armagh City, Banbridge and Craigavon Borough 2020, 2033 and 2043"/>
        <w:tblDescription w:val="Table showing the age profile of ABC both number and % for 2020, 2033 and 2043"/>
      </w:tblPr>
      <w:tblGrid>
        <w:gridCol w:w="1389"/>
        <w:gridCol w:w="1359"/>
        <w:gridCol w:w="1359"/>
        <w:gridCol w:w="1359"/>
        <w:gridCol w:w="1359"/>
        <w:gridCol w:w="1359"/>
        <w:gridCol w:w="1360"/>
      </w:tblGrid>
      <w:tr w:rsidR="0067542F" w:rsidRPr="0067542F" w14:paraId="3CAA5C57" w14:textId="77777777" w:rsidTr="00AB0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5BB6A40B" w14:textId="77777777" w:rsidR="0079282F" w:rsidRDefault="0079282F" w:rsidP="0067542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ADCEDC1" w14:textId="36970C10" w:rsidR="0067542F" w:rsidRPr="0067542F" w:rsidRDefault="0067542F" w:rsidP="0067542F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Age Group</w:t>
            </w:r>
          </w:p>
        </w:tc>
        <w:tc>
          <w:tcPr>
            <w:tcW w:w="1359" w:type="dxa"/>
            <w:noWrap/>
            <w:hideMark/>
          </w:tcPr>
          <w:p w14:paraId="22044AF8" w14:textId="77777777" w:rsidR="0079282F" w:rsidRDefault="0079282F" w:rsidP="00675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899C6D3" w14:textId="4CA2F0FF" w:rsidR="0067542F" w:rsidRPr="0067542F" w:rsidRDefault="0067542F" w:rsidP="00675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1359" w:type="dxa"/>
            <w:noWrap/>
            <w:hideMark/>
          </w:tcPr>
          <w:p w14:paraId="65E9549D" w14:textId="77777777" w:rsidR="0079282F" w:rsidRDefault="0079282F" w:rsidP="00675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E6D71F4" w14:textId="66019621" w:rsidR="0067542F" w:rsidRPr="0067542F" w:rsidRDefault="0067542F" w:rsidP="00675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359" w:type="dxa"/>
            <w:hideMark/>
          </w:tcPr>
          <w:p w14:paraId="5BCE7402" w14:textId="77777777" w:rsidR="0079282F" w:rsidRDefault="0079282F" w:rsidP="00675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7B98DA8" w14:textId="7122B6DF" w:rsidR="0067542F" w:rsidRPr="0067542F" w:rsidRDefault="0067542F" w:rsidP="00675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2033</w:t>
            </w:r>
          </w:p>
        </w:tc>
        <w:tc>
          <w:tcPr>
            <w:tcW w:w="1359" w:type="dxa"/>
            <w:hideMark/>
          </w:tcPr>
          <w:p w14:paraId="39BED12B" w14:textId="77777777" w:rsidR="0079282F" w:rsidRDefault="0079282F" w:rsidP="00675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47C5514" w14:textId="606264B8" w:rsidR="0067542F" w:rsidRPr="0067542F" w:rsidRDefault="0067542F" w:rsidP="00675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359" w:type="dxa"/>
            <w:noWrap/>
            <w:hideMark/>
          </w:tcPr>
          <w:p w14:paraId="66DD8073" w14:textId="77777777" w:rsidR="0079282F" w:rsidRDefault="0079282F" w:rsidP="00675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0D89B16" w14:textId="39149D26" w:rsidR="0067542F" w:rsidRPr="0067542F" w:rsidRDefault="0067542F" w:rsidP="00675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2043</w:t>
            </w:r>
          </w:p>
        </w:tc>
        <w:tc>
          <w:tcPr>
            <w:tcW w:w="1360" w:type="dxa"/>
            <w:noWrap/>
            <w:hideMark/>
          </w:tcPr>
          <w:p w14:paraId="6F86F796" w14:textId="77777777" w:rsidR="0079282F" w:rsidRDefault="0079282F" w:rsidP="00675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0C26507" w14:textId="7EE9EF1C" w:rsidR="0067542F" w:rsidRPr="0067542F" w:rsidRDefault="0067542F" w:rsidP="00675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67542F" w:rsidRPr="0067542F" w14:paraId="2660ADD1" w14:textId="77777777" w:rsidTr="0079282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6EA5422E" w14:textId="77777777" w:rsidR="0067542F" w:rsidRPr="0067542F" w:rsidRDefault="0067542F" w:rsidP="0067542F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n-GB"/>
              </w:rPr>
            </w:pPr>
            <w:r w:rsidRPr="0067542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 – 15 years</w:t>
            </w:r>
          </w:p>
        </w:tc>
        <w:tc>
          <w:tcPr>
            <w:tcW w:w="1359" w:type="dxa"/>
            <w:noWrap/>
            <w:hideMark/>
          </w:tcPr>
          <w:p w14:paraId="54E8DC71" w14:textId="77777777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48,872</w:t>
            </w:r>
          </w:p>
        </w:tc>
        <w:tc>
          <w:tcPr>
            <w:tcW w:w="1359" w:type="dxa"/>
            <w:noWrap/>
            <w:hideMark/>
          </w:tcPr>
          <w:p w14:paraId="045DAD1A" w14:textId="659CD8A8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22.5%</w:t>
            </w:r>
          </w:p>
        </w:tc>
        <w:tc>
          <w:tcPr>
            <w:tcW w:w="1359" w:type="dxa"/>
            <w:hideMark/>
          </w:tcPr>
          <w:p w14:paraId="18C66DF4" w14:textId="77777777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46,148</w:t>
            </w:r>
          </w:p>
        </w:tc>
        <w:tc>
          <w:tcPr>
            <w:tcW w:w="1359" w:type="dxa"/>
            <w:noWrap/>
            <w:hideMark/>
          </w:tcPr>
          <w:p w14:paraId="0F74E344" w14:textId="148C64C0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19.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359" w:type="dxa"/>
            <w:noWrap/>
            <w:hideMark/>
          </w:tcPr>
          <w:p w14:paraId="123F4EF8" w14:textId="77777777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47,450</w:t>
            </w:r>
          </w:p>
        </w:tc>
        <w:tc>
          <w:tcPr>
            <w:tcW w:w="1360" w:type="dxa"/>
            <w:noWrap/>
            <w:hideMark/>
          </w:tcPr>
          <w:p w14:paraId="21C53A77" w14:textId="57329117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18.9</w:t>
            </w: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67542F" w:rsidRPr="0067542F" w14:paraId="0BCAAEB5" w14:textId="77777777" w:rsidTr="0079282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65F8E272" w14:textId="77777777" w:rsidR="0067542F" w:rsidRPr="0067542F" w:rsidRDefault="0067542F" w:rsidP="0067542F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n-GB"/>
              </w:rPr>
            </w:pPr>
            <w:r w:rsidRPr="0067542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– 24 years</w:t>
            </w:r>
          </w:p>
        </w:tc>
        <w:tc>
          <w:tcPr>
            <w:tcW w:w="1359" w:type="dxa"/>
            <w:noWrap/>
            <w:hideMark/>
          </w:tcPr>
          <w:p w14:paraId="1814201C" w14:textId="77777777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lang w:eastAsia="en-GB"/>
              </w:rPr>
              <w:t>21,132</w:t>
            </w:r>
          </w:p>
        </w:tc>
        <w:tc>
          <w:tcPr>
            <w:tcW w:w="1359" w:type="dxa"/>
            <w:noWrap/>
            <w:hideMark/>
          </w:tcPr>
          <w:p w14:paraId="57208CD7" w14:textId="6AB5ACD8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9.7</w:t>
            </w: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359" w:type="dxa"/>
            <w:hideMark/>
          </w:tcPr>
          <w:p w14:paraId="16C7F690" w14:textId="77777777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26,539</w:t>
            </w:r>
          </w:p>
        </w:tc>
        <w:tc>
          <w:tcPr>
            <w:tcW w:w="1359" w:type="dxa"/>
            <w:noWrap/>
            <w:hideMark/>
          </w:tcPr>
          <w:p w14:paraId="104ABFB7" w14:textId="0E6F4C71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11.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359" w:type="dxa"/>
            <w:noWrap/>
            <w:hideMark/>
          </w:tcPr>
          <w:p w14:paraId="1EA99B4F" w14:textId="77777777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24,385</w:t>
            </w:r>
          </w:p>
        </w:tc>
        <w:tc>
          <w:tcPr>
            <w:tcW w:w="1360" w:type="dxa"/>
            <w:noWrap/>
            <w:hideMark/>
          </w:tcPr>
          <w:p w14:paraId="6BB7F8A4" w14:textId="78624DDD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9.7</w:t>
            </w: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67542F" w:rsidRPr="0067542F" w14:paraId="1552D8E0" w14:textId="77777777" w:rsidTr="0079282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799D046E" w14:textId="77777777" w:rsidR="0067542F" w:rsidRPr="0067542F" w:rsidRDefault="0067542F" w:rsidP="0067542F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n-GB"/>
              </w:rPr>
            </w:pPr>
            <w:r w:rsidRPr="0067542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25 – 49 years</w:t>
            </w:r>
          </w:p>
        </w:tc>
        <w:tc>
          <w:tcPr>
            <w:tcW w:w="1359" w:type="dxa"/>
            <w:noWrap/>
            <w:hideMark/>
          </w:tcPr>
          <w:p w14:paraId="17BFF663" w14:textId="77777777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lang w:eastAsia="en-GB"/>
              </w:rPr>
              <w:t>72,155</w:t>
            </w:r>
          </w:p>
        </w:tc>
        <w:tc>
          <w:tcPr>
            <w:tcW w:w="1359" w:type="dxa"/>
            <w:noWrap/>
            <w:hideMark/>
          </w:tcPr>
          <w:p w14:paraId="3A5BE259" w14:textId="324F3DFB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33.2</w:t>
            </w: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359" w:type="dxa"/>
            <w:hideMark/>
          </w:tcPr>
          <w:p w14:paraId="72073484" w14:textId="77777777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74,541</w:t>
            </w:r>
          </w:p>
        </w:tc>
        <w:tc>
          <w:tcPr>
            <w:tcW w:w="1359" w:type="dxa"/>
            <w:noWrap/>
            <w:hideMark/>
          </w:tcPr>
          <w:p w14:paraId="19769109" w14:textId="52B67A89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31.3</w:t>
            </w: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359" w:type="dxa"/>
            <w:noWrap/>
            <w:hideMark/>
          </w:tcPr>
          <w:p w14:paraId="74A6BB17" w14:textId="77777777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76,934</w:t>
            </w:r>
          </w:p>
        </w:tc>
        <w:tc>
          <w:tcPr>
            <w:tcW w:w="1360" w:type="dxa"/>
            <w:noWrap/>
            <w:hideMark/>
          </w:tcPr>
          <w:p w14:paraId="3B6463BB" w14:textId="016C7421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30.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67542F" w:rsidRPr="0067542F" w14:paraId="0B5A094A" w14:textId="77777777" w:rsidTr="0079282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2656B7FB" w14:textId="77777777" w:rsidR="0067542F" w:rsidRPr="0067542F" w:rsidRDefault="0067542F" w:rsidP="0067542F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n-GB"/>
              </w:rPr>
            </w:pPr>
            <w:r w:rsidRPr="0067542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 – 64 years</w:t>
            </w:r>
          </w:p>
        </w:tc>
        <w:tc>
          <w:tcPr>
            <w:tcW w:w="1359" w:type="dxa"/>
            <w:noWrap/>
            <w:hideMark/>
          </w:tcPr>
          <w:p w14:paraId="67DCF145" w14:textId="77777777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lang w:eastAsia="en-GB"/>
              </w:rPr>
              <w:t>40,906</w:t>
            </w:r>
          </w:p>
        </w:tc>
        <w:tc>
          <w:tcPr>
            <w:tcW w:w="1359" w:type="dxa"/>
            <w:noWrap/>
            <w:hideMark/>
          </w:tcPr>
          <w:p w14:paraId="2220E326" w14:textId="0AA7C880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18.8</w:t>
            </w: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359" w:type="dxa"/>
            <w:hideMark/>
          </w:tcPr>
          <w:p w14:paraId="62B6DEAD" w14:textId="77777777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43,025</w:t>
            </w:r>
          </w:p>
        </w:tc>
        <w:tc>
          <w:tcPr>
            <w:tcW w:w="1359" w:type="dxa"/>
            <w:noWrap/>
            <w:hideMark/>
          </w:tcPr>
          <w:p w14:paraId="1C8983B1" w14:textId="47E7EA24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18.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359" w:type="dxa"/>
            <w:noWrap/>
            <w:hideMark/>
          </w:tcPr>
          <w:p w14:paraId="628DE5E8" w14:textId="77777777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46,569</w:t>
            </w:r>
          </w:p>
        </w:tc>
        <w:tc>
          <w:tcPr>
            <w:tcW w:w="1360" w:type="dxa"/>
            <w:noWrap/>
            <w:hideMark/>
          </w:tcPr>
          <w:p w14:paraId="78B9CF7E" w14:textId="6ACFEA8B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18.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67542F" w:rsidRPr="0067542F" w14:paraId="16C28A1E" w14:textId="77777777" w:rsidTr="0079282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182320BF" w14:textId="77777777" w:rsidR="0067542F" w:rsidRPr="0067542F" w:rsidRDefault="0067542F" w:rsidP="0067542F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n-GB"/>
              </w:rPr>
            </w:pPr>
            <w:r w:rsidRPr="0067542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65 and over</w:t>
            </w:r>
          </w:p>
        </w:tc>
        <w:tc>
          <w:tcPr>
            <w:tcW w:w="1359" w:type="dxa"/>
            <w:noWrap/>
            <w:hideMark/>
          </w:tcPr>
          <w:p w14:paraId="16ABF018" w14:textId="77777777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lang w:eastAsia="en-GB"/>
              </w:rPr>
              <w:t>34,167</w:t>
            </w:r>
          </w:p>
        </w:tc>
        <w:tc>
          <w:tcPr>
            <w:tcW w:w="1359" w:type="dxa"/>
            <w:noWrap/>
            <w:hideMark/>
          </w:tcPr>
          <w:p w14:paraId="5D267EBE" w14:textId="2D36A7DF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15.7</w:t>
            </w: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359" w:type="dxa"/>
            <w:hideMark/>
          </w:tcPr>
          <w:p w14:paraId="28D91771" w14:textId="77777777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47,813</w:t>
            </w:r>
          </w:p>
        </w:tc>
        <w:tc>
          <w:tcPr>
            <w:tcW w:w="1359" w:type="dxa"/>
            <w:noWrap/>
            <w:hideMark/>
          </w:tcPr>
          <w:p w14:paraId="2B650A6A" w14:textId="000D3ED9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20.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359" w:type="dxa"/>
            <w:noWrap/>
            <w:hideMark/>
          </w:tcPr>
          <w:p w14:paraId="5E4D5F78" w14:textId="77777777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55,532</w:t>
            </w:r>
          </w:p>
        </w:tc>
        <w:tc>
          <w:tcPr>
            <w:tcW w:w="1360" w:type="dxa"/>
            <w:noWrap/>
            <w:hideMark/>
          </w:tcPr>
          <w:p w14:paraId="59546C10" w14:textId="10E18432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22.1%</w:t>
            </w:r>
          </w:p>
        </w:tc>
      </w:tr>
      <w:tr w:rsidR="0067542F" w:rsidRPr="0067542F" w14:paraId="74B4D714" w14:textId="77777777" w:rsidTr="0079282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hideMark/>
          </w:tcPr>
          <w:p w14:paraId="40394E61" w14:textId="77777777" w:rsidR="0067542F" w:rsidRPr="0067542F" w:rsidRDefault="0067542F" w:rsidP="0067542F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en-GB"/>
              </w:rPr>
            </w:pPr>
            <w:r w:rsidRPr="0067542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Total </w:t>
            </w:r>
          </w:p>
        </w:tc>
        <w:tc>
          <w:tcPr>
            <w:tcW w:w="1359" w:type="dxa"/>
            <w:noWrap/>
            <w:hideMark/>
          </w:tcPr>
          <w:p w14:paraId="7180C2E4" w14:textId="77777777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217,232</w:t>
            </w:r>
          </w:p>
        </w:tc>
        <w:tc>
          <w:tcPr>
            <w:tcW w:w="1359" w:type="dxa"/>
            <w:noWrap/>
            <w:hideMark/>
          </w:tcPr>
          <w:p w14:paraId="73C194FE" w14:textId="53E36135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100.0</w:t>
            </w: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359" w:type="dxa"/>
            <w:hideMark/>
          </w:tcPr>
          <w:p w14:paraId="647DD154" w14:textId="77777777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238,066</w:t>
            </w:r>
          </w:p>
        </w:tc>
        <w:tc>
          <w:tcPr>
            <w:tcW w:w="1359" w:type="dxa"/>
            <w:noWrap/>
            <w:hideMark/>
          </w:tcPr>
          <w:p w14:paraId="49D46380" w14:textId="5A1A9117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100.0</w:t>
            </w: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359" w:type="dxa"/>
            <w:noWrap/>
            <w:hideMark/>
          </w:tcPr>
          <w:p w14:paraId="73F9F31F" w14:textId="77777777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250,870</w:t>
            </w:r>
          </w:p>
        </w:tc>
        <w:tc>
          <w:tcPr>
            <w:tcW w:w="1360" w:type="dxa"/>
            <w:noWrap/>
            <w:hideMark/>
          </w:tcPr>
          <w:p w14:paraId="56F0F35B" w14:textId="5646DFFE" w:rsidR="0067542F" w:rsidRPr="0067542F" w:rsidRDefault="0067542F" w:rsidP="00675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100.0</w:t>
            </w:r>
            <w:r w:rsidRPr="0067542F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</w:tbl>
    <w:p w14:paraId="48145266" w14:textId="28FCFF6C" w:rsidR="003A7285" w:rsidRDefault="00D46075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2</w:t>
      </w:r>
      <w:r w:rsidR="003647E4">
        <w:rPr>
          <w:i/>
          <w:sz w:val="20"/>
          <w:szCs w:val="20"/>
        </w:rPr>
        <w:t>: Age p</w:t>
      </w:r>
      <w:r w:rsidR="009E4EA0">
        <w:rPr>
          <w:i/>
          <w:sz w:val="20"/>
          <w:szCs w:val="20"/>
        </w:rPr>
        <w:t>rofile</w:t>
      </w:r>
      <w:r w:rsidR="003647E4">
        <w:rPr>
          <w:i/>
          <w:sz w:val="20"/>
          <w:szCs w:val="20"/>
        </w:rPr>
        <w:t xml:space="preserve"> of</w:t>
      </w:r>
      <w:r>
        <w:rPr>
          <w:i/>
          <w:sz w:val="20"/>
          <w:szCs w:val="20"/>
        </w:rPr>
        <w:t xml:space="preserve"> Arma</w:t>
      </w:r>
      <w:r w:rsidR="003647E4">
        <w:rPr>
          <w:i/>
          <w:sz w:val="20"/>
          <w:szCs w:val="20"/>
        </w:rPr>
        <w:t>gh City, Banbridge and Craigavon Borough</w:t>
      </w:r>
      <w:r w:rsidR="009B712C">
        <w:rPr>
          <w:i/>
          <w:sz w:val="20"/>
          <w:szCs w:val="20"/>
        </w:rPr>
        <w:t xml:space="preserve"> 2020</w:t>
      </w:r>
      <w:r w:rsidR="009E4EA0">
        <w:rPr>
          <w:i/>
          <w:sz w:val="20"/>
          <w:szCs w:val="20"/>
        </w:rPr>
        <w:t>, 2033 and 204</w:t>
      </w:r>
      <w:r w:rsidR="009B712C">
        <w:rPr>
          <w:i/>
          <w:sz w:val="20"/>
          <w:szCs w:val="20"/>
        </w:rPr>
        <w:t>3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20</w:t>
      </w:r>
      <w:r w:rsidR="009B712C">
        <w:rPr>
          <w:i/>
          <w:sz w:val="20"/>
          <w:szCs w:val="20"/>
        </w:rPr>
        <w:t>20</w:t>
      </w:r>
      <w:r>
        <w:rPr>
          <w:i/>
          <w:sz w:val="20"/>
          <w:szCs w:val="20"/>
        </w:rPr>
        <w:t xml:space="preserve"> Mid-Year Population Estimates and 201</w:t>
      </w:r>
      <w:r w:rsidR="009B712C">
        <w:rPr>
          <w:i/>
          <w:sz w:val="20"/>
          <w:szCs w:val="20"/>
        </w:rPr>
        <w:t>8</w:t>
      </w:r>
      <w:r>
        <w:rPr>
          <w:i/>
          <w:sz w:val="20"/>
          <w:szCs w:val="20"/>
        </w:rPr>
        <w:t xml:space="preserve"> Based Population Projections, NISRA</w:t>
      </w:r>
      <w:r w:rsidRPr="002A2185">
        <w:rPr>
          <w:i/>
          <w:sz w:val="20"/>
          <w:szCs w:val="20"/>
        </w:rPr>
        <w:t>.</w:t>
      </w:r>
    </w:p>
    <w:p w14:paraId="6B9E2E8E" w14:textId="0F59F383" w:rsidR="00512F01" w:rsidRDefault="00512F01" w:rsidP="00EE6B9F"/>
    <w:p w14:paraId="69C389E9" w14:textId="43B7538D" w:rsidR="00E64F58" w:rsidRPr="00512F01" w:rsidRDefault="00512F01">
      <w:bookmarkStart w:id="0" w:name="_GoBack"/>
      <w:r>
        <w:rPr>
          <w:noProof/>
          <w:lang w:eastAsia="en-GB"/>
        </w:rPr>
        <w:drawing>
          <wp:inline distT="0" distB="0" distL="0" distR="0" wp14:anchorId="1BFAB471" wp14:editId="6D3EC6C3">
            <wp:extent cx="5731510" cy="3246120"/>
            <wp:effectExtent l="0" t="0" r="2540" b="11430"/>
            <wp:docPr id="7" name="Chart 7" descr="Line graph showing the estimates of population for children and older people between 2010-2020 and the projected decrease in the population of children and the projected increase in the population of older people to 2043" title="Population estimates and projections for Armagh City, Banbridge and Craigavon Borough for children and older people 2010-2043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  <w:r w:rsidR="00D46075">
        <w:rPr>
          <w:i/>
          <w:sz w:val="20"/>
          <w:szCs w:val="20"/>
        </w:rPr>
        <w:t>Figure 2</w:t>
      </w:r>
      <w:r w:rsidR="003647E4">
        <w:rPr>
          <w:i/>
          <w:sz w:val="20"/>
          <w:szCs w:val="20"/>
        </w:rPr>
        <w:t>: Population estimates and p</w:t>
      </w:r>
      <w:r w:rsidR="00D46075">
        <w:rPr>
          <w:i/>
          <w:sz w:val="20"/>
          <w:szCs w:val="20"/>
        </w:rPr>
        <w:t>rojections for Armagh City, Banbridge and Craigavon</w:t>
      </w:r>
      <w:r w:rsidR="003647E4">
        <w:rPr>
          <w:i/>
          <w:sz w:val="20"/>
          <w:szCs w:val="20"/>
        </w:rPr>
        <w:t xml:space="preserve"> Borough</w:t>
      </w:r>
      <w:r w:rsidR="00703AD1">
        <w:rPr>
          <w:i/>
          <w:sz w:val="20"/>
          <w:szCs w:val="20"/>
        </w:rPr>
        <w:t xml:space="preserve"> for </w:t>
      </w:r>
      <w:r w:rsidR="003647E4">
        <w:rPr>
          <w:i/>
          <w:sz w:val="20"/>
          <w:szCs w:val="20"/>
        </w:rPr>
        <w:t>c</w:t>
      </w:r>
      <w:r w:rsidR="00703AD1">
        <w:rPr>
          <w:i/>
          <w:sz w:val="20"/>
          <w:szCs w:val="20"/>
        </w:rPr>
        <w:t xml:space="preserve">hildren and </w:t>
      </w:r>
      <w:r w:rsidR="003647E4">
        <w:rPr>
          <w:i/>
          <w:sz w:val="20"/>
          <w:szCs w:val="20"/>
        </w:rPr>
        <w:t>older p</w:t>
      </w:r>
      <w:r w:rsidR="00703AD1">
        <w:rPr>
          <w:i/>
          <w:sz w:val="20"/>
          <w:szCs w:val="20"/>
        </w:rPr>
        <w:t>eople</w:t>
      </w:r>
      <w:r w:rsidR="004903E5">
        <w:rPr>
          <w:i/>
          <w:sz w:val="20"/>
          <w:szCs w:val="20"/>
        </w:rPr>
        <w:t xml:space="preserve"> 20</w:t>
      </w:r>
      <w:r w:rsidR="00EE6B9F">
        <w:rPr>
          <w:i/>
          <w:sz w:val="20"/>
          <w:szCs w:val="20"/>
        </w:rPr>
        <w:t>10</w:t>
      </w:r>
      <w:r w:rsidR="004903E5">
        <w:rPr>
          <w:i/>
          <w:sz w:val="20"/>
          <w:szCs w:val="20"/>
        </w:rPr>
        <w:t xml:space="preserve"> to 204</w:t>
      </w:r>
      <w:r w:rsidR="00EE6B9F">
        <w:rPr>
          <w:i/>
          <w:sz w:val="20"/>
          <w:szCs w:val="20"/>
        </w:rPr>
        <w:t>3</w:t>
      </w:r>
      <w:r w:rsidR="00D46075" w:rsidRPr="002A2185">
        <w:rPr>
          <w:i/>
          <w:sz w:val="20"/>
          <w:szCs w:val="20"/>
        </w:rPr>
        <w:t>. Source:</w:t>
      </w:r>
      <w:r w:rsidR="00D46075">
        <w:rPr>
          <w:i/>
          <w:sz w:val="20"/>
          <w:szCs w:val="20"/>
        </w:rPr>
        <w:t xml:space="preserve"> 20</w:t>
      </w:r>
      <w:r w:rsidR="00EE6B9F">
        <w:rPr>
          <w:i/>
          <w:sz w:val="20"/>
          <w:szCs w:val="20"/>
        </w:rPr>
        <w:t>20</w:t>
      </w:r>
      <w:r w:rsidR="00D46075">
        <w:rPr>
          <w:i/>
          <w:sz w:val="20"/>
          <w:szCs w:val="20"/>
        </w:rPr>
        <w:t xml:space="preserve"> Mid-Year Population Estimates and 201</w:t>
      </w:r>
      <w:r w:rsidR="00EE6B9F">
        <w:rPr>
          <w:i/>
          <w:sz w:val="20"/>
          <w:szCs w:val="20"/>
        </w:rPr>
        <w:t>8</w:t>
      </w:r>
      <w:r w:rsidR="00D46075">
        <w:rPr>
          <w:i/>
          <w:sz w:val="20"/>
          <w:szCs w:val="20"/>
        </w:rPr>
        <w:t xml:space="preserve"> Based Population Projections, NISRA</w:t>
      </w:r>
      <w:r w:rsidR="00D46075" w:rsidRPr="002A2185">
        <w:rPr>
          <w:i/>
          <w:sz w:val="20"/>
          <w:szCs w:val="20"/>
        </w:rPr>
        <w:t>.</w:t>
      </w:r>
    </w:p>
    <w:p w14:paraId="0D8E9FF7" w14:textId="77777777" w:rsidR="00FD7081" w:rsidRDefault="00FD7081"/>
    <w:p w14:paraId="339B84EC" w14:textId="6F256A31" w:rsidR="00FD7081" w:rsidRDefault="00FD7081">
      <w:r>
        <w:t>This is also illustrated in the follow</w:t>
      </w:r>
      <w:r w:rsidR="00F76FB4">
        <w:t>ing population pyramids for 2020</w:t>
      </w:r>
      <w:r>
        <w:t xml:space="preserve"> and 204</w:t>
      </w:r>
      <w:r w:rsidR="00F76FB4">
        <w:t>3</w:t>
      </w:r>
      <w:r>
        <w:t xml:space="preserve"> which shows the growth of older people, especially older males.</w:t>
      </w:r>
    </w:p>
    <w:p w14:paraId="7047226E" w14:textId="4C31D96B" w:rsidR="00C37B0B" w:rsidRDefault="00C37B0B" w:rsidP="003A7285"/>
    <w:p w14:paraId="17F0525D" w14:textId="6E7CC1DB" w:rsidR="00BB7CCB" w:rsidRDefault="0082675F" w:rsidP="00F76FB4">
      <w:pPr>
        <w:rPr>
          <w:i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0BD1D553" wp14:editId="7E87CFE5">
            <wp:extent cx="5867400" cy="3733800"/>
            <wp:effectExtent l="0" t="0" r="0" b="0"/>
            <wp:docPr id="2" name="Chart 2" descr="Stacked bar chart showing the percentage of the population by gender and 5-year age bands" title="2020 Population estimates by gender and age band for Armagh city, Banbridge and Craigavon Boroug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76FB4">
        <w:rPr>
          <w:i/>
          <w:sz w:val="20"/>
          <w:szCs w:val="20"/>
        </w:rPr>
        <w:t>Figure 3: 2020 Population estimates by gender and age band for Armagh City, Banbridge and Craigavon Borough</w:t>
      </w:r>
      <w:r w:rsidR="00F76FB4" w:rsidRPr="002A2185">
        <w:rPr>
          <w:i/>
          <w:sz w:val="20"/>
          <w:szCs w:val="20"/>
        </w:rPr>
        <w:t>. Source:</w:t>
      </w:r>
      <w:r w:rsidR="00F76FB4">
        <w:rPr>
          <w:i/>
          <w:sz w:val="20"/>
          <w:szCs w:val="20"/>
        </w:rPr>
        <w:t xml:space="preserve"> 2020 Mid-Year Population Estimates, NISRA</w:t>
      </w:r>
      <w:r w:rsidR="00F76FB4" w:rsidRPr="002A2185">
        <w:rPr>
          <w:i/>
          <w:sz w:val="20"/>
          <w:szCs w:val="20"/>
        </w:rPr>
        <w:t>.</w:t>
      </w:r>
    </w:p>
    <w:p w14:paraId="5D66B4CF" w14:textId="7E2676CA" w:rsidR="00187FB1" w:rsidRPr="002C0F10" w:rsidRDefault="00CC5879" w:rsidP="003A7285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3C4B1290" wp14:editId="0A732463">
            <wp:extent cx="5934075" cy="3781425"/>
            <wp:effectExtent l="0" t="0" r="9525" b="9525"/>
            <wp:docPr id="1" name="Chart 1" descr="Stacked bar chart showing the estimates for percentage of the population by gender and 5-year age bands in 2043" title="2043 Population projections by gender and age band for Armagh City, Banbridge and Craigavon Borough.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87FB1">
        <w:rPr>
          <w:i/>
          <w:sz w:val="20"/>
          <w:szCs w:val="20"/>
        </w:rPr>
        <w:t>Figure 4</w:t>
      </w:r>
      <w:r w:rsidR="003647E4">
        <w:rPr>
          <w:i/>
          <w:sz w:val="20"/>
          <w:szCs w:val="20"/>
        </w:rPr>
        <w:t>: 204</w:t>
      </w:r>
      <w:r w:rsidR="00F76FB4">
        <w:rPr>
          <w:i/>
          <w:sz w:val="20"/>
          <w:szCs w:val="20"/>
        </w:rPr>
        <w:t>3</w:t>
      </w:r>
      <w:r w:rsidR="003647E4">
        <w:rPr>
          <w:i/>
          <w:sz w:val="20"/>
          <w:szCs w:val="20"/>
        </w:rPr>
        <w:t xml:space="preserve"> Population p</w:t>
      </w:r>
      <w:r w:rsidR="00187FB1">
        <w:rPr>
          <w:i/>
          <w:sz w:val="20"/>
          <w:szCs w:val="20"/>
        </w:rPr>
        <w:t>rojections by</w:t>
      </w:r>
      <w:r w:rsidR="004903E5">
        <w:rPr>
          <w:i/>
          <w:sz w:val="20"/>
          <w:szCs w:val="20"/>
        </w:rPr>
        <w:t xml:space="preserve"> </w:t>
      </w:r>
      <w:r w:rsidR="003647E4">
        <w:rPr>
          <w:i/>
          <w:sz w:val="20"/>
          <w:szCs w:val="20"/>
        </w:rPr>
        <w:t>g</w:t>
      </w:r>
      <w:r w:rsidR="004903E5">
        <w:rPr>
          <w:i/>
          <w:sz w:val="20"/>
          <w:szCs w:val="20"/>
        </w:rPr>
        <w:t>ender and</w:t>
      </w:r>
      <w:r w:rsidR="00187FB1">
        <w:rPr>
          <w:i/>
          <w:sz w:val="20"/>
          <w:szCs w:val="20"/>
        </w:rPr>
        <w:t xml:space="preserve"> </w:t>
      </w:r>
      <w:r w:rsidR="003647E4">
        <w:rPr>
          <w:i/>
          <w:sz w:val="20"/>
          <w:szCs w:val="20"/>
        </w:rPr>
        <w:t>age b</w:t>
      </w:r>
      <w:r w:rsidR="00187FB1">
        <w:rPr>
          <w:i/>
          <w:sz w:val="20"/>
          <w:szCs w:val="20"/>
        </w:rPr>
        <w:t>and for Armagh City, Banbridge and Craigavon</w:t>
      </w:r>
      <w:r w:rsidR="003647E4">
        <w:rPr>
          <w:i/>
          <w:sz w:val="20"/>
          <w:szCs w:val="20"/>
        </w:rPr>
        <w:t xml:space="preserve"> Borough</w:t>
      </w:r>
      <w:r w:rsidR="00187FB1" w:rsidRPr="002A2185">
        <w:rPr>
          <w:i/>
          <w:sz w:val="20"/>
          <w:szCs w:val="20"/>
        </w:rPr>
        <w:t>. Source:</w:t>
      </w:r>
      <w:r w:rsidR="00187FB1">
        <w:rPr>
          <w:i/>
          <w:sz w:val="20"/>
          <w:szCs w:val="20"/>
        </w:rPr>
        <w:t xml:space="preserve"> </w:t>
      </w:r>
      <w:r w:rsidR="003647E4">
        <w:rPr>
          <w:i/>
          <w:sz w:val="20"/>
          <w:szCs w:val="20"/>
        </w:rPr>
        <w:t>201</w:t>
      </w:r>
      <w:r w:rsidR="00F76FB4">
        <w:rPr>
          <w:i/>
          <w:sz w:val="20"/>
          <w:szCs w:val="20"/>
        </w:rPr>
        <w:t>8</w:t>
      </w:r>
      <w:r w:rsidR="003647E4">
        <w:rPr>
          <w:i/>
          <w:sz w:val="20"/>
          <w:szCs w:val="20"/>
        </w:rPr>
        <w:t xml:space="preserve"> Based Population Projections, NISRA</w:t>
      </w:r>
      <w:r w:rsidR="003647E4" w:rsidRPr="002A2185">
        <w:rPr>
          <w:i/>
          <w:sz w:val="20"/>
          <w:szCs w:val="20"/>
        </w:rPr>
        <w:t>.</w:t>
      </w:r>
    </w:p>
    <w:p w14:paraId="48334390" w14:textId="77777777" w:rsidR="00FD7081" w:rsidRDefault="00FD7081" w:rsidP="003A7285"/>
    <w:p w14:paraId="71B3C766" w14:textId="77777777" w:rsidR="00C37B0B" w:rsidRPr="004163A1" w:rsidRDefault="00C37B0B" w:rsidP="003A7285">
      <w:pPr>
        <w:rPr>
          <w:rStyle w:val="Hyperlink"/>
          <w:color w:val="auto"/>
          <w:u w:val="none"/>
        </w:rPr>
      </w:pPr>
      <w:r>
        <w:lastRenderedPageBreak/>
        <w:t>Further inf</w:t>
      </w:r>
      <w:r w:rsidR="004163A1">
        <w:t>ormation on population projections</w:t>
      </w:r>
      <w:r>
        <w:t xml:space="preserve"> can be found via the following link:</w:t>
      </w:r>
    </w:p>
    <w:p w14:paraId="18F576F6" w14:textId="77777777" w:rsidR="004163A1" w:rsidRPr="003A7285" w:rsidRDefault="00512F01" w:rsidP="003A7285">
      <w:hyperlink r:id="rId10" w:history="1">
        <w:r w:rsidR="004163A1">
          <w:rPr>
            <w:rStyle w:val="Hyperlink"/>
          </w:rPr>
          <w:t>https://www.nisra.gov.uk/publications/2016-based-population-projections-areas-within-northern-ireland</w:t>
        </w:r>
      </w:hyperlink>
    </w:p>
    <w:sectPr w:rsidR="004163A1" w:rsidRPr="003A728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E9D84" w14:textId="77777777" w:rsidR="002928FE" w:rsidRDefault="002928FE" w:rsidP="003647E4">
      <w:pPr>
        <w:spacing w:after="0" w:line="240" w:lineRule="auto"/>
      </w:pPr>
      <w:r>
        <w:separator/>
      </w:r>
    </w:p>
  </w:endnote>
  <w:endnote w:type="continuationSeparator" w:id="0">
    <w:p w14:paraId="61DD7CE3" w14:textId="77777777" w:rsidR="002928FE" w:rsidRDefault="002928FE" w:rsidP="0036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193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7A64C" w14:textId="0917A463" w:rsidR="003647E4" w:rsidRDefault="003647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F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637DA9" w14:textId="77777777" w:rsidR="003647E4" w:rsidRDefault="00364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124AE" w14:textId="77777777" w:rsidR="002928FE" w:rsidRDefault="002928FE" w:rsidP="003647E4">
      <w:pPr>
        <w:spacing w:after="0" w:line="240" w:lineRule="auto"/>
      </w:pPr>
      <w:r>
        <w:separator/>
      </w:r>
    </w:p>
  </w:footnote>
  <w:footnote w:type="continuationSeparator" w:id="0">
    <w:p w14:paraId="211C3E6C" w14:textId="77777777" w:rsidR="002928FE" w:rsidRDefault="002928FE" w:rsidP="00364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98"/>
    <w:rsid w:val="000241BF"/>
    <w:rsid w:val="00037DEB"/>
    <w:rsid w:val="00082F5C"/>
    <w:rsid w:val="001217B0"/>
    <w:rsid w:val="0017027D"/>
    <w:rsid w:val="00187FB1"/>
    <w:rsid w:val="00234341"/>
    <w:rsid w:val="00262C76"/>
    <w:rsid w:val="002928FE"/>
    <w:rsid w:val="002B6ED8"/>
    <w:rsid w:val="002C0F10"/>
    <w:rsid w:val="002E1FFF"/>
    <w:rsid w:val="002E31FB"/>
    <w:rsid w:val="002F450E"/>
    <w:rsid w:val="0030211A"/>
    <w:rsid w:val="003647E4"/>
    <w:rsid w:val="003A6B98"/>
    <w:rsid w:val="003A7285"/>
    <w:rsid w:val="00404196"/>
    <w:rsid w:val="004163A1"/>
    <w:rsid w:val="004317CD"/>
    <w:rsid w:val="004903E5"/>
    <w:rsid w:val="004E44B3"/>
    <w:rsid w:val="004E4583"/>
    <w:rsid w:val="00512F01"/>
    <w:rsid w:val="0058501C"/>
    <w:rsid w:val="005C1C25"/>
    <w:rsid w:val="005F3D41"/>
    <w:rsid w:val="00646ADD"/>
    <w:rsid w:val="00666476"/>
    <w:rsid w:val="0067542F"/>
    <w:rsid w:val="00703AD1"/>
    <w:rsid w:val="00706581"/>
    <w:rsid w:val="0076127A"/>
    <w:rsid w:val="0079282F"/>
    <w:rsid w:val="007A7752"/>
    <w:rsid w:val="00802C98"/>
    <w:rsid w:val="0082675F"/>
    <w:rsid w:val="008F1556"/>
    <w:rsid w:val="00922C76"/>
    <w:rsid w:val="00972A5D"/>
    <w:rsid w:val="009749EE"/>
    <w:rsid w:val="009842E7"/>
    <w:rsid w:val="009B4079"/>
    <w:rsid w:val="009B712C"/>
    <w:rsid w:val="009E4EA0"/>
    <w:rsid w:val="00A65E19"/>
    <w:rsid w:val="00AB0F0F"/>
    <w:rsid w:val="00AE4700"/>
    <w:rsid w:val="00AF6BBC"/>
    <w:rsid w:val="00B00B37"/>
    <w:rsid w:val="00BB7CCB"/>
    <w:rsid w:val="00C37B0B"/>
    <w:rsid w:val="00CC3C65"/>
    <w:rsid w:val="00CC5879"/>
    <w:rsid w:val="00CC6D73"/>
    <w:rsid w:val="00CD5B75"/>
    <w:rsid w:val="00CF5C72"/>
    <w:rsid w:val="00D46075"/>
    <w:rsid w:val="00D96E5B"/>
    <w:rsid w:val="00DA4B7B"/>
    <w:rsid w:val="00DB5602"/>
    <w:rsid w:val="00E1225D"/>
    <w:rsid w:val="00E243E2"/>
    <w:rsid w:val="00E64F58"/>
    <w:rsid w:val="00EE6B9F"/>
    <w:rsid w:val="00F15B67"/>
    <w:rsid w:val="00F51248"/>
    <w:rsid w:val="00F76FB4"/>
    <w:rsid w:val="00F8015E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2F2D"/>
  <w15:chartTrackingRefBased/>
  <w15:docId w15:val="{5459D39A-D23C-43DB-892A-13E35904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7B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4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7E4"/>
  </w:style>
  <w:style w:type="paragraph" w:styleId="Footer">
    <w:name w:val="footer"/>
    <w:basedOn w:val="Normal"/>
    <w:link w:val="FooterChar"/>
    <w:uiPriority w:val="99"/>
    <w:unhideWhenUsed/>
    <w:rsid w:val="00364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7E4"/>
  </w:style>
  <w:style w:type="table" w:styleId="GridTable1Light">
    <w:name w:val="Grid Table 1 Light"/>
    <w:basedOn w:val="TableNormal"/>
    <w:uiPriority w:val="46"/>
    <w:rsid w:val="0079282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nisra.gov.uk/publications/2016-based-population-projections-areas-within-northern-ireland" TargetMode="Externa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NISRA%20Statistician\Statistics%20for%20Website\Population\Pop%20estimates%20to%20204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NISRA%20Statistician\Statistics%20for%20Website\Population\2022%20Updates\Population%20totals.xls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ssica.Bennett\Downloads\MYE20-SYA%20(3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NISRA%20Statistician\Statistics%20for%20Website\Population\2022%20Updates\MYE20-SYA%20table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ABC!$F$1</c:f>
              <c:strCache>
                <c:ptCount val="1"/>
                <c:pt idx="0">
                  <c:v>Estimates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0D6-4C32-B74B-9B340D80251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D6-4C32-B74B-9B340D80251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0D6-4C32-B74B-9B340D80251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0D6-4C32-B74B-9B340D80251C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0D6-4C32-B74B-9B340D80251C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0D6-4C32-B74B-9B340D80251C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0D6-4C32-B74B-9B340D80251C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0D6-4C32-B74B-9B340D80251C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0D6-4C32-B74B-9B340D80251C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0D6-4C32-B74B-9B340D80251C}"/>
                </c:ext>
              </c:extLst>
            </c:dLbl>
            <c:dLbl>
              <c:idx val="10"/>
              <c:layout>
                <c:manualLayout>
                  <c:x val="-6.8627450980392107E-2"/>
                  <c:y val="-6.7061143984220944E-2"/>
                </c:manualLayout>
              </c:layout>
              <c:tx>
                <c:rich>
                  <a:bodyPr/>
                  <a:lstStyle/>
                  <a:p>
                    <a:fld id="{052D293C-EFC9-4417-86EC-6D9FE4BC9806}" type="CATEGORYNAME">
                      <a:rPr lang="en-US" b="1">
                        <a:solidFill>
                          <a:schemeClr val="accent1"/>
                        </a:solidFill>
                      </a:rPr>
                      <a:pPr/>
                      <a:t>[CATEGORY NAME]</a:t>
                    </a:fld>
                    <a:endParaRPr lang="en-US" b="1" baseline="0">
                      <a:solidFill>
                        <a:schemeClr val="accent1"/>
                      </a:solidFill>
                    </a:endParaRPr>
                  </a:p>
                  <a:p>
                    <a:fld id="{A990FA7B-1A3F-4B31-8175-DD4534A58B07}" type="VALUE">
                      <a:rPr lang="en-US" b="1">
                        <a:solidFill>
                          <a:schemeClr val="accent1"/>
                        </a:solidFill>
                      </a:rPr>
                      <a:pPr/>
                      <a:t>[VALUE]</a:t>
                    </a:fld>
                    <a:endParaRPr lang="en-GB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70D6-4C32-B74B-9B340D8025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ABC!$E$2:$E$38</c:f>
              <c:numCache>
                <c:formatCode>General</c:formatCode>
                <c:ptCount val="3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</c:numCache>
            </c:numRef>
          </c:cat>
          <c:val>
            <c:numRef>
              <c:f>ABC!$F$2:$F$38</c:f>
              <c:numCache>
                <c:formatCode>#,##0</c:formatCode>
                <c:ptCount val="34"/>
                <c:pt idx="0">
                  <c:v>198202</c:v>
                </c:pt>
                <c:pt idx="1">
                  <c:v>200298</c:v>
                </c:pt>
                <c:pt idx="2">
                  <c:v>202398</c:v>
                </c:pt>
                <c:pt idx="3">
                  <c:v>203757</c:v>
                </c:pt>
                <c:pt idx="4">
                  <c:v>205711</c:v>
                </c:pt>
                <c:pt idx="5">
                  <c:v>207797</c:v>
                </c:pt>
                <c:pt idx="6">
                  <c:v>210260</c:v>
                </c:pt>
                <c:pt idx="7">
                  <c:v>211898</c:v>
                </c:pt>
                <c:pt idx="8">
                  <c:v>214090</c:v>
                </c:pt>
                <c:pt idx="9">
                  <c:v>216205</c:v>
                </c:pt>
                <c:pt idx="10">
                  <c:v>217232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70D6-4C32-B74B-9B340D80251C}"/>
            </c:ext>
          </c:extLst>
        </c:ser>
        <c:ser>
          <c:idx val="1"/>
          <c:order val="1"/>
          <c:tx>
            <c:strRef>
              <c:f>ABC!$G$1</c:f>
              <c:strCache>
                <c:ptCount val="1"/>
                <c:pt idx="0">
                  <c:v>Projections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0D6-4C32-B74B-9B340D80251C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0D6-4C32-B74B-9B340D80251C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0D6-4C32-B74B-9B340D80251C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0D6-4C32-B74B-9B340D80251C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0D6-4C32-B74B-9B340D80251C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0D6-4C32-B74B-9B340D80251C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0D6-4C32-B74B-9B340D80251C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0D6-4C32-B74B-9B340D80251C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0D6-4C32-B74B-9B340D80251C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0D6-4C32-B74B-9B340D80251C}"/>
                </c:ext>
              </c:extLst>
            </c:dLbl>
            <c:dLbl>
              <c:idx val="2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0D6-4C32-B74B-9B340D80251C}"/>
                </c:ext>
              </c:extLst>
            </c:dLbl>
            <c:dLbl>
              <c:idx val="2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0D6-4C32-B74B-9B340D80251C}"/>
                </c:ext>
              </c:extLst>
            </c:dLbl>
            <c:dLbl>
              <c:idx val="2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70D6-4C32-B74B-9B340D80251C}"/>
                </c:ext>
              </c:extLst>
            </c:dLbl>
            <c:dLbl>
              <c:idx val="2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70D6-4C32-B74B-9B340D80251C}"/>
                </c:ext>
              </c:extLst>
            </c:dLbl>
            <c:dLbl>
              <c:idx val="2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70D6-4C32-B74B-9B340D80251C}"/>
                </c:ext>
              </c:extLst>
            </c:dLbl>
            <c:dLbl>
              <c:idx val="2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70D6-4C32-B74B-9B340D80251C}"/>
                </c:ext>
              </c:extLst>
            </c:dLbl>
            <c:dLbl>
              <c:idx val="2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70D6-4C32-B74B-9B340D80251C}"/>
                </c:ext>
              </c:extLst>
            </c:dLbl>
            <c:dLbl>
              <c:idx val="2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70D6-4C32-B74B-9B340D80251C}"/>
                </c:ext>
              </c:extLst>
            </c:dLbl>
            <c:dLbl>
              <c:idx val="2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70D6-4C32-B74B-9B340D80251C}"/>
                </c:ext>
              </c:extLst>
            </c:dLbl>
            <c:dLbl>
              <c:idx val="3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70D6-4C32-B74B-9B340D80251C}"/>
                </c:ext>
              </c:extLst>
            </c:dLbl>
            <c:dLbl>
              <c:idx val="3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70D6-4C32-B74B-9B340D80251C}"/>
                </c:ext>
              </c:extLst>
            </c:dLbl>
            <c:dLbl>
              <c:idx val="3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70D6-4C32-B74B-9B340D80251C}"/>
                </c:ext>
              </c:extLst>
            </c:dLbl>
            <c:dLbl>
              <c:idx val="33"/>
              <c:layout>
                <c:manualLayout>
                  <c:x val="0"/>
                  <c:y val="-6.3116370808678504E-2"/>
                </c:manualLayout>
              </c:layout>
              <c:tx>
                <c:rich>
                  <a:bodyPr/>
                  <a:lstStyle/>
                  <a:p>
                    <a:fld id="{97E73413-198C-4953-A67E-FAED7CBFA3FA}" type="CATEGORYNAME">
                      <a:rPr lang="en-US" b="1">
                        <a:solidFill>
                          <a:schemeClr val="accent1"/>
                        </a:solidFill>
                      </a:rPr>
                      <a:pPr/>
                      <a:t>[CATEGORY NAME]</a:t>
                    </a:fld>
                    <a:endParaRPr lang="en-US" b="1" baseline="0">
                      <a:solidFill>
                        <a:schemeClr val="accent1"/>
                      </a:solidFill>
                    </a:endParaRPr>
                  </a:p>
                  <a:p>
                    <a:fld id="{E73AA6FC-73B2-4D44-B0F9-1E1B81EFE178}" type="VALUE">
                      <a:rPr lang="en-US" b="1">
                        <a:solidFill>
                          <a:schemeClr val="accent1"/>
                        </a:solidFill>
                      </a:rPr>
                      <a:pPr/>
                      <a:t>[VALUE]</a:t>
                    </a:fld>
                    <a:endParaRPr lang="en-GB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2-70D6-4C32-B74B-9B340D8025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ABC!$E$2:$E$38</c:f>
              <c:numCache>
                <c:formatCode>General</c:formatCode>
                <c:ptCount val="3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</c:numCache>
            </c:numRef>
          </c:cat>
          <c:val>
            <c:numRef>
              <c:f>ABC!$G$2:$G$38</c:f>
              <c:numCache>
                <c:formatCode>General</c:formatCode>
                <c:ptCount val="34"/>
                <c:pt idx="11" formatCode="#,##0">
                  <c:v>220365</c:v>
                </c:pt>
                <c:pt idx="12" formatCode="#,##0">
                  <c:v>222191</c:v>
                </c:pt>
                <c:pt idx="13" formatCode="#,##0">
                  <c:v>223905</c:v>
                </c:pt>
                <c:pt idx="14" formatCode="#,##0">
                  <c:v>225578</c:v>
                </c:pt>
                <c:pt idx="15" formatCode="#,##0">
                  <c:v>227132</c:v>
                </c:pt>
                <c:pt idx="16" formatCode="#,##0">
                  <c:v>228645</c:v>
                </c:pt>
                <c:pt idx="17" formatCode="#,##0">
                  <c:v>230082</c:v>
                </c:pt>
                <c:pt idx="18" formatCode="#,##0">
                  <c:v>231519</c:v>
                </c:pt>
                <c:pt idx="19" formatCode="#,##0">
                  <c:v>232880</c:v>
                </c:pt>
                <c:pt idx="20" formatCode="#,##0">
                  <c:v>234213</c:v>
                </c:pt>
                <c:pt idx="21" formatCode="#,##0">
                  <c:v>235529</c:v>
                </c:pt>
                <c:pt idx="22" formatCode="#,##0">
                  <c:v>236811</c:v>
                </c:pt>
                <c:pt idx="23" formatCode="#,##0">
                  <c:v>238066</c:v>
                </c:pt>
                <c:pt idx="24" formatCode="#,##0">
                  <c:v>239316</c:v>
                </c:pt>
                <c:pt idx="25" formatCode="#,##0">
                  <c:v>240564</c:v>
                </c:pt>
                <c:pt idx="26" formatCode="#,##0">
                  <c:v>241823</c:v>
                </c:pt>
                <c:pt idx="27" formatCode="#,##0">
                  <c:v>243080</c:v>
                </c:pt>
                <c:pt idx="28" formatCode="#,##0">
                  <c:v>244354</c:v>
                </c:pt>
                <c:pt idx="29" formatCode="#,##0">
                  <c:v>245659</c:v>
                </c:pt>
                <c:pt idx="30" formatCode="#,##0">
                  <c:v>246943</c:v>
                </c:pt>
                <c:pt idx="31" formatCode="#,##0">
                  <c:v>248262</c:v>
                </c:pt>
                <c:pt idx="32" formatCode="#,##0">
                  <c:v>249560</c:v>
                </c:pt>
                <c:pt idx="33" formatCode="#,##0">
                  <c:v>250870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3-70D6-4C32-B74B-9B340D802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21135"/>
        <c:axId val="2319887"/>
      </c:lineChart>
      <c:catAx>
        <c:axId val="2321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19887"/>
        <c:crosses val="autoZero"/>
        <c:auto val="1"/>
        <c:lblAlgn val="ctr"/>
        <c:lblOffset val="100"/>
        <c:tickLblSkip val="3"/>
        <c:noMultiLvlLbl val="0"/>
      </c:catAx>
      <c:valAx>
        <c:axId val="231988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1135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ABC!$Z$19</c:f>
              <c:strCache>
                <c:ptCount val="1"/>
                <c:pt idx="0">
                  <c:v>Children (0 - 15 years)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ABC!$Y$20:$Y$53</c:f>
              <c:numCache>
                <c:formatCode>General</c:formatCode>
                <c:ptCount val="3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</c:numCache>
            </c:numRef>
          </c:cat>
          <c:val>
            <c:numRef>
              <c:f>ABC!$Z$20:$Z$53</c:f>
              <c:numCache>
                <c:formatCode>0.0%</c:formatCode>
                <c:ptCount val="34"/>
                <c:pt idx="0">
                  <c:v>0.22179392740739245</c:v>
                </c:pt>
                <c:pt idx="1">
                  <c:v>0.22148997992990443</c:v>
                </c:pt>
                <c:pt idx="2">
                  <c:v>0.22195377424678109</c:v>
                </c:pt>
                <c:pt idx="3">
                  <c:v>0.22207825988800384</c:v>
                </c:pt>
                <c:pt idx="4">
                  <c:v>0.22205910233288448</c:v>
                </c:pt>
                <c:pt idx="5">
                  <c:v>0.22156239021737562</c:v>
                </c:pt>
                <c:pt idx="6">
                  <c:v>0.22260058974602873</c:v>
                </c:pt>
                <c:pt idx="7">
                  <c:v>0.2235603922642026</c:v>
                </c:pt>
                <c:pt idx="8">
                  <c:v>0.22498014853566256</c:v>
                </c:pt>
                <c:pt idx="9">
                  <c:v>0.22551282347771789</c:v>
                </c:pt>
                <c:pt idx="10">
                  <c:v>0.22497606245856963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A0-471C-A236-8A96DDFF3961}"/>
            </c:ext>
          </c:extLst>
        </c:ser>
        <c:ser>
          <c:idx val="1"/>
          <c:order val="1"/>
          <c:tx>
            <c:strRef>
              <c:f>ABC!$AA$19</c:f>
              <c:strCache>
                <c:ptCount val="1"/>
              </c:strCache>
            </c:strRef>
          </c:tx>
          <c:spPr>
            <a:ln w="28575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ABC!$Y$20:$Y$53</c:f>
              <c:numCache>
                <c:formatCode>General</c:formatCode>
                <c:ptCount val="3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</c:numCache>
            </c:numRef>
          </c:cat>
          <c:val>
            <c:numRef>
              <c:f>ABC!$AA$20:$AA$53</c:f>
              <c:numCache>
                <c:formatCode>General</c:formatCode>
                <c:ptCount val="34"/>
                <c:pt idx="11" formatCode="0.0%">
                  <c:v>0.22435504730787556</c:v>
                </c:pt>
                <c:pt idx="12" formatCode="0.0%">
                  <c:v>0.22277229950808089</c:v>
                </c:pt>
                <c:pt idx="13" formatCode="0.0%">
                  <c:v>0.22044617136732098</c:v>
                </c:pt>
                <c:pt idx="14" formatCode="0.0%">
                  <c:v>0.21769853443154918</c:v>
                </c:pt>
                <c:pt idx="15" formatCode="0.0%">
                  <c:v>0.21491027244069527</c:v>
                </c:pt>
                <c:pt idx="16" formatCode="0.0%">
                  <c:v>0.21234665092173458</c:v>
                </c:pt>
                <c:pt idx="17" formatCode="0.0%">
                  <c:v>0.2092471379768952</c:v>
                </c:pt>
                <c:pt idx="18" formatCode="0.0%">
                  <c:v>0.20604356445907249</c:v>
                </c:pt>
                <c:pt idx="19" formatCode="0.0%">
                  <c:v>0.20326348333905875</c:v>
                </c:pt>
                <c:pt idx="20" formatCode="0.0%">
                  <c:v>0.200719003641984</c:v>
                </c:pt>
                <c:pt idx="21" formatCode="0.0%">
                  <c:v>0.198395951241673</c:v>
                </c:pt>
                <c:pt idx="22" formatCode="0.0%">
                  <c:v>0.19581016084556882</c:v>
                </c:pt>
                <c:pt idx="23" formatCode="0.0%">
                  <c:v>0.19384540421563767</c:v>
                </c:pt>
                <c:pt idx="24" formatCode="0.0%">
                  <c:v>0.19207658493372778</c:v>
                </c:pt>
                <c:pt idx="25" formatCode="0.0%">
                  <c:v>0.19080577309988195</c:v>
                </c:pt>
                <c:pt idx="26" formatCode="0.0%">
                  <c:v>0.18984546548508621</c:v>
                </c:pt>
                <c:pt idx="27" formatCode="0.0%">
                  <c:v>0.18914760572650979</c:v>
                </c:pt>
                <c:pt idx="28" formatCode="0.0%">
                  <c:v>0.18869345294122461</c:v>
                </c:pt>
                <c:pt idx="29" formatCode="0.0%">
                  <c:v>0.18846042685185563</c:v>
                </c:pt>
                <c:pt idx="30" formatCode="0.0%">
                  <c:v>0.188403801687029</c:v>
                </c:pt>
                <c:pt idx="31" formatCode="0.0%">
                  <c:v>0.18849038515761574</c:v>
                </c:pt>
                <c:pt idx="32" formatCode="0.0%">
                  <c:v>0.18875621093123898</c:v>
                </c:pt>
                <c:pt idx="33" formatCode="0.0%">
                  <c:v>0.18914178658269223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EA0-471C-A236-8A96DDFF3961}"/>
            </c:ext>
          </c:extLst>
        </c:ser>
        <c:ser>
          <c:idx val="2"/>
          <c:order val="2"/>
          <c:tx>
            <c:strRef>
              <c:f>ABC!$AB$19</c:f>
              <c:strCache>
                <c:ptCount val="1"/>
                <c:pt idx="0">
                  <c:v>Older people (65+ years)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ABC!$Y$20:$Y$53</c:f>
              <c:numCache>
                <c:formatCode>General</c:formatCode>
                <c:ptCount val="3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</c:numCache>
            </c:numRef>
          </c:cat>
          <c:val>
            <c:numRef>
              <c:f>ABC!$AB$20:$AB$53</c:f>
              <c:numCache>
                <c:formatCode>0.0%</c:formatCode>
                <c:ptCount val="34"/>
                <c:pt idx="0">
                  <c:v>0.13654251722989677</c:v>
                </c:pt>
                <c:pt idx="1">
                  <c:v>0.13906778899439834</c:v>
                </c:pt>
                <c:pt idx="2">
                  <c:v>0.14175041255348372</c:v>
                </c:pt>
                <c:pt idx="3">
                  <c:v>0.14468705369631474</c:v>
                </c:pt>
                <c:pt idx="4">
                  <c:v>0.14702179270918911</c:v>
                </c:pt>
                <c:pt idx="5">
                  <c:v>0.14909262405135781</c:v>
                </c:pt>
                <c:pt idx="6">
                  <c:v>0.15068486635594028</c:v>
                </c:pt>
                <c:pt idx="7">
                  <c:v>0.15226665659892968</c:v>
                </c:pt>
                <c:pt idx="8">
                  <c:v>0.15325797561773086</c:v>
                </c:pt>
                <c:pt idx="9">
                  <c:v>0.15508429499780302</c:v>
                </c:pt>
                <c:pt idx="10">
                  <c:v>0.15728345731752227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EA0-471C-A236-8A96DDFF3961}"/>
            </c:ext>
          </c:extLst>
        </c:ser>
        <c:ser>
          <c:idx val="3"/>
          <c:order val="3"/>
          <c:tx>
            <c:strRef>
              <c:f>ABC!$AC$19</c:f>
              <c:strCache>
                <c:ptCount val="1"/>
              </c:strCache>
            </c:strRef>
          </c:tx>
          <c:spPr>
            <a:ln w="28575" cap="rnd">
              <a:solidFill>
                <a:schemeClr val="accent5">
                  <a:lumMod val="60000"/>
                  <a:lumOff val="40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ABC!$Y$20:$Y$53</c:f>
              <c:numCache>
                <c:formatCode>General</c:formatCode>
                <c:ptCount val="3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</c:numCache>
            </c:numRef>
          </c:cat>
          <c:val>
            <c:numRef>
              <c:f>ABC!$AC$20:$AC$53</c:f>
              <c:numCache>
                <c:formatCode>General</c:formatCode>
                <c:ptCount val="34"/>
                <c:pt idx="11" formatCode="0.0%">
                  <c:v>0.15909059968688313</c:v>
                </c:pt>
                <c:pt idx="12" formatCode="0.0%">
                  <c:v>0.1616042053908574</c:v>
                </c:pt>
                <c:pt idx="13" formatCode="0.0%">
                  <c:v>0.16453853196668231</c:v>
                </c:pt>
                <c:pt idx="14" formatCode="0.0%">
                  <c:v>0.16762716222326646</c:v>
                </c:pt>
                <c:pt idx="15" formatCode="0.0%">
                  <c:v>0.17100188436679992</c:v>
                </c:pt>
                <c:pt idx="16" formatCode="0.0%">
                  <c:v>0.17447134203678191</c:v>
                </c:pt>
                <c:pt idx="17" formatCode="0.0%">
                  <c:v>0.1780626037673525</c:v>
                </c:pt>
                <c:pt idx="18" formatCode="0.0%">
                  <c:v>0.18182093046359046</c:v>
                </c:pt>
                <c:pt idx="19" formatCode="0.0%">
                  <c:v>0.18600137409824802</c:v>
                </c:pt>
                <c:pt idx="20" formatCode="0.0%">
                  <c:v>0.19019439569964092</c:v>
                </c:pt>
                <c:pt idx="21" formatCode="0.0%">
                  <c:v>0.19380628287811691</c:v>
                </c:pt>
                <c:pt idx="22" formatCode="0.0%">
                  <c:v>0.19736414271296518</c:v>
                </c:pt>
                <c:pt idx="23" formatCode="0.0%">
                  <c:v>0.20083926306150396</c:v>
                </c:pt>
                <c:pt idx="24" formatCode="0.0%">
                  <c:v>0.20403984689698976</c:v>
                </c:pt>
                <c:pt idx="25" formatCode="0.0%">
                  <c:v>0.20708834239537088</c:v>
                </c:pt>
                <c:pt idx="26" formatCode="0.0%">
                  <c:v>0.20986010429115509</c:v>
                </c:pt>
                <c:pt idx="27" formatCode="0.0%">
                  <c:v>0.21247737370413033</c:v>
                </c:pt>
                <c:pt idx="28" formatCode="0.0%">
                  <c:v>0.21468852566358643</c:v>
                </c:pt>
                <c:pt idx="29" formatCode="0.0%">
                  <c:v>0.2165196471531676</c:v>
                </c:pt>
                <c:pt idx="30" formatCode="0.0%">
                  <c:v>0.21789238812195527</c:v>
                </c:pt>
                <c:pt idx="31" formatCode="0.0%">
                  <c:v>0.21923210157011544</c:v>
                </c:pt>
                <c:pt idx="32" formatCode="0.0%">
                  <c:v>0.22026767110113801</c:v>
                </c:pt>
                <c:pt idx="33" formatCode="0.0%">
                  <c:v>0.22135767528999084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EA0-471C-A236-8A96DDFF3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07901360"/>
        <c:axId val="712691728"/>
      </c:lineChart>
      <c:catAx>
        <c:axId val="70790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2691728"/>
        <c:crosses val="autoZero"/>
        <c:auto val="1"/>
        <c:lblAlgn val="ctr"/>
        <c:lblOffset val="100"/>
        <c:tickLblSkip val="3"/>
        <c:noMultiLvlLbl val="0"/>
      </c:catAx>
      <c:valAx>
        <c:axId val="71269172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7901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'[MYE20-SYA (3).xlsx]Flat'!$X$520798</c:f>
              <c:strCache>
                <c:ptCount val="1"/>
                <c:pt idx="0">
                  <c:v>Females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'[MYE20-SYA (3).xlsx]Flat'!$W$520799:$W$520817</c:f>
              <c:strCache>
                <c:ptCount val="19"/>
                <c:pt idx="0">
                  <c:v>00-04</c:v>
                </c:pt>
                <c:pt idx="1">
                  <c:v>05-09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90+</c:v>
                </c:pt>
              </c:strCache>
            </c:strRef>
          </c:cat>
          <c:val>
            <c:numRef>
              <c:f>'[MYE20-SYA (3).xlsx]Flat'!$X$520799:$X$520817</c:f>
              <c:numCache>
                <c:formatCode>0.0%</c:formatCode>
                <c:ptCount val="19"/>
                <c:pt idx="0">
                  <c:v>-3.2762208146129485E-2</c:v>
                </c:pt>
                <c:pt idx="1">
                  <c:v>-3.5772814318332471E-2</c:v>
                </c:pt>
                <c:pt idx="2">
                  <c:v>-3.4948810488325842E-2</c:v>
                </c:pt>
                <c:pt idx="3">
                  <c:v>-2.8485674302128599E-2</c:v>
                </c:pt>
                <c:pt idx="4">
                  <c:v>-2.4370258525447448E-2</c:v>
                </c:pt>
                <c:pt idx="5">
                  <c:v>-3.1583744568019448E-2</c:v>
                </c:pt>
                <c:pt idx="6">
                  <c:v>-3.405575605803933E-2</c:v>
                </c:pt>
                <c:pt idx="7">
                  <c:v>-3.4548317006702509E-2</c:v>
                </c:pt>
                <c:pt idx="8">
                  <c:v>-3.2872689106577299E-2</c:v>
                </c:pt>
                <c:pt idx="9">
                  <c:v>-3.3586211976136114E-2</c:v>
                </c:pt>
                <c:pt idx="10">
                  <c:v>-3.4170840391839138E-2</c:v>
                </c:pt>
                <c:pt idx="11">
                  <c:v>-3.2670140679089639E-2</c:v>
                </c:pt>
                <c:pt idx="12">
                  <c:v>-2.7394674817706414E-2</c:v>
                </c:pt>
                <c:pt idx="13">
                  <c:v>-2.2275723650290933E-2</c:v>
                </c:pt>
                <c:pt idx="14">
                  <c:v>-2.1755542461515801E-2</c:v>
                </c:pt>
                <c:pt idx="15">
                  <c:v>-1.7322493923547174E-2</c:v>
                </c:pt>
                <c:pt idx="16">
                  <c:v>-1.2139095529203801E-2</c:v>
                </c:pt>
                <c:pt idx="17">
                  <c:v>-7.4022243500036829E-3</c:v>
                </c:pt>
                <c:pt idx="18">
                  <c:v>-4.4054282978566693E-3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6B-43F6-A5D7-0E3E47DF7771}"/>
            </c:ext>
          </c:extLst>
        </c:ser>
        <c:ser>
          <c:idx val="1"/>
          <c:order val="1"/>
          <c:tx>
            <c:strRef>
              <c:f>'[MYE20-SYA (3).xlsx]Flat'!$Y$520798</c:f>
              <c:strCache>
                <c:ptCount val="1"/>
                <c:pt idx="0">
                  <c:v>Males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'[MYE20-SYA (3).xlsx]Flat'!$W$520799:$W$520817</c:f>
              <c:strCache>
                <c:ptCount val="19"/>
                <c:pt idx="0">
                  <c:v>00-04</c:v>
                </c:pt>
                <c:pt idx="1">
                  <c:v>05-09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90+</c:v>
                </c:pt>
              </c:strCache>
            </c:strRef>
          </c:cat>
          <c:val>
            <c:numRef>
              <c:f>'[MYE20-SYA (3).xlsx]Flat'!$Y$520799:$Y$520817</c:f>
              <c:numCache>
                <c:formatCode>0.0%</c:formatCode>
                <c:ptCount val="19"/>
                <c:pt idx="0">
                  <c:v>3.4695624953966268E-2</c:v>
                </c:pt>
                <c:pt idx="1">
                  <c:v>3.7305737644545922E-2</c:v>
                </c:pt>
                <c:pt idx="2">
                  <c:v>3.668428224202696E-2</c:v>
                </c:pt>
                <c:pt idx="3">
                  <c:v>2.9917323414598216E-2</c:v>
                </c:pt>
                <c:pt idx="4">
                  <c:v>2.7311814097370553E-2</c:v>
                </c:pt>
                <c:pt idx="5">
                  <c:v>3.3079840907416953E-2</c:v>
                </c:pt>
                <c:pt idx="6">
                  <c:v>3.4695624953966268E-2</c:v>
                </c:pt>
                <c:pt idx="7">
                  <c:v>3.3682882816527954E-2</c:v>
                </c:pt>
                <c:pt idx="8">
                  <c:v>3.1993444796346762E-2</c:v>
                </c:pt>
                <c:pt idx="9">
                  <c:v>3.2057892023274658E-2</c:v>
                </c:pt>
                <c:pt idx="10">
                  <c:v>3.3848604257199676E-2</c:v>
                </c:pt>
                <c:pt idx="11">
                  <c:v>3.2693157545849595E-2</c:v>
                </c:pt>
                <c:pt idx="12">
                  <c:v>2.7528172644914192E-2</c:v>
                </c:pt>
                <c:pt idx="13">
                  <c:v>2.2027141489283347E-2</c:v>
                </c:pt>
                <c:pt idx="14">
                  <c:v>1.929734109155189E-2</c:v>
                </c:pt>
                <c:pt idx="15">
                  <c:v>1.4905722913751198E-2</c:v>
                </c:pt>
                <c:pt idx="16">
                  <c:v>9.1745230905207337E-3</c:v>
                </c:pt>
                <c:pt idx="17">
                  <c:v>4.6079767253443321E-3</c:v>
                </c:pt>
                <c:pt idx="18">
                  <c:v>1.9702437946527217E-3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6B-43F6-A5D7-0E3E47DF77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762607008"/>
        <c:axId val="762608672"/>
      </c:barChart>
      <c:catAx>
        <c:axId val="762607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2608672"/>
        <c:crosses val="autoZero"/>
        <c:auto val="1"/>
        <c:lblAlgn val="ctr"/>
        <c:lblOffset val="100"/>
        <c:noMultiLvlLbl val="0"/>
      </c:catAx>
      <c:valAx>
        <c:axId val="762608672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;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260700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'ABC projections to 2043'!$AP$187</c:f>
              <c:strCache>
                <c:ptCount val="1"/>
                <c:pt idx="0">
                  <c:v>Females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'ABC projections to 2043'!$AO$188:$AO$206</c:f>
              <c:strCache>
                <c:ptCount val="19"/>
                <c:pt idx="0">
                  <c:v>00-04</c:v>
                </c:pt>
                <c:pt idx="1">
                  <c:v>05-09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90+</c:v>
                </c:pt>
              </c:strCache>
            </c:strRef>
          </c:cat>
          <c:val>
            <c:numRef>
              <c:f>'ABC projections to 2043'!$AP$188:$AP$206</c:f>
              <c:numCache>
                <c:formatCode>0.0%</c:formatCode>
                <c:ptCount val="19"/>
                <c:pt idx="0">
                  <c:v>-2.9545182763981347E-2</c:v>
                </c:pt>
                <c:pt idx="1">
                  <c:v>-2.8775860007175032E-2</c:v>
                </c:pt>
                <c:pt idx="2">
                  <c:v>-2.8393191692908677E-2</c:v>
                </c:pt>
                <c:pt idx="3">
                  <c:v>-2.7580021525092677E-2</c:v>
                </c:pt>
                <c:pt idx="4">
                  <c:v>-2.5076732969266952E-2</c:v>
                </c:pt>
                <c:pt idx="5">
                  <c:v>-2.9270139913102403E-2</c:v>
                </c:pt>
                <c:pt idx="6">
                  <c:v>-3.1175509227886953E-2</c:v>
                </c:pt>
                <c:pt idx="7">
                  <c:v>-2.8680192928608444E-2</c:v>
                </c:pt>
                <c:pt idx="8">
                  <c:v>-2.6802726511739147E-2</c:v>
                </c:pt>
                <c:pt idx="9">
                  <c:v>-2.8835651931279148E-2</c:v>
                </c:pt>
                <c:pt idx="10">
                  <c:v>-3.1043966994857893E-2</c:v>
                </c:pt>
                <c:pt idx="11">
                  <c:v>-3.1235301151991073E-2</c:v>
                </c:pt>
                <c:pt idx="12">
                  <c:v>-2.9820225614860287E-2</c:v>
                </c:pt>
                <c:pt idx="13">
                  <c:v>-2.6531669789133815E-2</c:v>
                </c:pt>
                <c:pt idx="14">
                  <c:v>-2.6774823613823894E-2</c:v>
                </c:pt>
                <c:pt idx="15">
                  <c:v>-2.4949176864511501E-2</c:v>
                </c:pt>
                <c:pt idx="16">
                  <c:v>-1.9121457328496832E-2</c:v>
                </c:pt>
                <c:pt idx="17">
                  <c:v>-1.1707258739586239E-2</c:v>
                </c:pt>
                <c:pt idx="18">
                  <c:v>-7.6732969266951013E-3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C1-418A-B864-720E3EB4A1F6}"/>
            </c:ext>
          </c:extLst>
        </c:ser>
        <c:ser>
          <c:idx val="1"/>
          <c:order val="1"/>
          <c:tx>
            <c:strRef>
              <c:f>'ABC projections to 2043'!$AQ$187</c:f>
              <c:strCache>
                <c:ptCount val="1"/>
                <c:pt idx="0">
                  <c:v>Males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'ABC projections to 2043'!$AO$188:$AO$206</c:f>
              <c:strCache>
                <c:ptCount val="19"/>
                <c:pt idx="0">
                  <c:v>00-04</c:v>
                </c:pt>
                <c:pt idx="1">
                  <c:v>05-09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90+</c:v>
                </c:pt>
              </c:strCache>
            </c:strRef>
          </c:cat>
          <c:val>
            <c:numRef>
              <c:f>'ABC projections to 2043'!$AQ$188:$AQ$206</c:f>
              <c:numCache>
                <c:formatCode>0.0%</c:formatCode>
                <c:ptCount val="19"/>
                <c:pt idx="0">
                  <c:v>3.0944313788017697E-2</c:v>
                </c:pt>
                <c:pt idx="1">
                  <c:v>3.0091282337465618E-2</c:v>
                </c:pt>
                <c:pt idx="2">
                  <c:v>2.9680711125284011E-2</c:v>
                </c:pt>
                <c:pt idx="3">
                  <c:v>2.9142583808346952E-2</c:v>
                </c:pt>
                <c:pt idx="4">
                  <c:v>2.7113644517080558E-2</c:v>
                </c:pt>
                <c:pt idx="5">
                  <c:v>3.2195958065930563E-2</c:v>
                </c:pt>
                <c:pt idx="6">
                  <c:v>3.4193008331008093E-2</c:v>
                </c:pt>
                <c:pt idx="7">
                  <c:v>3.2219874835572211E-2</c:v>
                </c:pt>
                <c:pt idx="8">
                  <c:v>3.064535416749711E-2</c:v>
                </c:pt>
                <c:pt idx="9">
                  <c:v>3.2650376689121859E-2</c:v>
                </c:pt>
                <c:pt idx="10">
                  <c:v>3.3009128233746562E-2</c:v>
                </c:pt>
                <c:pt idx="11">
                  <c:v>3.1645872364172677E-2</c:v>
                </c:pt>
                <c:pt idx="12">
                  <c:v>2.8875513214015228E-2</c:v>
                </c:pt>
                <c:pt idx="13">
                  <c:v>2.5092677482361381E-2</c:v>
                </c:pt>
                <c:pt idx="14">
                  <c:v>2.4985052018973969E-2</c:v>
                </c:pt>
                <c:pt idx="15">
                  <c:v>2.2589388926535656E-2</c:v>
                </c:pt>
                <c:pt idx="16">
                  <c:v>1.6638099414039143E-2</c:v>
                </c:pt>
                <c:pt idx="17">
                  <c:v>9.6225136524893378E-3</c:v>
                </c:pt>
                <c:pt idx="18">
                  <c:v>5.6722605333439629E-3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C1-418A-B864-720E3EB4A1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955531536"/>
        <c:axId val="955557328"/>
      </c:barChart>
      <c:catAx>
        <c:axId val="955531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5557328"/>
        <c:crosses val="autoZero"/>
        <c:auto val="1"/>
        <c:lblAlgn val="ctr"/>
        <c:lblOffset val="100"/>
        <c:noMultiLvlLbl val="0"/>
      </c:catAx>
      <c:valAx>
        <c:axId val="955557328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;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5531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0.11423</cdr:x>
      <cdr:y>0.14611</cdr:y>
    </cdr:from>
    <cdr:to>
      <cdr:x>0.32926</cdr:x>
      <cdr:y>0.24431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12470" y="464820"/>
          <a:ext cx="1341120" cy="312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/>
            <a:t>Children</a:t>
          </a:r>
          <a:r>
            <a:rPr lang="en-GB" sz="1100" baseline="0"/>
            <a:t> (0-15 years)</a:t>
          </a:r>
          <a:endParaRPr lang="en-GB" sz="1100"/>
        </a:p>
      </cdr:txBody>
    </cdr:sp>
  </cdr:relSizeAnchor>
  <cdr:relSizeAnchor xmlns:cdr="http://schemas.openxmlformats.org/drawingml/2006/chartDrawing">
    <cdr:from>
      <cdr:x>0.11057</cdr:x>
      <cdr:y>0.42156</cdr:y>
    </cdr:from>
    <cdr:to>
      <cdr:x>0.36469</cdr:x>
      <cdr:y>0.54132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89610" y="1341120"/>
          <a:ext cx="1584960" cy="381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/>
            <a:t>Older</a:t>
          </a:r>
          <a:r>
            <a:rPr lang="en-GB" sz="1100" baseline="0"/>
            <a:t> People (65+ years)</a:t>
          </a:r>
          <a:endParaRPr lang="en-GB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13</cp:revision>
  <dcterms:created xsi:type="dcterms:W3CDTF">2022-03-02T13:10:00Z</dcterms:created>
  <dcterms:modified xsi:type="dcterms:W3CDTF">2022-04-07T11:13:00Z</dcterms:modified>
</cp:coreProperties>
</file>