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6" w:rsidRPr="00C725FB" w:rsidRDefault="00B93D26" w:rsidP="00B93D26">
      <w:pPr>
        <w:rPr>
          <w:b/>
        </w:rPr>
      </w:pPr>
      <w:r w:rsidRPr="00C725FB">
        <w:rPr>
          <w:b/>
        </w:rPr>
        <w:t>Earnings</w:t>
      </w:r>
    </w:p>
    <w:p w:rsidR="00E80D9B" w:rsidRPr="00C725FB" w:rsidRDefault="00D10864" w:rsidP="00E80D9B">
      <w:r w:rsidRPr="00C725FB">
        <w:t>In 20</w:t>
      </w:r>
      <w:r w:rsidR="00BA2E5D" w:rsidRPr="00C725FB">
        <w:t>21</w:t>
      </w:r>
      <w:r w:rsidRPr="00C725FB">
        <w:t>, r</w:t>
      </w:r>
      <w:r w:rsidR="00780C49" w:rsidRPr="00C725FB">
        <w:t>esidents of Armagh City, Banbridge</w:t>
      </w:r>
      <w:r w:rsidR="004A09AC" w:rsidRPr="00C725FB">
        <w:t xml:space="preserve"> and Craigavon earn</w:t>
      </w:r>
      <w:r w:rsidRPr="00C725FB">
        <w:t>ed</w:t>
      </w:r>
      <w:r w:rsidR="004A09AC" w:rsidRPr="00C725FB">
        <w:t xml:space="preserve"> more overall annually (£</w:t>
      </w:r>
      <w:r w:rsidR="00BA2E5D" w:rsidRPr="00C725FB">
        <w:t>23,752</w:t>
      </w:r>
      <w:r w:rsidR="004A09AC" w:rsidRPr="00C725FB">
        <w:t>) than those working in the borough (£</w:t>
      </w:r>
      <w:r w:rsidR="00BA2E5D" w:rsidRPr="00C725FB">
        <w:t xml:space="preserve">22,594).  The median gross annual pay for residents of the borough (£23,752) was just slightly less than the </w:t>
      </w:r>
      <w:r w:rsidR="004A09AC" w:rsidRPr="00C725FB">
        <w:t xml:space="preserve">Northern Ireland </w:t>
      </w:r>
      <w:r w:rsidR="00BA2E5D" w:rsidRPr="00C725FB">
        <w:t>average</w:t>
      </w:r>
      <w:r w:rsidR="004A09AC" w:rsidRPr="00C725FB">
        <w:t xml:space="preserve"> (£</w:t>
      </w:r>
      <w:r w:rsidR="00BA2E5D" w:rsidRPr="00C725FB">
        <w:t>24,000</w:t>
      </w:r>
      <w:r w:rsidR="004A09AC" w:rsidRPr="00C725FB">
        <w:t>)</w:t>
      </w:r>
      <w:r w:rsidR="00780C49" w:rsidRPr="00C725FB">
        <w:t xml:space="preserve">. </w:t>
      </w:r>
      <w:r w:rsidR="00460280" w:rsidRPr="00C725FB">
        <w:t xml:space="preserve">For residents </w:t>
      </w:r>
      <w:r w:rsidR="00B0698E" w:rsidRPr="00C725FB">
        <w:t xml:space="preserve">of the borough </w:t>
      </w:r>
      <w:r w:rsidR="00460280" w:rsidRPr="00C725FB">
        <w:t>working full-time</w:t>
      </w:r>
      <w:r w:rsidRPr="00C725FB">
        <w:t xml:space="preserve">, their </w:t>
      </w:r>
      <w:r w:rsidR="00460280" w:rsidRPr="00C725FB">
        <w:t xml:space="preserve">median </w:t>
      </w:r>
      <w:r w:rsidRPr="00C725FB">
        <w:t xml:space="preserve">gross </w:t>
      </w:r>
      <w:r w:rsidR="00460280" w:rsidRPr="00C725FB">
        <w:t xml:space="preserve">annual </w:t>
      </w:r>
      <w:r w:rsidRPr="00C725FB">
        <w:t xml:space="preserve">full-time </w:t>
      </w:r>
      <w:r w:rsidR="00460280" w:rsidRPr="00C725FB">
        <w:t>pay (£</w:t>
      </w:r>
      <w:r w:rsidR="007D4B51">
        <w:t>30,807</w:t>
      </w:r>
      <w:r w:rsidR="00460280" w:rsidRPr="00C725FB">
        <w:t>)</w:t>
      </w:r>
      <w:r w:rsidR="00780C49" w:rsidRPr="00C725FB">
        <w:t xml:space="preserve"> </w:t>
      </w:r>
      <w:r w:rsidR="00460280" w:rsidRPr="00C725FB">
        <w:t xml:space="preserve">is higher than </w:t>
      </w:r>
      <w:r w:rsidR="007D4B51">
        <w:t>that for</w:t>
      </w:r>
      <w:r w:rsidR="00460280" w:rsidRPr="00C725FB">
        <w:t xml:space="preserve"> Northern Ireland overall (£</w:t>
      </w:r>
      <w:r w:rsidR="007D4B51">
        <w:t>29,109</w:t>
      </w:r>
      <w:r w:rsidR="00C8466D">
        <w:t xml:space="preserve">).  A reliable estimate is not available for those working </w:t>
      </w:r>
      <w:r w:rsidR="00281F2E">
        <w:t xml:space="preserve">full-time </w:t>
      </w:r>
      <w:bookmarkStart w:id="0" w:name="_GoBack"/>
      <w:bookmarkEnd w:id="0"/>
      <w:r w:rsidR="00C8466D">
        <w:t>in the borough.</w:t>
      </w:r>
    </w:p>
    <w:p w:rsidR="00780C49" w:rsidRPr="00C725FB" w:rsidRDefault="00911E0D" w:rsidP="00E80D9B">
      <w:r w:rsidRPr="00C725FB">
        <w:t>Males living in the borough earn more annually (£</w:t>
      </w:r>
      <w:r w:rsidR="00C725FB" w:rsidRPr="00C725FB">
        <w:t>28,082</w:t>
      </w:r>
      <w:r w:rsidRPr="00C725FB">
        <w:t>) than males who work in the borough (£</w:t>
      </w:r>
      <w:r w:rsidR="00C725FB" w:rsidRPr="00C725FB">
        <w:t>26,287</w:t>
      </w:r>
      <w:r w:rsidRPr="00C725FB">
        <w:t xml:space="preserve">) </w:t>
      </w:r>
      <w:r w:rsidR="00C725FB" w:rsidRPr="00C725FB">
        <w:t>and more</w:t>
      </w:r>
      <w:r w:rsidRPr="00C725FB">
        <w:t xml:space="preserve"> than males in Northern Ireland overall (£</w:t>
      </w:r>
      <w:r w:rsidR="00C725FB" w:rsidRPr="00C725FB">
        <w:t>27,277</w:t>
      </w:r>
      <w:r w:rsidRPr="00C725FB">
        <w:t>). Females living in the borough (£</w:t>
      </w:r>
      <w:r w:rsidR="00C725FB" w:rsidRPr="00C725FB">
        <w:t>19,795) earn more than</w:t>
      </w:r>
      <w:r w:rsidRPr="00C725FB">
        <w:t xml:space="preserve"> females</w:t>
      </w:r>
      <w:r w:rsidR="00C725FB" w:rsidRPr="00C725FB">
        <w:t xml:space="preserve"> working in the borough (£18,942</w:t>
      </w:r>
      <w:r w:rsidRPr="00C725FB">
        <w:t xml:space="preserve">) </w:t>
      </w:r>
      <w:r w:rsidR="00C725FB" w:rsidRPr="00C725FB">
        <w:t xml:space="preserve">but less than </w:t>
      </w:r>
      <w:r w:rsidRPr="00C725FB">
        <w:t>females in Northern Ireland overall (£</w:t>
      </w:r>
      <w:r w:rsidR="00C725FB" w:rsidRPr="00C725FB">
        <w:t>20,620</w:t>
      </w:r>
      <w:r w:rsidRPr="00C725FB">
        <w:t>).</w:t>
      </w:r>
    </w:p>
    <w:tbl>
      <w:tblPr>
        <w:tblStyle w:val="GridTable1Light"/>
        <w:tblW w:w="6516" w:type="dxa"/>
        <w:tblLook w:val="04A0" w:firstRow="1" w:lastRow="0" w:firstColumn="1" w:lastColumn="0" w:noHBand="0" w:noVBand="1"/>
        <w:tblCaption w:val="Median gross annual pay in Armagh City, Banbridge and Craigavon Borough and Northern Ireland in 2021 by gender and employment type"/>
      </w:tblPr>
      <w:tblGrid>
        <w:gridCol w:w="2213"/>
        <w:gridCol w:w="1434"/>
        <w:gridCol w:w="1434"/>
        <w:gridCol w:w="1435"/>
      </w:tblGrid>
      <w:tr w:rsidR="00BA2E5D" w:rsidRPr="00BA2E5D" w:rsidTr="0093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hideMark/>
          </w:tcPr>
          <w:p w:rsidR="00BA2E5D" w:rsidRPr="00BA2E5D" w:rsidRDefault="00BA2E5D" w:rsidP="00BA2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Resident of ABC (£)</w:t>
            </w:r>
          </w:p>
        </w:tc>
        <w:tc>
          <w:tcPr>
            <w:tcW w:w="1434" w:type="dxa"/>
            <w:hideMark/>
          </w:tcPr>
          <w:p w:rsidR="00BA2E5D" w:rsidRPr="00BA2E5D" w:rsidRDefault="00BA2E5D" w:rsidP="00BA2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Working in  ABC (£)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Northern Ireland (£)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23,752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22,594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24,000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Male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28,082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26,287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27,277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Female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19,795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18,942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20,620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Full-time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30,807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29,109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Part-time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11,050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11,353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11,035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Male Full-time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31,514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30,100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30,130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Female Full-time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28,688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25,595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27,396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Male Part-time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8,650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x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10,065</w:t>
            </w:r>
          </w:p>
        </w:tc>
      </w:tr>
      <w:tr w:rsidR="00BA2E5D" w:rsidRPr="00BA2E5D" w:rsidTr="00BA2E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BA2E5D" w:rsidRPr="00BA2E5D" w:rsidRDefault="00BA2E5D" w:rsidP="00BA2E5D">
            <w:pPr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Female Part-time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11,850</w:t>
            </w:r>
          </w:p>
        </w:tc>
        <w:tc>
          <w:tcPr>
            <w:tcW w:w="1434" w:type="dxa"/>
            <w:noWrap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12,135</w:t>
            </w:r>
          </w:p>
        </w:tc>
        <w:tc>
          <w:tcPr>
            <w:tcW w:w="1435" w:type="dxa"/>
            <w:hideMark/>
          </w:tcPr>
          <w:p w:rsidR="00BA2E5D" w:rsidRPr="00BA2E5D" w:rsidRDefault="00BA2E5D" w:rsidP="00BA2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BA2E5D">
              <w:rPr>
                <w:rFonts w:eastAsia="Times New Roman" w:cstheme="minorHAnsi"/>
                <w:lang w:eastAsia="en-GB"/>
              </w:rPr>
              <w:t>11,366</w:t>
            </w:r>
          </w:p>
        </w:tc>
      </w:tr>
    </w:tbl>
    <w:p w:rsidR="00BA2E5D" w:rsidRPr="00BA2E5D" w:rsidRDefault="009618DF" w:rsidP="00476125">
      <w:pPr>
        <w:rPr>
          <w:i/>
          <w:sz w:val="20"/>
          <w:szCs w:val="20"/>
        </w:rPr>
      </w:pPr>
      <w:r w:rsidRPr="00BA2E5D">
        <w:rPr>
          <w:i/>
          <w:sz w:val="20"/>
          <w:szCs w:val="20"/>
        </w:rPr>
        <w:t>Table 1</w:t>
      </w:r>
      <w:r w:rsidR="00090DFD" w:rsidRPr="00BA2E5D">
        <w:rPr>
          <w:i/>
          <w:sz w:val="20"/>
          <w:szCs w:val="20"/>
        </w:rPr>
        <w:t xml:space="preserve">: </w:t>
      </w:r>
      <w:r w:rsidR="00476125" w:rsidRPr="00BA2E5D">
        <w:rPr>
          <w:i/>
          <w:sz w:val="20"/>
          <w:szCs w:val="20"/>
        </w:rPr>
        <w:t xml:space="preserve"> </w:t>
      </w:r>
      <w:r w:rsidR="00B22592" w:rsidRPr="00BA2E5D">
        <w:rPr>
          <w:i/>
          <w:sz w:val="20"/>
          <w:szCs w:val="20"/>
        </w:rPr>
        <w:t>Median gross annual</w:t>
      </w:r>
      <w:r w:rsidR="00476125" w:rsidRPr="00BA2E5D">
        <w:rPr>
          <w:i/>
          <w:sz w:val="20"/>
          <w:szCs w:val="20"/>
        </w:rPr>
        <w:t xml:space="preserve"> pay in Armagh City, Banbridge and Craiga</w:t>
      </w:r>
      <w:r w:rsidR="00B22592" w:rsidRPr="00BA2E5D">
        <w:rPr>
          <w:i/>
          <w:sz w:val="20"/>
          <w:szCs w:val="20"/>
        </w:rPr>
        <w:t>von</w:t>
      </w:r>
      <w:r w:rsidR="00090DFD" w:rsidRPr="00BA2E5D">
        <w:rPr>
          <w:i/>
          <w:sz w:val="20"/>
          <w:szCs w:val="20"/>
        </w:rPr>
        <w:t xml:space="preserve"> Borough</w:t>
      </w:r>
      <w:r w:rsidR="00B22592" w:rsidRPr="00BA2E5D">
        <w:rPr>
          <w:i/>
          <w:sz w:val="20"/>
          <w:szCs w:val="20"/>
        </w:rPr>
        <w:t xml:space="preserve"> and Northern Ireland in 20</w:t>
      </w:r>
      <w:r w:rsidR="00BA2E5D" w:rsidRPr="00BA2E5D">
        <w:rPr>
          <w:i/>
          <w:sz w:val="20"/>
          <w:szCs w:val="20"/>
        </w:rPr>
        <w:t xml:space="preserve">21 </w:t>
      </w:r>
      <w:r w:rsidR="00476125" w:rsidRPr="00BA2E5D">
        <w:rPr>
          <w:i/>
          <w:sz w:val="20"/>
          <w:szCs w:val="20"/>
        </w:rPr>
        <w:t xml:space="preserve">by gender and </w:t>
      </w:r>
      <w:r w:rsidR="00780C49" w:rsidRPr="00BA2E5D">
        <w:rPr>
          <w:i/>
          <w:sz w:val="20"/>
          <w:szCs w:val="20"/>
        </w:rPr>
        <w:t>employment type</w:t>
      </w:r>
      <w:r w:rsidR="00476125" w:rsidRPr="00BA2E5D">
        <w:rPr>
          <w:i/>
          <w:sz w:val="20"/>
          <w:szCs w:val="20"/>
        </w:rPr>
        <w:t>. Source: Annual Survey of Hours and Earnings, NISRA. Please note X represents estimates that are considered unreliable for practical purposes.</w:t>
      </w:r>
    </w:p>
    <w:p w:rsidR="00BA2E5D" w:rsidRPr="004017B2" w:rsidRDefault="00BA2E5D" w:rsidP="00476125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6582D778" wp14:editId="61413DB6">
            <wp:extent cx="5494020" cy="3234690"/>
            <wp:effectExtent l="0" t="0" r="11430" b="3810"/>
            <wp:docPr id="4" name="Chart 4" title="Median gross annual pay in Armagh City, Banbridge and Craigavon Borough and Northern Ireland in 2021 by gender and employment typ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1BEE" w:rsidRPr="00C725FB" w:rsidRDefault="00FC1BEE" w:rsidP="00FC1BEE">
      <w:pPr>
        <w:rPr>
          <w:noProof/>
          <w:lang w:eastAsia="en-GB"/>
        </w:rPr>
      </w:pPr>
      <w:r w:rsidRPr="00C725FB">
        <w:rPr>
          <w:i/>
          <w:sz w:val="20"/>
          <w:szCs w:val="20"/>
        </w:rPr>
        <w:t xml:space="preserve">Figure </w:t>
      </w:r>
      <w:r w:rsidR="009618DF" w:rsidRPr="00C725FB">
        <w:rPr>
          <w:i/>
          <w:sz w:val="20"/>
          <w:szCs w:val="20"/>
        </w:rPr>
        <w:t>1</w:t>
      </w:r>
      <w:r w:rsidR="00090DFD" w:rsidRPr="00C725FB">
        <w:rPr>
          <w:i/>
          <w:sz w:val="20"/>
          <w:szCs w:val="20"/>
        </w:rPr>
        <w:t xml:space="preserve">: </w:t>
      </w:r>
      <w:r w:rsidR="00B22592" w:rsidRPr="00C725FB">
        <w:rPr>
          <w:i/>
          <w:sz w:val="20"/>
          <w:szCs w:val="20"/>
        </w:rPr>
        <w:t>Median gross annual</w:t>
      </w:r>
      <w:r w:rsidRPr="00C725FB">
        <w:rPr>
          <w:i/>
          <w:sz w:val="20"/>
          <w:szCs w:val="20"/>
        </w:rPr>
        <w:t xml:space="preserve"> pay in Armagh City, Banbridge and Craiga</w:t>
      </w:r>
      <w:r w:rsidR="00B22592" w:rsidRPr="00C725FB">
        <w:rPr>
          <w:i/>
          <w:sz w:val="20"/>
          <w:szCs w:val="20"/>
        </w:rPr>
        <w:t xml:space="preserve">von </w:t>
      </w:r>
      <w:r w:rsidR="00090DFD" w:rsidRPr="00C725FB">
        <w:rPr>
          <w:i/>
          <w:sz w:val="20"/>
          <w:szCs w:val="20"/>
        </w:rPr>
        <w:t xml:space="preserve">Borough </w:t>
      </w:r>
      <w:r w:rsidR="00C725FB">
        <w:rPr>
          <w:i/>
          <w:sz w:val="20"/>
          <w:szCs w:val="20"/>
        </w:rPr>
        <w:t>and Northern Ireland in 2021</w:t>
      </w:r>
      <w:r w:rsidRPr="00C725FB">
        <w:rPr>
          <w:i/>
          <w:sz w:val="20"/>
          <w:szCs w:val="20"/>
        </w:rPr>
        <w:t xml:space="preserve"> by gender and employment type. Source: Annual Survey of Hours and Earnings, NISRA. </w:t>
      </w:r>
    </w:p>
    <w:p w:rsidR="00A742DC" w:rsidRPr="00EC499B" w:rsidRDefault="00D54825" w:rsidP="009618DF">
      <w:r w:rsidRPr="00EC499B">
        <w:t>In 20</w:t>
      </w:r>
      <w:r w:rsidR="00C725FB" w:rsidRPr="00EC499B">
        <w:t>21</w:t>
      </w:r>
      <w:r w:rsidRPr="00EC499B">
        <w:t xml:space="preserve"> r</w:t>
      </w:r>
      <w:r w:rsidR="009618DF" w:rsidRPr="00EC499B">
        <w:t>eside</w:t>
      </w:r>
      <w:r w:rsidRPr="00EC499B">
        <w:t xml:space="preserve">nts of the borough had the </w:t>
      </w:r>
      <w:r w:rsidR="00EC499B" w:rsidRPr="00EC499B">
        <w:t>fifth</w:t>
      </w:r>
      <w:r w:rsidR="009618DF" w:rsidRPr="00EC499B">
        <w:t xml:space="preserve"> highest </w:t>
      </w:r>
      <w:r w:rsidRPr="00EC499B">
        <w:t xml:space="preserve">median gross </w:t>
      </w:r>
      <w:r w:rsidR="00EC499B" w:rsidRPr="00EC499B">
        <w:t>weekly</w:t>
      </w:r>
      <w:r w:rsidRPr="00EC499B">
        <w:t xml:space="preserve"> full-time</w:t>
      </w:r>
      <w:r w:rsidR="00F133BC" w:rsidRPr="00EC499B">
        <w:t xml:space="preserve"> pay of the eleven council areas</w:t>
      </w:r>
      <w:r w:rsidR="009618DF" w:rsidRPr="00EC499B">
        <w:t xml:space="preserve"> and for those working in the borough, Armagh City, Banbri</w:t>
      </w:r>
      <w:r w:rsidRPr="00EC499B">
        <w:t xml:space="preserve">dge and Craigavon was the </w:t>
      </w:r>
      <w:r w:rsidR="00EC499B" w:rsidRPr="00EC499B">
        <w:t>fourth</w:t>
      </w:r>
      <w:r w:rsidR="009618DF" w:rsidRPr="00EC499B">
        <w:t xml:space="preserve"> highest of the eleven council</w:t>
      </w:r>
      <w:r w:rsidR="00EC499B" w:rsidRPr="00EC499B">
        <w:t xml:space="preserve"> areas</w:t>
      </w:r>
      <w:r w:rsidR="009618DF" w:rsidRPr="00EC499B">
        <w:t>.</w:t>
      </w:r>
    </w:p>
    <w:tbl>
      <w:tblPr>
        <w:tblStyle w:val="GridTable1Light"/>
        <w:tblW w:w="7200" w:type="dxa"/>
        <w:tblLook w:val="04A0" w:firstRow="1" w:lastRow="0" w:firstColumn="1" w:lastColumn="0" w:noHBand="0" w:noVBand="1"/>
        <w:tblCaption w:val="Median gross weekly full-time pay in Northern Ireland by Council in 2021"/>
      </w:tblPr>
      <w:tblGrid>
        <w:gridCol w:w="3840"/>
        <w:gridCol w:w="1680"/>
        <w:gridCol w:w="1680"/>
      </w:tblGrid>
      <w:tr w:rsidR="00A742DC" w:rsidRPr="00A742DC" w:rsidTr="0093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District Council Area</w:t>
            </w:r>
          </w:p>
        </w:tc>
        <w:tc>
          <w:tcPr>
            <w:tcW w:w="1680" w:type="dxa"/>
            <w:hideMark/>
          </w:tcPr>
          <w:p w:rsidR="00A742DC" w:rsidRPr="00A742DC" w:rsidRDefault="00A742DC" w:rsidP="00A7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Residents of (£)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Working in (£)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Antrim and Newtownabbey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587.4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555</w:t>
            </w:r>
            <w:r>
              <w:rPr>
                <w:rFonts w:ascii="Calibri" w:eastAsia="Times New Roman" w:hAnsi="Calibri" w:cs="Calibri"/>
                <w:lang w:eastAsia="en-GB"/>
              </w:rPr>
              <w:t>.0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Ards and North Down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577.6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564.7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Armagh City, Banbridge and Craigavon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574.9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562.7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Belfast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586.7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618</w:t>
            </w:r>
            <w:r>
              <w:rPr>
                <w:rFonts w:ascii="Calibri" w:eastAsia="Times New Roman" w:hAnsi="Calibri" w:cs="Calibri"/>
                <w:lang w:eastAsia="en-GB"/>
              </w:rPr>
              <w:t>.0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Causeway Coast and Glens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494.6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451.7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Derry City and Strabane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504.2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533</w:t>
            </w:r>
            <w:r>
              <w:rPr>
                <w:rFonts w:ascii="Calibri" w:eastAsia="Times New Roman" w:hAnsi="Calibri" w:cs="Calibri"/>
                <w:lang w:eastAsia="en-GB"/>
              </w:rPr>
              <w:t>.0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Fermanagh and Omagh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572.4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535.2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Lisburn and Castlereagh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634.2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582.9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Mid and East Antrim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548.3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537.3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Mid Ulster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533.5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531.1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>Newry, Mourne and Down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567.2</w:t>
            </w:r>
          </w:p>
        </w:tc>
        <w:tc>
          <w:tcPr>
            <w:tcW w:w="1680" w:type="dxa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lang w:eastAsia="en-GB"/>
              </w:rPr>
              <w:t>522.4</w:t>
            </w:r>
          </w:p>
        </w:tc>
      </w:tr>
      <w:tr w:rsidR="00A742DC" w:rsidRPr="00A742DC" w:rsidTr="00A742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A742DC" w:rsidRPr="00A742DC" w:rsidRDefault="00A742DC" w:rsidP="00A742DC">
            <w:pPr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b w:val="0"/>
                <w:lang w:eastAsia="en-GB"/>
              </w:rPr>
              <w:t xml:space="preserve">Northern Ireland </w:t>
            </w:r>
          </w:p>
        </w:tc>
        <w:tc>
          <w:tcPr>
            <w:tcW w:w="3360" w:type="dxa"/>
            <w:gridSpan w:val="2"/>
            <w:noWrap/>
            <w:hideMark/>
          </w:tcPr>
          <w:p w:rsidR="00A742DC" w:rsidRPr="00A742DC" w:rsidRDefault="00A742DC" w:rsidP="00A74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2DC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.0</w:t>
            </w:r>
          </w:p>
        </w:tc>
      </w:tr>
    </w:tbl>
    <w:p w:rsidR="00A742DC" w:rsidRPr="00EC499B" w:rsidRDefault="00A742DC" w:rsidP="00A742DC">
      <w:pPr>
        <w:rPr>
          <w:i/>
          <w:sz w:val="20"/>
          <w:szCs w:val="20"/>
        </w:rPr>
      </w:pPr>
      <w:r w:rsidRPr="00EC499B">
        <w:rPr>
          <w:i/>
          <w:sz w:val="20"/>
          <w:szCs w:val="20"/>
        </w:rPr>
        <w:t xml:space="preserve">Table 2: Median gross weekly full-time pay in Northern Ireland by Council in 2021. Source: Annual Survey of Hours and Earnings, NISRA. </w:t>
      </w:r>
    </w:p>
    <w:p w:rsidR="00A742DC" w:rsidRDefault="00A742DC" w:rsidP="009618DF">
      <w:pPr>
        <w:rPr>
          <w:color w:val="FF0000"/>
        </w:rPr>
      </w:pPr>
    </w:p>
    <w:p w:rsidR="00F133BC" w:rsidRPr="004017B2" w:rsidRDefault="00F133BC" w:rsidP="009618DF">
      <w:pPr>
        <w:rPr>
          <w:color w:val="FF0000"/>
        </w:rPr>
      </w:pPr>
    </w:p>
    <w:p w:rsidR="009618DF" w:rsidRDefault="009618DF" w:rsidP="009618DF">
      <w:pPr>
        <w:rPr>
          <w:i/>
          <w:color w:val="FF0000"/>
          <w:sz w:val="20"/>
          <w:szCs w:val="20"/>
        </w:rPr>
      </w:pPr>
    </w:p>
    <w:p w:rsidR="00EC499B" w:rsidRDefault="00EC499B" w:rsidP="009618DF">
      <w:pPr>
        <w:rPr>
          <w:i/>
          <w:color w:val="FF0000"/>
          <w:sz w:val="20"/>
          <w:szCs w:val="20"/>
        </w:rPr>
      </w:pPr>
    </w:p>
    <w:p w:rsidR="00EC499B" w:rsidRDefault="00EC499B" w:rsidP="009618DF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224D2AC" wp14:editId="55D224D8">
            <wp:extent cx="5731510" cy="2896235"/>
            <wp:effectExtent l="0" t="0" r="2540" b="18415"/>
            <wp:docPr id="5" name="Chart 5" title="Median gross weekly full-time pay in Northern Ireland by Council in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18DF" w:rsidRPr="00AF4B14" w:rsidRDefault="00090DFD" w:rsidP="009618DF">
      <w:pPr>
        <w:rPr>
          <w:i/>
          <w:sz w:val="20"/>
          <w:szCs w:val="20"/>
        </w:rPr>
      </w:pPr>
      <w:r w:rsidRPr="00AF4B14">
        <w:rPr>
          <w:i/>
          <w:sz w:val="20"/>
          <w:szCs w:val="20"/>
        </w:rPr>
        <w:t xml:space="preserve">Figure 2: </w:t>
      </w:r>
      <w:r w:rsidR="009618DF" w:rsidRPr="00AF4B14">
        <w:rPr>
          <w:i/>
          <w:sz w:val="20"/>
          <w:szCs w:val="20"/>
        </w:rPr>
        <w:t xml:space="preserve">Median gross </w:t>
      </w:r>
      <w:r w:rsidR="00AF4B14" w:rsidRPr="00AF4B14">
        <w:rPr>
          <w:i/>
          <w:sz w:val="20"/>
          <w:szCs w:val="20"/>
        </w:rPr>
        <w:t>weekly</w:t>
      </w:r>
      <w:r w:rsidR="009618DF" w:rsidRPr="00AF4B14">
        <w:rPr>
          <w:i/>
          <w:sz w:val="20"/>
          <w:szCs w:val="20"/>
        </w:rPr>
        <w:t xml:space="preserve"> full-time pay in Northern Ireland by Council in 20</w:t>
      </w:r>
      <w:r w:rsidR="00AF4B14" w:rsidRPr="00AF4B14">
        <w:rPr>
          <w:i/>
          <w:sz w:val="20"/>
          <w:szCs w:val="20"/>
        </w:rPr>
        <w:t>21</w:t>
      </w:r>
      <w:r w:rsidR="009618DF" w:rsidRPr="00AF4B14">
        <w:rPr>
          <w:i/>
          <w:sz w:val="20"/>
          <w:szCs w:val="20"/>
        </w:rPr>
        <w:t>. Source: Annual Survey of Hours and Earnings, NISRA.</w:t>
      </w:r>
    </w:p>
    <w:p w:rsidR="00AF4B14" w:rsidRDefault="00AF4B14" w:rsidP="009F4644">
      <w:pPr>
        <w:rPr>
          <w:color w:val="FF0000"/>
          <w:highlight w:val="yellow"/>
        </w:rPr>
      </w:pPr>
    </w:p>
    <w:p w:rsidR="00A90398" w:rsidRPr="00914040" w:rsidRDefault="0003311F" w:rsidP="009F4644">
      <w:r w:rsidRPr="00914040">
        <w:t>The</w:t>
      </w:r>
      <w:r w:rsidR="00D54825" w:rsidRPr="00914040">
        <w:t xml:space="preserve"> median</w:t>
      </w:r>
      <w:r w:rsidRPr="00914040">
        <w:t xml:space="preserve"> gross</w:t>
      </w:r>
      <w:r w:rsidR="00D54825" w:rsidRPr="00914040">
        <w:t xml:space="preserve"> annual full-time</w:t>
      </w:r>
      <w:r w:rsidR="009F4644" w:rsidRPr="00914040">
        <w:t xml:space="preserve"> pay </w:t>
      </w:r>
      <w:r w:rsidR="00D628A6" w:rsidRPr="00914040">
        <w:t>has bee</w:t>
      </w:r>
      <w:r w:rsidR="00D54825" w:rsidRPr="00914040">
        <w:t>n rising year on year since 2015</w:t>
      </w:r>
      <w:r w:rsidR="00D628A6" w:rsidRPr="00914040">
        <w:t xml:space="preserve"> for residents of the borough, those working in the borough and for Northern Ireland overall</w:t>
      </w:r>
      <w:r w:rsidR="009F4644" w:rsidRPr="00914040">
        <w:t>.</w:t>
      </w:r>
      <w:r w:rsidR="00D54825" w:rsidRPr="00914040">
        <w:t xml:space="preserve"> </w:t>
      </w:r>
      <w:r w:rsidR="00A90398" w:rsidRPr="00914040">
        <w:t xml:space="preserve"> </w:t>
      </w:r>
      <w:r w:rsidR="008D3DA8" w:rsidRPr="00914040">
        <w:t>Between 2015 and 2021, t</w:t>
      </w:r>
      <w:r w:rsidR="00D54825" w:rsidRPr="00914040">
        <w:t xml:space="preserve">here has been a </w:t>
      </w:r>
      <w:r w:rsidR="008D3DA8" w:rsidRPr="00914040">
        <w:t>33.1</w:t>
      </w:r>
      <w:r w:rsidR="00D628A6" w:rsidRPr="00914040">
        <w:t xml:space="preserve">% increase in </w:t>
      </w:r>
      <w:r w:rsidR="008D3DA8" w:rsidRPr="00914040">
        <w:t xml:space="preserve">the </w:t>
      </w:r>
      <w:r w:rsidR="00D628A6" w:rsidRPr="00914040">
        <w:t xml:space="preserve">gross median </w:t>
      </w:r>
      <w:r w:rsidR="00D54825" w:rsidRPr="00914040">
        <w:t xml:space="preserve">annual full-time pay </w:t>
      </w:r>
      <w:r w:rsidR="00D628A6" w:rsidRPr="00914040">
        <w:t>for res</w:t>
      </w:r>
      <w:r w:rsidR="00D54825" w:rsidRPr="00914040">
        <w:t>idents of the borough</w:t>
      </w:r>
      <w:r w:rsidR="008D3DA8" w:rsidRPr="00914040">
        <w:t xml:space="preserve">.  </w:t>
      </w:r>
      <w:r w:rsidR="00447945" w:rsidRPr="00914040">
        <w:t xml:space="preserve">Reliable </w:t>
      </w:r>
      <w:r w:rsidR="008D3DA8" w:rsidRPr="00914040">
        <w:t>2021</w:t>
      </w:r>
      <w:r w:rsidR="00914040">
        <w:rPr>
          <w:rStyle w:val="FootnoteReference"/>
        </w:rPr>
        <w:footnoteReference w:id="1"/>
      </w:r>
      <w:r w:rsidR="008D3DA8" w:rsidRPr="00914040">
        <w:t xml:space="preserve"> data is not available for those working in the borough</w:t>
      </w:r>
      <w:r w:rsidR="00A90398" w:rsidRPr="00914040">
        <w:t xml:space="preserve"> so for comparative purposes, the </w:t>
      </w:r>
      <w:r w:rsidR="00447945" w:rsidRPr="00914040">
        <w:t>percentage</w:t>
      </w:r>
      <w:r w:rsidR="00A90398" w:rsidRPr="00914040">
        <w:t xml:space="preserve"> increase from 2015 to 2020</w:t>
      </w:r>
      <w:r w:rsidR="00447945" w:rsidRPr="00914040">
        <w:t xml:space="preserve"> is measured </w:t>
      </w:r>
      <w:r w:rsidR="00D54825" w:rsidRPr="00914040">
        <w:t xml:space="preserve">and </w:t>
      </w:r>
      <w:r w:rsidR="00447945" w:rsidRPr="00914040">
        <w:t xml:space="preserve">the increase for those working in the borough and those living in the borough has been fairly consistent at 25.7% and 25.5% respectively.  </w:t>
      </w:r>
      <w:r w:rsidR="00D628A6" w:rsidRPr="00914040">
        <w:t>These increases are both higher than the overall N</w:t>
      </w:r>
      <w:r w:rsidR="00D54825" w:rsidRPr="00914040">
        <w:t xml:space="preserve">orthern Ireland increase of </w:t>
      </w:r>
      <w:r w:rsidR="00914040" w:rsidRPr="00914040">
        <w:t>11.3</w:t>
      </w:r>
      <w:r w:rsidR="00D628A6" w:rsidRPr="00914040">
        <w:t>% across the same time period.</w:t>
      </w:r>
    </w:p>
    <w:tbl>
      <w:tblPr>
        <w:tblW w:w="6379" w:type="dxa"/>
        <w:tblInd w:w="-10" w:type="dxa"/>
        <w:tblLook w:val="04A0" w:firstRow="1" w:lastRow="0" w:firstColumn="1" w:lastColumn="0" w:noHBand="0" w:noVBand="1"/>
      </w:tblPr>
      <w:tblGrid>
        <w:gridCol w:w="1418"/>
        <w:gridCol w:w="1653"/>
        <w:gridCol w:w="1654"/>
        <w:gridCol w:w="1654"/>
      </w:tblGrid>
      <w:tr w:rsidR="008D271F" w:rsidRPr="008D271F" w:rsidTr="00937C4D">
        <w:trPr>
          <w:trHeight w:val="588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b/>
                <w:bCs/>
                <w:lang w:eastAsia="en-GB"/>
              </w:rPr>
              <w:t>Resident of ABC (£)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b/>
                <w:bCs/>
                <w:lang w:eastAsia="en-GB"/>
              </w:rPr>
              <w:t>Working in  ABC (£)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b/>
                <w:bCs/>
                <w:lang w:eastAsia="en-GB"/>
              </w:rPr>
              <w:t>Northern Ireland (£)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23,837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22,705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24,491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23,139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22,588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25,719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24,650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23,131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25,978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26,053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24,320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25,999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26,710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25,257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27,101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27,799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26,566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27,437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29,032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28,404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28,624</w:t>
            </w:r>
          </w:p>
        </w:tc>
      </w:tr>
      <w:tr w:rsidR="008D271F" w:rsidRPr="008D271F" w:rsidTr="00937C4D">
        <w:trPr>
          <w:trHeight w:val="300"/>
          <w:tblHeader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D2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30,807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1F" w:rsidRPr="008D271F" w:rsidRDefault="008D271F" w:rsidP="008D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D271F">
              <w:rPr>
                <w:rFonts w:ascii="Calibri" w:eastAsia="Times New Roman" w:hAnsi="Calibri" w:cs="Calibri"/>
                <w:lang w:eastAsia="en-GB"/>
              </w:rPr>
              <w:t>29,109</w:t>
            </w:r>
          </w:p>
        </w:tc>
      </w:tr>
    </w:tbl>
    <w:p w:rsidR="004172DA" w:rsidRPr="00914040" w:rsidRDefault="00090DFD" w:rsidP="006E3D1E">
      <w:pPr>
        <w:rPr>
          <w:i/>
          <w:sz w:val="20"/>
          <w:szCs w:val="20"/>
        </w:rPr>
      </w:pPr>
      <w:r w:rsidRPr="00914040">
        <w:rPr>
          <w:i/>
          <w:sz w:val="20"/>
          <w:szCs w:val="20"/>
        </w:rPr>
        <w:t>Table 3:</w:t>
      </w:r>
      <w:r w:rsidR="00FA7CCE" w:rsidRPr="00914040">
        <w:rPr>
          <w:i/>
          <w:sz w:val="20"/>
          <w:szCs w:val="20"/>
        </w:rPr>
        <w:t xml:space="preserve"> </w:t>
      </w:r>
      <w:r w:rsidR="00B22592" w:rsidRPr="00914040">
        <w:rPr>
          <w:i/>
          <w:sz w:val="20"/>
          <w:szCs w:val="20"/>
        </w:rPr>
        <w:t>Median gross an</w:t>
      </w:r>
      <w:r w:rsidR="00914040" w:rsidRPr="00914040">
        <w:rPr>
          <w:i/>
          <w:sz w:val="20"/>
          <w:szCs w:val="20"/>
        </w:rPr>
        <w:t>n</w:t>
      </w:r>
      <w:r w:rsidR="00B22592" w:rsidRPr="00914040">
        <w:rPr>
          <w:i/>
          <w:sz w:val="20"/>
          <w:szCs w:val="20"/>
        </w:rPr>
        <w:t>ual</w:t>
      </w:r>
      <w:r w:rsidR="000D60B1" w:rsidRPr="00914040">
        <w:rPr>
          <w:i/>
          <w:sz w:val="20"/>
          <w:szCs w:val="20"/>
        </w:rPr>
        <w:t xml:space="preserve"> full-time</w:t>
      </w:r>
      <w:r w:rsidR="00FA7CCE" w:rsidRPr="00914040">
        <w:rPr>
          <w:i/>
          <w:sz w:val="20"/>
          <w:szCs w:val="20"/>
        </w:rPr>
        <w:t xml:space="preserve"> pay in Arma</w:t>
      </w:r>
      <w:r w:rsidRPr="00914040">
        <w:rPr>
          <w:i/>
          <w:sz w:val="20"/>
          <w:szCs w:val="20"/>
        </w:rPr>
        <w:t>gh City, Banbridge and Craigavon Borough</w:t>
      </w:r>
      <w:r w:rsidR="00FA7CCE" w:rsidRPr="00914040">
        <w:rPr>
          <w:i/>
          <w:sz w:val="20"/>
          <w:szCs w:val="20"/>
        </w:rPr>
        <w:t xml:space="preserve"> and Northe</w:t>
      </w:r>
      <w:r w:rsidR="00B22592" w:rsidRPr="00914040">
        <w:rPr>
          <w:i/>
          <w:sz w:val="20"/>
          <w:szCs w:val="20"/>
        </w:rPr>
        <w:t>rn Ireland between 2014 and 20</w:t>
      </w:r>
      <w:r w:rsidR="00914040" w:rsidRPr="00914040">
        <w:rPr>
          <w:i/>
          <w:sz w:val="20"/>
          <w:szCs w:val="20"/>
        </w:rPr>
        <w:t>21</w:t>
      </w:r>
      <w:r w:rsidR="00FA7CCE" w:rsidRPr="00914040">
        <w:rPr>
          <w:i/>
          <w:sz w:val="20"/>
          <w:szCs w:val="20"/>
        </w:rPr>
        <w:t>. Source: Annual Survey of Hours and Earnings, NISRA.</w:t>
      </w:r>
    </w:p>
    <w:p w:rsidR="009618DF" w:rsidRDefault="009618DF" w:rsidP="006E3D1E">
      <w:pPr>
        <w:rPr>
          <w:color w:val="FF0000"/>
        </w:rPr>
      </w:pPr>
    </w:p>
    <w:p w:rsidR="00914040" w:rsidRDefault="00914040" w:rsidP="006E3D1E">
      <w:pPr>
        <w:rPr>
          <w:color w:val="FF0000"/>
        </w:rPr>
      </w:pPr>
    </w:p>
    <w:p w:rsidR="00FA7CCE" w:rsidRPr="004017B2" w:rsidRDefault="00914040" w:rsidP="006554B2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210EFA60" wp14:editId="2A2FD9B8">
            <wp:extent cx="5791200" cy="3204210"/>
            <wp:effectExtent l="0" t="0" r="0" b="15240"/>
            <wp:docPr id="1" name="Chart 1" title="Median gross annual full-time pay in Armagh City, Banbridge and Craigavon Borough and Northern Ireland between 2014 and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90DFD" w:rsidRPr="00914040">
        <w:rPr>
          <w:i/>
          <w:sz w:val="20"/>
          <w:szCs w:val="20"/>
        </w:rPr>
        <w:t xml:space="preserve">Figure 3: </w:t>
      </w:r>
      <w:r w:rsidR="00D54825" w:rsidRPr="00914040">
        <w:rPr>
          <w:i/>
          <w:sz w:val="20"/>
          <w:szCs w:val="20"/>
        </w:rPr>
        <w:t>Median gross annual full-time</w:t>
      </w:r>
      <w:r w:rsidR="006554B2" w:rsidRPr="00914040">
        <w:rPr>
          <w:i/>
          <w:sz w:val="20"/>
          <w:szCs w:val="20"/>
        </w:rPr>
        <w:t xml:space="preserve"> pay in Armagh City, Banbridge and Craigavon</w:t>
      </w:r>
      <w:r w:rsidR="00090DFD" w:rsidRPr="00914040">
        <w:rPr>
          <w:i/>
          <w:sz w:val="20"/>
          <w:szCs w:val="20"/>
        </w:rPr>
        <w:t xml:space="preserve"> Borough</w:t>
      </w:r>
      <w:r w:rsidR="006554B2" w:rsidRPr="00914040">
        <w:rPr>
          <w:i/>
          <w:sz w:val="20"/>
          <w:szCs w:val="20"/>
        </w:rPr>
        <w:t xml:space="preserve"> and Northern Ireland </w:t>
      </w:r>
      <w:r w:rsidR="00D54825" w:rsidRPr="00914040">
        <w:rPr>
          <w:i/>
          <w:sz w:val="20"/>
          <w:szCs w:val="20"/>
        </w:rPr>
        <w:t>between 2014 and 20</w:t>
      </w:r>
      <w:r w:rsidRPr="00914040">
        <w:rPr>
          <w:i/>
          <w:sz w:val="20"/>
          <w:szCs w:val="20"/>
        </w:rPr>
        <w:t>21</w:t>
      </w:r>
      <w:r w:rsidR="006554B2" w:rsidRPr="00914040">
        <w:rPr>
          <w:i/>
          <w:sz w:val="20"/>
          <w:szCs w:val="20"/>
        </w:rPr>
        <w:t>. Source: Annual Survey of Hours and Earnings, NISRA.</w:t>
      </w:r>
    </w:p>
    <w:p w:rsidR="00FA7CCE" w:rsidRPr="004017B2" w:rsidRDefault="00FA7CCE" w:rsidP="00FA7CCE">
      <w:pPr>
        <w:rPr>
          <w:color w:val="FF0000"/>
        </w:rPr>
      </w:pPr>
    </w:p>
    <w:p w:rsidR="006554B2" w:rsidRPr="00914040" w:rsidRDefault="00FA7CCE" w:rsidP="00FA7CCE">
      <w:r w:rsidRPr="00914040">
        <w:t>Further information on earnings can be found via the following link:</w:t>
      </w:r>
    </w:p>
    <w:p w:rsidR="00FA7CCE" w:rsidRPr="00914040" w:rsidRDefault="00281F2E" w:rsidP="00FA7CCE">
      <w:hyperlink r:id="rId10" w:history="1">
        <w:r w:rsidR="00FA7CCE" w:rsidRPr="00914040">
          <w:rPr>
            <w:rStyle w:val="Hyperlink"/>
            <w:color w:val="auto"/>
          </w:rPr>
          <w:t>https://www.nisra.gov.uk/statistics/labour-market-and-social-welfare/annual-survey-hours-and-earnings</w:t>
        </w:r>
      </w:hyperlink>
    </w:p>
    <w:p w:rsidR="00FA7CCE" w:rsidRPr="004017B2" w:rsidRDefault="00FA7CCE" w:rsidP="00FA7CCE">
      <w:pPr>
        <w:rPr>
          <w:color w:val="FF0000"/>
        </w:rPr>
      </w:pPr>
    </w:p>
    <w:sectPr w:rsidR="00FA7CCE" w:rsidRPr="004017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AC" w:rsidRDefault="004A09AC" w:rsidP="004A09AC">
      <w:pPr>
        <w:spacing w:after="0" w:line="240" w:lineRule="auto"/>
      </w:pPr>
      <w:r>
        <w:separator/>
      </w:r>
    </w:p>
  </w:endnote>
  <w:endnote w:type="continuationSeparator" w:id="0">
    <w:p w:rsidR="004A09AC" w:rsidRDefault="004A09AC" w:rsidP="004A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85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9AC" w:rsidRDefault="004A0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9AC" w:rsidRDefault="004A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AC" w:rsidRDefault="004A09AC" w:rsidP="004A09AC">
      <w:pPr>
        <w:spacing w:after="0" w:line="240" w:lineRule="auto"/>
      </w:pPr>
      <w:r>
        <w:separator/>
      </w:r>
    </w:p>
  </w:footnote>
  <w:footnote w:type="continuationSeparator" w:id="0">
    <w:p w:rsidR="004A09AC" w:rsidRDefault="004A09AC" w:rsidP="004A09AC">
      <w:pPr>
        <w:spacing w:after="0" w:line="240" w:lineRule="auto"/>
      </w:pPr>
      <w:r>
        <w:continuationSeparator/>
      </w:r>
    </w:p>
  </w:footnote>
  <w:footnote w:id="1">
    <w:p w:rsidR="00914040" w:rsidRDefault="00914040">
      <w:pPr>
        <w:pStyle w:val="FootnoteText"/>
      </w:pPr>
      <w:r>
        <w:rPr>
          <w:rStyle w:val="FootnoteReference"/>
        </w:rPr>
        <w:footnoteRef/>
      </w:r>
      <w:r>
        <w:t xml:space="preserve"> Revised 2021 figures are due in October 2022.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6"/>
    <w:rsid w:val="0003311F"/>
    <w:rsid w:val="00090DFD"/>
    <w:rsid w:val="000D60B1"/>
    <w:rsid w:val="00281F2E"/>
    <w:rsid w:val="0035318C"/>
    <w:rsid w:val="003E2090"/>
    <w:rsid w:val="004017B2"/>
    <w:rsid w:val="004172DA"/>
    <w:rsid w:val="00447945"/>
    <w:rsid w:val="00460280"/>
    <w:rsid w:val="00476125"/>
    <w:rsid w:val="004A09AC"/>
    <w:rsid w:val="006554B2"/>
    <w:rsid w:val="006E3D1E"/>
    <w:rsid w:val="00780C49"/>
    <w:rsid w:val="007B66B4"/>
    <w:rsid w:val="007D4B51"/>
    <w:rsid w:val="00820C7D"/>
    <w:rsid w:val="008D271F"/>
    <w:rsid w:val="008D3DA8"/>
    <w:rsid w:val="00911E0D"/>
    <w:rsid w:val="00914040"/>
    <w:rsid w:val="00937C4D"/>
    <w:rsid w:val="009618DF"/>
    <w:rsid w:val="009D4059"/>
    <w:rsid w:val="009F4644"/>
    <w:rsid w:val="00A742DC"/>
    <w:rsid w:val="00A90398"/>
    <w:rsid w:val="00AA6C9F"/>
    <w:rsid w:val="00AE7B58"/>
    <w:rsid w:val="00AF4B14"/>
    <w:rsid w:val="00B0698E"/>
    <w:rsid w:val="00B22592"/>
    <w:rsid w:val="00B53430"/>
    <w:rsid w:val="00B826AB"/>
    <w:rsid w:val="00B93D26"/>
    <w:rsid w:val="00BA2E5D"/>
    <w:rsid w:val="00C13AD8"/>
    <w:rsid w:val="00C70932"/>
    <w:rsid w:val="00C725FB"/>
    <w:rsid w:val="00C83384"/>
    <w:rsid w:val="00C8466D"/>
    <w:rsid w:val="00D10864"/>
    <w:rsid w:val="00D54825"/>
    <w:rsid w:val="00D628A6"/>
    <w:rsid w:val="00E80D9B"/>
    <w:rsid w:val="00EC499B"/>
    <w:rsid w:val="00F133BC"/>
    <w:rsid w:val="00FA678D"/>
    <w:rsid w:val="00FA7CCE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0B1A"/>
  <w15:chartTrackingRefBased/>
  <w15:docId w15:val="{1BD9300A-7E8F-4699-9D7A-D85EE28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AC"/>
  </w:style>
  <w:style w:type="paragraph" w:styleId="Footer">
    <w:name w:val="footer"/>
    <w:basedOn w:val="Normal"/>
    <w:link w:val="FooterChar"/>
    <w:uiPriority w:val="99"/>
    <w:unhideWhenUsed/>
    <w:rsid w:val="004A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AC"/>
  </w:style>
  <w:style w:type="paragraph" w:styleId="BalloonText">
    <w:name w:val="Balloon Text"/>
    <w:basedOn w:val="Normal"/>
    <w:link w:val="BalloonTextChar"/>
    <w:uiPriority w:val="99"/>
    <w:semiHidden/>
    <w:unhideWhenUsed/>
    <w:rsid w:val="0003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BA2E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sra.gov.uk/statistics/labour-market-and-social-welfare/annual-survey-hours-and-earnings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conomy%20and%20Labour%20Market\2022%20Updates\Earnings%20update%2007.03.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conomy%20and%20Labour%20Market\2022%20Updates\Earnings%20update%2007.03.22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conomy%20and%20Labour%20Market\2022%20Updates\Earnings%20update%2007.03.22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 tables'!$C$3</c:f>
              <c:strCache>
                <c:ptCount val="1"/>
                <c:pt idx="0">
                  <c:v>Resident of ABC (£)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'2021 tables'!$B$4:$B$16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'2021 tables'!$C$4:$C$16</c:f>
              <c:numCache>
                <c:formatCode>General</c:formatCode>
                <c:ptCount val="13"/>
                <c:pt idx="0" formatCode="#,##0">
                  <c:v>23752</c:v>
                </c:pt>
                <c:pt idx="2" formatCode="#,##0">
                  <c:v>28082</c:v>
                </c:pt>
                <c:pt idx="3" formatCode="#,##0">
                  <c:v>19795</c:v>
                </c:pt>
                <c:pt idx="5" formatCode="#,##0">
                  <c:v>30807</c:v>
                </c:pt>
                <c:pt idx="6" formatCode="#,##0">
                  <c:v>11050</c:v>
                </c:pt>
                <c:pt idx="8" formatCode="#,##0">
                  <c:v>31514</c:v>
                </c:pt>
                <c:pt idx="9" formatCode="#,##0">
                  <c:v>28688</c:v>
                </c:pt>
                <c:pt idx="11" formatCode="#,##0">
                  <c:v>8650</c:v>
                </c:pt>
                <c:pt idx="12" formatCode="#,##0">
                  <c:v>11850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5-4678-9EC5-EB71982D2168}"/>
            </c:ext>
          </c:extLst>
        </c:ser>
        <c:ser>
          <c:idx val="1"/>
          <c:order val="1"/>
          <c:tx>
            <c:strRef>
              <c:f>'2021 tables'!$D$3</c:f>
              <c:strCache>
                <c:ptCount val="1"/>
                <c:pt idx="0">
                  <c:v>Working in  ABC (£)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'2021 tables'!$B$4:$B$16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'2021 tables'!$D$4:$D$16</c:f>
              <c:numCache>
                <c:formatCode>General</c:formatCode>
                <c:ptCount val="13"/>
                <c:pt idx="0" formatCode="#,##0">
                  <c:v>22594</c:v>
                </c:pt>
                <c:pt idx="2" formatCode="#,##0">
                  <c:v>26287</c:v>
                </c:pt>
                <c:pt idx="3" formatCode="#,##0">
                  <c:v>18942</c:v>
                </c:pt>
                <c:pt idx="5" formatCode="#,##0">
                  <c:v>0</c:v>
                </c:pt>
                <c:pt idx="6" formatCode="#,##0">
                  <c:v>11353</c:v>
                </c:pt>
                <c:pt idx="8" formatCode="#,##0">
                  <c:v>30100</c:v>
                </c:pt>
                <c:pt idx="9" formatCode="#,##0">
                  <c:v>25595</c:v>
                </c:pt>
                <c:pt idx="11">
                  <c:v>0</c:v>
                </c:pt>
                <c:pt idx="12" formatCode="#,##0">
                  <c:v>12135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5-4678-9EC5-EB71982D2168}"/>
            </c:ext>
          </c:extLst>
        </c:ser>
        <c:ser>
          <c:idx val="2"/>
          <c:order val="2"/>
          <c:tx>
            <c:strRef>
              <c:f>'2021 tables'!$E$3</c:f>
              <c:strCache>
                <c:ptCount val="1"/>
                <c:pt idx="0">
                  <c:v>Northern Ireland (£)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'2021 tables'!$B$4:$B$16</c:f>
              <c:strCache>
                <c:ptCount val="13"/>
                <c:pt idx="0">
                  <c:v>All</c:v>
                </c:pt>
                <c:pt idx="2">
                  <c:v>Male</c:v>
                </c:pt>
                <c:pt idx="3">
                  <c:v>Female</c:v>
                </c:pt>
                <c:pt idx="5">
                  <c:v>Full-time</c:v>
                </c:pt>
                <c:pt idx="6">
                  <c:v>Part-time</c:v>
                </c:pt>
                <c:pt idx="8">
                  <c:v>Male Full-time</c:v>
                </c:pt>
                <c:pt idx="9">
                  <c:v>Female Full-time</c:v>
                </c:pt>
                <c:pt idx="11">
                  <c:v>Male Part-time</c:v>
                </c:pt>
                <c:pt idx="12">
                  <c:v>Female Part-time</c:v>
                </c:pt>
              </c:strCache>
            </c:strRef>
          </c:cat>
          <c:val>
            <c:numRef>
              <c:f>'2021 tables'!$E$4:$E$16</c:f>
              <c:numCache>
                <c:formatCode>General</c:formatCode>
                <c:ptCount val="13"/>
                <c:pt idx="0" formatCode="#,##0">
                  <c:v>24000</c:v>
                </c:pt>
                <c:pt idx="2" formatCode="#,##0">
                  <c:v>27277</c:v>
                </c:pt>
                <c:pt idx="3" formatCode="#,##0">
                  <c:v>20620</c:v>
                </c:pt>
                <c:pt idx="5" formatCode="#,##0">
                  <c:v>29109</c:v>
                </c:pt>
                <c:pt idx="6" formatCode="#,##0">
                  <c:v>11035</c:v>
                </c:pt>
                <c:pt idx="8" formatCode="#,##0">
                  <c:v>30130</c:v>
                </c:pt>
                <c:pt idx="9" formatCode="#,##0">
                  <c:v>27396</c:v>
                </c:pt>
                <c:pt idx="11" formatCode="#,##0">
                  <c:v>10065</c:v>
                </c:pt>
                <c:pt idx="12" formatCode="#,##0">
                  <c:v>11366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75-4678-9EC5-EB71982D2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019504"/>
        <c:axId val="599019088"/>
      </c:barChart>
      <c:catAx>
        <c:axId val="59901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019088"/>
        <c:crosses val="autoZero"/>
        <c:auto val="1"/>
        <c:lblAlgn val="ctr"/>
        <c:lblOffset val="100"/>
        <c:noMultiLvlLbl val="0"/>
      </c:catAx>
      <c:valAx>
        <c:axId val="5990190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01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'tables 2'!$C$18</c:f>
              <c:strCache>
                <c:ptCount val="1"/>
                <c:pt idx="0">
                  <c:v>Residents of (£)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'tables 2'!$B$19:$B$29</c:f>
              <c:strCache>
                <c:ptCount val="11"/>
                <c:pt idx="0">
                  <c:v>Antrim and Newtownabbey</c:v>
                </c:pt>
                <c:pt idx="1">
                  <c:v>Ards and North Down</c:v>
                </c:pt>
                <c:pt idx="2">
                  <c:v>Armagh City, Banbridge and Craigavon</c:v>
                </c:pt>
                <c:pt idx="3">
                  <c:v>Belfast</c:v>
                </c:pt>
                <c:pt idx="4">
                  <c:v>Causeway Coast and Glens</c:v>
                </c:pt>
                <c:pt idx="5">
                  <c:v>Derry City and Strabane</c:v>
                </c:pt>
                <c:pt idx="6">
                  <c:v>Fermanagh and Omagh</c:v>
                </c:pt>
                <c:pt idx="7">
                  <c:v>Lisburn and Castlereagh</c:v>
                </c:pt>
                <c:pt idx="8">
                  <c:v>Mid and East Antrim</c:v>
                </c:pt>
                <c:pt idx="9">
                  <c:v>Mid Ulster</c:v>
                </c:pt>
                <c:pt idx="10">
                  <c:v>Newry, Mourne and Down</c:v>
                </c:pt>
              </c:strCache>
            </c:strRef>
          </c:cat>
          <c:val>
            <c:numRef>
              <c:f>'tables 2'!$C$19:$C$29</c:f>
              <c:numCache>
                <c:formatCode>General</c:formatCode>
                <c:ptCount val="11"/>
                <c:pt idx="0">
                  <c:v>587.4</c:v>
                </c:pt>
                <c:pt idx="1">
                  <c:v>577.6</c:v>
                </c:pt>
                <c:pt idx="2">
                  <c:v>574.9</c:v>
                </c:pt>
                <c:pt idx="3">
                  <c:v>586.70000000000005</c:v>
                </c:pt>
                <c:pt idx="4">
                  <c:v>494.6</c:v>
                </c:pt>
                <c:pt idx="5">
                  <c:v>504.2</c:v>
                </c:pt>
                <c:pt idx="6">
                  <c:v>572.4</c:v>
                </c:pt>
                <c:pt idx="7">
                  <c:v>634.20000000000005</c:v>
                </c:pt>
                <c:pt idx="8">
                  <c:v>548.29999999999995</c:v>
                </c:pt>
                <c:pt idx="9">
                  <c:v>533.5</c:v>
                </c:pt>
                <c:pt idx="10">
                  <c:v>567.20000000000005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D-493B-A673-725C1408DAB7}"/>
            </c:ext>
          </c:extLst>
        </c:ser>
        <c:ser>
          <c:idx val="1"/>
          <c:order val="1"/>
          <c:tx>
            <c:strRef>
              <c:f>'tables 2'!$D$18</c:f>
              <c:strCache>
                <c:ptCount val="1"/>
                <c:pt idx="0">
                  <c:v>Working in (£)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'tables 2'!$B$19:$B$29</c:f>
              <c:strCache>
                <c:ptCount val="11"/>
                <c:pt idx="0">
                  <c:v>Antrim and Newtownabbey</c:v>
                </c:pt>
                <c:pt idx="1">
                  <c:v>Ards and North Down</c:v>
                </c:pt>
                <c:pt idx="2">
                  <c:v>Armagh City, Banbridge and Craigavon</c:v>
                </c:pt>
                <c:pt idx="3">
                  <c:v>Belfast</c:v>
                </c:pt>
                <c:pt idx="4">
                  <c:v>Causeway Coast and Glens</c:v>
                </c:pt>
                <c:pt idx="5">
                  <c:v>Derry City and Strabane</c:v>
                </c:pt>
                <c:pt idx="6">
                  <c:v>Fermanagh and Omagh</c:v>
                </c:pt>
                <c:pt idx="7">
                  <c:v>Lisburn and Castlereagh</c:v>
                </c:pt>
                <c:pt idx="8">
                  <c:v>Mid and East Antrim</c:v>
                </c:pt>
                <c:pt idx="9">
                  <c:v>Mid Ulster</c:v>
                </c:pt>
                <c:pt idx="10">
                  <c:v>Newry, Mourne and Down</c:v>
                </c:pt>
              </c:strCache>
            </c:strRef>
          </c:cat>
          <c:val>
            <c:numRef>
              <c:f>'tables 2'!$D$19:$D$29</c:f>
              <c:numCache>
                <c:formatCode>General</c:formatCode>
                <c:ptCount val="11"/>
                <c:pt idx="0">
                  <c:v>555</c:v>
                </c:pt>
                <c:pt idx="1">
                  <c:v>564.70000000000005</c:v>
                </c:pt>
                <c:pt idx="2">
                  <c:v>562.70000000000005</c:v>
                </c:pt>
                <c:pt idx="3">
                  <c:v>618</c:v>
                </c:pt>
                <c:pt idx="4">
                  <c:v>451.7</c:v>
                </c:pt>
                <c:pt idx="5">
                  <c:v>533</c:v>
                </c:pt>
                <c:pt idx="6">
                  <c:v>535.20000000000005</c:v>
                </c:pt>
                <c:pt idx="7">
                  <c:v>582.9</c:v>
                </c:pt>
                <c:pt idx="8">
                  <c:v>537.29999999999995</c:v>
                </c:pt>
                <c:pt idx="9">
                  <c:v>531.1</c:v>
                </c:pt>
                <c:pt idx="10">
                  <c:v>522.4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D-493B-A673-725C1408D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3734448"/>
        <c:axId val="823749008"/>
      </c:barChart>
      <c:catAx>
        <c:axId val="82373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749008"/>
        <c:crosses val="autoZero"/>
        <c:auto val="1"/>
        <c:lblAlgn val="ctr"/>
        <c:lblOffset val="100"/>
        <c:noMultiLvlLbl val="0"/>
      </c:catAx>
      <c:valAx>
        <c:axId val="82374900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373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trend!$C$3</c:f>
              <c:strCache>
                <c:ptCount val="1"/>
                <c:pt idx="0">
                  <c:v>Resident of ABC (£)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trend!$B$4:$B$11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trend!$C$4:$C$11</c:f>
              <c:numCache>
                <c:formatCode>#,##0</c:formatCode>
                <c:ptCount val="8"/>
                <c:pt idx="0">
                  <c:v>23837</c:v>
                </c:pt>
                <c:pt idx="1">
                  <c:v>23139</c:v>
                </c:pt>
                <c:pt idx="2">
                  <c:v>24650</c:v>
                </c:pt>
                <c:pt idx="3">
                  <c:v>26053</c:v>
                </c:pt>
                <c:pt idx="4">
                  <c:v>26710</c:v>
                </c:pt>
                <c:pt idx="5">
                  <c:v>27799</c:v>
                </c:pt>
                <c:pt idx="6">
                  <c:v>29032</c:v>
                </c:pt>
                <c:pt idx="7">
                  <c:v>30807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1-4E72-A841-F7EB66F25CE5}"/>
            </c:ext>
          </c:extLst>
        </c:ser>
        <c:ser>
          <c:idx val="1"/>
          <c:order val="1"/>
          <c:tx>
            <c:strRef>
              <c:f>trend!$D$3</c:f>
              <c:strCache>
                <c:ptCount val="1"/>
                <c:pt idx="0">
                  <c:v>Working in  ABC (£)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trend!$B$4:$B$11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trend!$D$4:$D$11</c:f>
              <c:numCache>
                <c:formatCode>#,##0</c:formatCode>
                <c:ptCount val="8"/>
                <c:pt idx="0">
                  <c:v>22705</c:v>
                </c:pt>
                <c:pt idx="1">
                  <c:v>22588</c:v>
                </c:pt>
                <c:pt idx="2">
                  <c:v>23131</c:v>
                </c:pt>
                <c:pt idx="3">
                  <c:v>24320</c:v>
                </c:pt>
                <c:pt idx="4">
                  <c:v>25257</c:v>
                </c:pt>
                <c:pt idx="5">
                  <c:v>26566</c:v>
                </c:pt>
                <c:pt idx="6">
                  <c:v>28404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51-4E72-A841-F7EB66F25CE5}"/>
            </c:ext>
          </c:extLst>
        </c:ser>
        <c:ser>
          <c:idx val="2"/>
          <c:order val="2"/>
          <c:tx>
            <c:strRef>
              <c:f>trend!$E$3</c:f>
              <c:strCache>
                <c:ptCount val="1"/>
                <c:pt idx="0">
                  <c:v>Northern Ireland (£)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trend!$B$4:$B$11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trend!$E$4:$E$11</c:f>
              <c:numCache>
                <c:formatCode>#,##0</c:formatCode>
                <c:ptCount val="8"/>
                <c:pt idx="0">
                  <c:v>24491</c:v>
                </c:pt>
                <c:pt idx="1">
                  <c:v>25719</c:v>
                </c:pt>
                <c:pt idx="2">
                  <c:v>25978</c:v>
                </c:pt>
                <c:pt idx="3">
                  <c:v>25999</c:v>
                </c:pt>
                <c:pt idx="4">
                  <c:v>27101</c:v>
                </c:pt>
                <c:pt idx="5">
                  <c:v>27437</c:v>
                </c:pt>
                <c:pt idx="6">
                  <c:v>28624</c:v>
                </c:pt>
                <c:pt idx="7">
                  <c:v>29109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51-4E72-A841-F7EB66F25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9001792"/>
        <c:axId val="1128997632"/>
      </c:barChart>
      <c:catAx>
        <c:axId val="11290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8997632"/>
        <c:crosses val="autoZero"/>
        <c:auto val="1"/>
        <c:lblAlgn val="ctr"/>
        <c:lblOffset val="100"/>
        <c:noMultiLvlLbl val="0"/>
      </c:catAx>
      <c:valAx>
        <c:axId val="11289976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0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9695-0D26-423B-9F67-69928EF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2019-11-11T15:14:00Z</cp:lastPrinted>
  <dcterms:created xsi:type="dcterms:W3CDTF">2022-03-07T15:52:00Z</dcterms:created>
  <dcterms:modified xsi:type="dcterms:W3CDTF">2022-04-12T14:03:00Z</dcterms:modified>
</cp:coreProperties>
</file>