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79C5E" w14:textId="77777777" w:rsidR="00C17259" w:rsidRPr="008C3787" w:rsidRDefault="008C3787">
      <w:pPr>
        <w:rPr>
          <w:b/>
        </w:rPr>
      </w:pPr>
      <w:r w:rsidRPr="008C3787">
        <w:rPr>
          <w:b/>
        </w:rPr>
        <w:t>Tourism</w:t>
      </w:r>
    </w:p>
    <w:p w14:paraId="75A6A4AD" w14:textId="77777777" w:rsidR="008C3787" w:rsidRDefault="008C3787">
      <w:r>
        <w:t>The number of overnight trips to the boroug</w:t>
      </w:r>
      <w:r w:rsidR="00836E9E">
        <w:t>h have varied over the last six</w:t>
      </w:r>
      <w:r>
        <w:t xml:space="preserve"> years. </w:t>
      </w:r>
      <w:r w:rsidR="00836E9E">
        <w:t>2014 saw the highest number of estimated overnight trips to Armagh City, Banbridge and Craigavon Borough (231,852). The estimated number of overnight trips to the borough in 2018 was 188,551.</w:t>
      </w:r>
    </w:p>
    <w:p w14:paraId="15087B95" w14:textId="77777777" w:rsidR="008C3787" w:rsidRDefault="008C3787">
      <w:r>
        <w:t>The number of nights spent in the borough</w:t>
      </w:r>
      <w:r w:rsidR="008C1EDC">
        <w:t xml:space="preserve"> </w:t>
      </w:r>
      <w:r>
        <w:t xml:space="preserve">in </w:t>
      </w:r>
      <w:r w:rsidR="00154E71">
        <w:t xml:space="preserve">2018 was 704,130. Across the last </w:t>
      </w:r>
      <w:r w:rsidR="00E41CE3">
        <w:t>six years 2013 saw the highest number of nights spent with 817,881.</w:t>
      </w:r>
    </w:p>
    <w:p w14:paraId="0179CAFD" w14:textId="77777777" w:rsidR="008C3787" w:rsidRDefault="00543353">
      <w:r>
        <w:t xml:space="preserve">Expenditure was </w:t>
      </w:r>
      <w:r w:rsidR="008C1EDC">
        <w:t>highest in 2017 with an estimated £32.4 million spent b</w:t>
      </w:r>
      <w:r>
        <w:t>y visitors to the borough. In 2018 estimated expenditure was £26.4 million.</w:t>
      </w:r>
    </w:p>
    <w:p w14:paraId="386D06CE" w14:textId="77777777" w:rsidR="00381E1E" w:rsidRPr="00381E1E" w:rsidRDefault="00381E1E">
      <w:pPr>
        <w:rPr>
          <w:sz w:val="8"/>
          <w:szCs w:val="8"/>
        </w:rPr>
      </w:pPr>
    </w:p>
    <w:tbl>
      <w:tblPr>
        <w:tblW w:w="7285" w:type="dxa"/>
        <w:tblLook w:val="04A0" w:firstRow="1" w:lastRow="0" w:firstColumn="1" w:lastColumn="0" w:noHBand="0" w:noVBand="1"/>
      </w:tblPr>
      <w:tblGrid>
        <w:gridCol w:w="1020"/>
        <w:gridCol w:w="1026"/>
        <w:gridCol w:w="1068"/>
        <w:gridCol w:w="965"/>
        <w:gridCol w:w="991"/>
        <w:gridCol w:w="1218"/>
        <w:gridCol w:w="997"/>
      </w:tblGrid>
      <w:tr w:rsidR="008C3787" w:rsidRPr="008C3787" w14:paraId="5642E66B" w14:textId="77777777" w:rsidTr="0028067A">
        <w:trPr>
          <w:trHeight w:val="300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ADDD6" w14:textId="77777777" w:rsidR="008C3787" w:rsidRPr="008C3787" w:rsidRDefault="008C3787" w:rsidP="008C3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378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D273F" w14:textId="77777777" w:rsidR="008C3787" w:rsidRPr="0028067A" w:rsidRDefault="008C3787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28067A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Overnight Trips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760D3" w14:textId="77777777" w:rsidR="008C3787" w:rsidRPr="0028067A" w:rsidRDefault="008C3787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28067A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Nights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A3652" w14:textId="77777777" w:rsidR="008C3787" w:rsidRPr="0028067A" w:rsidRDefault="008C3787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28067A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Expenditure</w:t>
            </w:r>
          </w:p>
        </w:tc>
      </w:tr>
      <w:tr w:rsidR="008C3787" w:rsidRPr="008C3787" w14:paraId="1C9A2F8C" w14:textId="77777777" w:rsidTr="0028067A">
        <w:trPr>
          <w:trHeight w:val="300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E86AA" w14:textId="77777777" w:rsidR="008C3787" w:rsidRPr="008C3787" w:rsidRDefault="008C3787" w:rsidP="008C3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101E5" w14:textId="77777777" w:rsidR="008C3787" w:rsidRPr="0028067A" w:rsidRDefault="008C3787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28067A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Number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29BBC" w14:textId="77777777" w:rsidR="008C3787" w:rsidRPr="0028067A" w:rsidRDefault="008C3787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28067A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% of NI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D6AB7" w14:textId="77777777" w:rsidR="008C3787" w:rsidRPr="0028067A" w:rsidRDefault="008C3787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28067A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Number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3CC25" w14:textId="77777777" w:rsidR="008C3787" w:rsidRPr="0028067A" w:rsidRDefault="008C3787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28067A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% of NI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B5CDD" w14:textId="77777777" w:rsidR="008C3787" w:rsidRPr="0028067A" w:rsidRDefault="008C3787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28067A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£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677AE" w14:textId="77777777" w:rsidR="008C3787" w:rsidRPr="0028067A" w:rsidRDefault="008C3787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28067A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% of NI</w:t>
            </w:r>
          </w:p>
        </w:tc>
      </w:tr>
      <w:tr w:rsidR="00836E9E" w:rsidRPr="008C3787" w14:paraId="0097B063" w14:textId="77777777" w:rsidTr="0028067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EBF76" w14:textId="77777777" w:rsidR="00836E9E" w:rsidRPr="0028067A" w:rsidRDefault="00836E9E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28067A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2013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3F525" w14:textId="77777777" w:rsidR="00836E9E" w:rsidRPr="008C3787" w:rsidRDefault="00836E9E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201,161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08022" w14:textId="77777777" w:rsidR="00836E9E" w:rsidRPr="008C3787" w:rsidRDefault="00836E9E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5%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05D36" w14:textId="77777777" w:rsidR="00836E9E" w:rsidRPr="008C3787" w:rsidRDefault="00836E9E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817,881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4B7AF" w14:textId="77777777" w:rsidR="00836E9E" w:rsidRPr="008C3787" w:rsidRDefault="00836E9E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790F5" w14:textId="77777777" w:rsidR="00836E9E" w:rsidRPr="008C3787" w:rsidRDefault="00836E9E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21,894,975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105C9" w14:textId="77777777" w:rsidR="00836E9E" w:rsidRPr="008C3787" w:rsidRDefault="00836E9E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3%</w:t>
            </w:r>
          </w:p>
        </w:tc>
      </w:tr>
      <w:tr w:rsidR="00836E9E" w:rsidRPr="008C3787" w14:paraId="1B0B2136" w14:textId="77777777" w:rsidTr="0028067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67A90" w14:textId="77777777" w:rsidR="00836E9E" w:rsidRPr="0028067A" w:rsidRDefault="00836E9E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28067A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2014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8D3C9" w14:textId="77777777" w:rsidR="00836E9E" w:rsidRPr="008C3787" w:rsidRDefault="00836E9E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231,852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1936C" w14:textId="77777777" w:rsidR="00836E9E" w:rsidRPr="008C3787" w:rsidRDefault="00836E9E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5%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16210" w14:textId="77777777" w:rsidR="00836E9E" w:rsidRPr="008C3787" w:rsidRDefault="00836E9E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769,693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BD2C2" w14:textId="77777777" w:rsidR="00836E9E" w:rsidRPr="008C3787" w:rsidRDefault="00836E9E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1393D" w14:textId="77777777" w:rsidR="00836E9E" w:rsidRPr="008C3787" w:rsidRDefault="00836E9E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28,120,012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DAE0E" w14:textId="77777777" w:rsidR="00836E9E" w:rsidRPr="008C3787" w:rsidRDefault="00836E9E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4%</w:t>
            </w:r>
          </w:p>
        </w:tc>
      </w:tr>
      <w:tr w:rsidR="008C3787" w:rsidRPr="008C3787" w14:paraId="7AA1C41D" w14:textId="77777777" w:rsidTr="0028067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5CB18" w14:textId="77777777" w:rsidR="008C3787" w:rsidRPr="0028067A" w:rsidRDefault="008C3787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28067A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2015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D0D38" w14:textId="77777777" w:rsidR="008C3787" w:rsidRPr="008C3787" w:rsidRDefault="008C3787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3787">
              <w:rPr>
                <w:rFonts w:ascii="Calibri" w:eastAsia="Times New Roman" w:hAnsi="Calibri" w:cs="Times New Roman"/>
                <w:color w:val="000000"/>
                <w:lang w:eastAsia="en-GB"/>
              </w:rPr>
              <w:t>149,782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0EB59" w14:textId="77777777" w:rsidR="008C3787" w:rsidRPr="008C3787" w:rsidRDefault="008C3787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3787">
              <w:rPr>
                <w:rFonts w:ascii="Calibri" w:eastAsia="Times New Roman" w:hAnsi="Calibri" w:cs="Times New Roman"/>
                <w:color w:val="000000"/>
                <w:lang w:eastAsia="en-GB"/>
              </w:rPr>
              <w:t>3%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16C2E" w14:textId="77777777" w:rsidR="008C3787" w:rsidRPr="008C3787" w:rsidRDefault="008C3787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3787">
              <w:rPr>
                <w:rFonts w:ascii="Calibri" w:eastAsia="Times New Roman" w:hAnsi="Calibri" w:cs="Times New Roman"/>
                <w:color w:val="000000"/>
                <w:lang w:eastAsia="en-GB"/>
              </w:rPr>
              <w:t>563,238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FF90C" w14:textId="77777777" w:rsidR="008C3787" w:rsidRPr="008C3787" w:rsidRDefault="008C3787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3787">
              <w:rPr>
                <w:rFonts w:ascii="Calibri" w:eastAsia="Times New Roman" w:hAnsi="Calibri" w:cs="Times New Roman"/>
                <w:color w:val="000000"/>
                <w:lang w:eastAsia="en-GB"/>
              </w:rPr>
              <w:t>4%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2477A" w14:textId="77777777" w:rsidR="008C3787" w:rsidRPr="008C3787" w:rsidRDefault="008C3787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3787">
              <w:rPr>
                <w:rFonts w:ascii="Calibri" w:eastAsia="Times New Roman" w:hAnsi="Calibri" w:cs="Times New Roman"/>
                <w:color w:val="000000"/>
                <w:lang w:eastAsia="en-GB"/>
              </w:rPr>
              <w:t>22,539,092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D18EB" w14:textId="77777777" w:rsidR="008C3787" w:rsidRPr="008C3787" w:rsidRDefault="008C3787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3787">
              <w:rPr>
                <w:rFonts w:ascii="Calibri" w:eastAsia="Times New Roman" w:hAnsi="Calibri" w:cs="Times New Roman"/>
                <w:color w:val="000000"/>
                <w:lang w:eastAsia="en-GB"/>
              </w:rPr>
              <w:t>3%</w:t>
            </w:r>
          </w:p>
        </w:tc>
      </w:tr>
      <w:tr w:rsidR="008C3787" w:rsidRPr="008C3787" w14:paraId="1816E40E" w14:textId="77777777" w:rsidTr="0028067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D7716" w14:textId="77777777" w:rsidR="008C3787" w:rsidRPr="0028067A" w:rsidRDefault="008C3787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28067A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2016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E45DB" w14:textId="77777777" w:rsidR="008C3787" w:rsidRPr="008C3787" w:rsidRDefault="008C3787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3787">
              <w:rPr>
                <w:rFonts w:ascii="Calibri" w:eastAsia="Times New Roman" w:hAnsi="Calibri" w:cs="Times New Roman"/>
                <w:color w:val="000000"/>
                <w:lang w:eastAsia="en-GB"/>
              </w:rPr>
              <w:t>144,952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ACB9C" w14:textId="77777777" w:rsidR="008C3787" w:rsidRPr="008C3787" w:rsidRDefault="008C3787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3787">
              <w:rPr>
                <w:rFonts w:ascii="Calibri" w:eastAsia="Times New Roman" w:hAnsi="Calibri" w:cs="Times New Roman"/>
                <w:color w:val="000000"/>
                <w:lang w:eastAsia="en-GB"/>
              </w:rPr>
              <w:t>3%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1ECA0" w14:textId="77777777" w:rsidR="008C3787" w:rsidRPr="008C3787" w:rsidRDefault="008C3787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3787">
              <w:rPr>
                <w:rFonts w:ascii="Calibri" w:eastAsia="Times New Roman" w:hAnsi="Calibri" w:cs="Times New Roman"/>
                <w:color w:val="000000"/>
                <w:lang w:eastAsia="en-GB"/>
              </w:rPr>
              <w:t>726,296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F7E81" w14:textId="77777777" w:rsidR="008C3787" w:rsidRPr="008C3787" w:rsidRDefault="008C3787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3787">
              <w:rPr>
                <w:rFonts w:ascii="Calibri" w:eastAsia="Times New Roman" w:hAnsi="Calibri" w:cs="Times New Roman"/>
                <w:color w:val="000000"/>
                <w:lang w:eastAsia="en-GB"/>
              </w:rPr>
              <w:t>5%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50689" w14:textId="77777777" w:rsidR="008C3787" w:rsidRPr="008C3787" w:rsidRDefault="008C3787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3787">
              <w:rPr>
                <w:rFonts w:ascii="Calibri" w:eastAsia="Times New Roman" w:hAnsi="Calibri" w:cs="Times New Roman"/>
                <w:color w:val="000000"/>
                <w:lang w:eastAsia="en-GB"/>
              </w:rPr>
              <w:t>25,548,339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8905C" w14:textId="77777777" w:rsidR="008C3787" w:rsidRPr="008C3787" w:rsidRDefault="008C3787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3787">
              <w:rPr>
                <w:rFonts w:ascii="Calibri" w:eastAsia="Times New Roman" w:hAnsi="Calibri" w:cs="Times New Roman"/>
                <w:color w:val="000000"/>
                <w:lang w:eastAsia="en-GB"/>
              </w:rPr>
              <w:t>3%</w:t>
            </w:r>
          </w:p>
        </w:tc>
      </w:tr>
      <w:tr w:rsidR="008C3787" w:rsidRPr="008C3787" w14:paraId="4F60D058" w14:textId="77777777" w:rsidTr="0028067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79D44" w14:textId="77777777" w:rsidR="008C3787" w:rsidRPr="0028067A" w:rsidRDefault="008C3787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28067A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2017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90BAE" w14:textId="77777777" w:rsidR="008C3787" w:rsidRPr="008C3787" w:rsidRDefault="008C3787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3787">
              <w:rPr>
                <w:rFonts w:ascii="Calibri" w:eastAsia="Times New Roman" w:hAnsi="Calibri" w:cs="Times New Roman"/>
                <w:color w:val="000000"/>
                <w:lang w:eastAsia="en-GB"/>
              </w:rPr>
              <w:t>228,595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1BABF" w14:textId="77777777" w:rsidR="008C3787" w:rsidRPr="008C3787" w:rsidRDefault="008C3787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3787">
              <w:rPr>
                <w:rFonts w:ascii="Calibri" w:eastAsia="Times New Roman" w:hAnsi="Calibri" w:cs="Times New Roman"/>
                <w:color w:val="000000"/>
                <w:lang w:eastAsia="en-GB"/>
              </w:rPr>
              <w:t>5%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6157E" w14:textId="77777777" w:rsidR="008C3787" w:rsidRPr="008C3787" w:rsidRDefault="008C3787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3787">
              <w:rPr>
                <w:rFonts w:ascii="Calibri" w:eastAsia="Times New Roman" w:hAnsi="Calibri" w:cs="Times New Roman"/>
                <w:color w:val="000000"/>
                <w:lang w:eastAsia="en-GB"/>
              </w:rPr>
              <w:t>780,583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35006" w14:textId="77777777" w:rsidR="008C3787" w:rsidRPr="008C3787" w:rsidRDefault="008C3787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3787">
              <w:rPr>
                <w:rFonts w:ascii="Calibri" w:eastAsia="Times New Roman" w:hAnsi="Calibri" w:cs="Times New Roman"/>
                <w:color w:val="000000"/>
                <w:lang w:eastAsia="en-GB"/>
              </w:rPr>
              <w:t>5%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1DA6F" w14:textId="77777777" w:rsidR="008C3787" w:rsidRPr="008C3787" w:rsidRDefault="008C3787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3787">
              <w:rPr>
                <w:rFonts w:ascii="Calibri" w:eastAsia="Times New Roman" w:hAnsi="Calibri" w:cs="Times New Roman"/>
                <w:color w:val="000000"/>
                <w:lang w:eastAsia="en-GB"/>
              </w:rPr>
              <w:t>32,384,669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5AFAA" w14:textId="77777777" w:rsidR="008C3787" w:rsidRPr="008C3787" w:rsidRDefault="008C3787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3787">
              <w:rPr>
                <w:rFonts w:ascii="Calibri" w:eastAsia="Times New Roman" w:hAnsi="Calibri" w:cs="Times New Roman"/>
                <w:color w:val="000000"/>
                <w:lang w:eastAsia="en-GB"/>
              </w:rPr>
              <w:t>3%</w:t>
            </w:r>
          </w:p>
        </w:tc>
      </w:tr>
      <w:tr w:rsidR="008C3787" w:rsidRPr="008C3787" w14:paraId="118FE91A" w14:textId="77777777" w:rsidTr="0028067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593AA" w14:textId="77777777" w:rsidR="008C3787" w:rsidRPr="0028067A" w:rsidRDefault="008C3787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28067A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2018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EB67A" w14:textId="77777777" w:rsidR="008C3787" w:rsidRPr="008C3787" w:rsidRDefault="008C3787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3787">
              <w:rPr>
                <w:rFonts w:ascii="Calibri" w:eastAsia="Times New Roman" w:hAnsi="Calibri" w:cs="Times New Roman"/>
                <w:color w:val="000000"/>
                <w:lang w:eastAsia="en-GB"/>
              </w:rPr>
              <w:t>188,551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B385D" w14:textId="77777777" w:rsidR="008C3787" w:rsidRPr="008C3787" w:rsidRDefault="008C3787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3787">
              <w:rPr>
                <w:rFonts w:ascii="Calibri" w:eastAsia="Times New Roman" w:hAnsi="Calibri" w:cs="Times New Roman"/>
                <w:color w:val="000000"/>
                <w:lang w:eastAsia="en-GB"/>
              </w:rPr>
              <w:t>4%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E4404" w14:textId="77777777" w:rsidR="008C3787" w:rsidRPr="008C3787" w:rsidRDefault="008C3787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3787">
              <w:rPr>
                <w:rFonts w:ascii="Calibri" w:eastAsia="Times New Roman" w:hAnsi="Calibri" w:cs="Times New Roman"/>
                <w:color w:val="000000"/>
                <w:lang w:eastAsia="en-GB"/>
              </w:rPr>
              <w:t>704,130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42D97" w14:textId="77777777" w:rsidR="008C3787" w:rsidRPr="008C3787" w:rsidRDefault="008C3787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3787">
              <w:rPr>
                <w:rFonts w:ascii="Calibri" w:eastAsia="Times New Roman" w:hAnsi="Calibri" w:cs="Times New Roman"/>
                <w:color w:val="000000"/>
                <w:lang w:eastAsia="en-GB"/>
              </w:rPr>
              <w:t>4%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5AF0F" w14:textId="77777777" w:rsidR="008C3787" w:rsidRPr="008C3787" w:rsidRDefault="008C3787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3787">
              <w:rPr>
                <w:rFonts w:ascii="Calibri" w:eastAsia="Times New Roman" w:hAnsi="Calibri" w:cs="Times New Roman"/>
                <w:color w:val="000000"/>
                <w:lang w:eastAsia="en-GB"/>
              </w:rPr>
              <w:t>26,404,319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98493" w14:textId="77777777" w:rsidR="008C3787" w:rsidRPr="008C3787" w:rsidRDefault="008C3787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3787">
              <w:rPr>
                <w:rFonts w:ascii="Calibri" w:eastAsia="Times New Roman" w:hAnsi="Calibri" w:cs="Times New Roman"/>
                <w:color w:val="000000"/>
                <w:lang w:eastAsia="en-GB"/>
              </w:rPr>
              <w:t>3%</w:t>
            </w:r>
          </w:p>
        </w:tc>
      </w:tr>
    </w:tbl>
    <w:p w14:paraId="58EE3AEC" w14:textId="77777777" w:rsidR="008C3787" w:rsidRDefault="008C1EDC">
      <w:pPr>
        <w:rPr>
          <w:i/>
          <w:sz w:val="20"/>
          <w:szCs w:val="20"/>
        </w:rPr>
      </w:pPr>
      <w:r w:rsidRPr="008C1EDC">
        <w:rPr>
          <w:i/>
          <w:sz w:val="20"/>
          <w:szCs w:val="20"/>
        </w:rPr>
        <w:t>Table 1: Estimated overnight trips, nights and expenditure in Armagh City, Banbridge and Craigavon Borough 201</w:t>
      </w:r>
      <w:r w:rsidR="0028067A">
        <w:rPr>
          <w:i/>
          <w:sz w:val="20"/>
          <w:szCs w:val="20"/>
        </w:rPr>
        <w:t>3</w:t>
      </w:r>
      <w:r w:rsidRPr="008C1EDC">
        <w:rPr>
          <w:i/>
          <w:sz w:val="20"/>
          <w:szCs w:val="20"/>
        </w:rPr>
        <w:t xml:space="preserve"> to 2018. Source: Tourism Statistics, NISRA.</w:t>
      </w:r>
    </w:p>
    <w:p w14:paraId="46575D94" w14:textId="77777777" w:rsidR="00381E1E" w:rsidRDefault="00381E1E">
      <w:pPr>
        <w:rPr>
          <w:i/>
          <w:sz w:val="20"/>
          <w:szCs w:val="20"/>
        </w:rPr>
      </w:pPr>
    </w:p>
    <w:p w14:paraId="20ADDB8C" w14:textId="77777777" w:rsidR="00A70F15" w:rsidRDefault="00836E9E" w:rsidP="00A70F15">
      <w:pPr>
        <w:rPr>
          <w:i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628DEEAE" wp14:editId="26C41CA8">
            <wp:extent cx="5895975" cy="3124200"/>
            <wp:effectExtent l="0" t="0" r="9525" b="0"/>
            <wp:docPr id="1" name="Chart 1" descr="Estimated overnight trips, nights and expenditure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A70F15">
        <w:rPr>
          <w:i/>
          <w:sz w:val="20"/>
          <w:szCs w:val="20"/>
        </w:rPr>
        <w:t>Figure 1: Estimated overnight trips</w:t>
      </w:r>
      <w:r w:rsidR="000C7CE8">
        <w:rPr>
          <w:i/>
          <w:sz w:val="20"/>
          <w:szCs w:val="20"/>
        </w:rPr>
        <w:t>, nights</w:t>
      </w:r>
      <w:r w:rsidR="00A70F15" w:rsidRPr="008C1EDC">
        <w:rPr>
          <w:i/>
          <w:sz w:val="20"/>
          <w:szCs w:val="20"/>
        </w:rPr>
        <w:t xml:space="preserve"> and expenditure in Armagh City, Banbridge and Craigavon Borough 201</w:t>
      </w:r>
      <w:r w:rsidR="0028067A">
        <w:rPr>
          <w:i/>
          <w:sz w:val="20"/>
          <w:szCs w:val="20"/>
        </w:rPr>
        <w:t>3</w:t>
      </w:r>
      <w:r w:rsidR="00A70F15" w:rsidRPr="008C1EDC">
        <w:rPr>
          <w:i/>
          <w:sz w:val="20"/>
          <w:szCs w:val="20"/>
        </w:rPr>
        <w:t xml:space="preserve"> to 2018. Source: Tourism Statistics, NISRA.</w:t>
      </w:r>
    </w:p>
    <w:p w14:paraId="48CC4919" w14:textId="77777777" w:rsidR="00A70F15" w:rsidRDefault="00A70F15">
      <w:pPr>
        <w:rPr>
          <w:i/>
          <w:sz w:val="20"/>
          <w:szCs w:val="20"/>
        </w:rPr>
      </w:pPr>
    </w:p>
    <w:p w14:paraId="601D299C" w14:textId="77777777" w:rsidR="00A70F15" w:rsidRDefault="00A70F15">
      <w:pPr>
        <w:rPr>
          <w:i/>
          <w:sz w:val="20"/>
          <w:szCs w:val="20"/>
        </w:rPr>
      </w:pPr>
    </w:p>
    <w:p w14:paraId="59D2243B" w14:textId="77777777" w:rsidR="00A70F15" w:rsidRDefault="00A70F15">
      <w:pPr>
        <w:rPr>
          <w:i/>
          <w:sz w:val="20"/>
          <w:szCs w:val="20"/>
        </w:rPr>
      </w:pPr>
    </w:p>
    <w:p w14:paraId="6DC4CE1D" w14:textId="77777777" w:rsidR="00381E1E" w:rsidRDefault="00381E1E" w:rsidP="00381E1E">
      <w:r>
        <w:lastRenderedPageBreak/>
        <w:t xml:space="preserve">During the three-year period 2016-2018, the majority of </w:t>
      </w:r>
      <w:r w:rsidR="004B5004">
        <w:t>overnight trips</w:t>
      </w:r>
      <w:r>
        <w:t xml:space="preserve"> to the borough were </w:t>
      </w:r>
      <w:r w:rsidR="004B5004">
        <w:t>to visit</w:t>
      </w:r>
      <w:r>
        <w:t xml:space="preserve"> friends and relatives (71%).</w:t>
      </w:r>
      <w:r w:rsidR="004B5004">
        <w:t xml:space="preserve"> Around one in five </w:t>
      </w:r>
      <w:r w:rsidR="00A0792D">
        <w:t>overnight trips to</w:t>
      </w:r>
      <w:r w:rsidR="004B5004">
        <w:t xml:space="preserve"> the borough</w:t>
      </w:r>
      <w:r w:rsidR="00A0792D">
        <w:t xml:space="preserve"> were</w:t>
      </w:r>
      <w:r w:rsidR="004B5004">
        <w:t xml:space="preserve"> for holiday / pleasure / leisure purposes (19%). The remainder came to the borough for business (8%) or other reasons (2%). </w:t>
      </w:r>
      <w:r w:rsidR="00543353">
        <w:t>In Northern Ireland, more overnight trips are for holiday / pleasure / leisure (50%) than the borough (19%), while a lower proportion are for visiting friends and relatives, 38% in Northern Ireland compared to 71% in the borough.</w:t>
      </w:r>
    </w:p>
    <w:tbl>
      <w:tblPr>
        <w:tblpPr w:leftFromText="180" w:rightFromText="180" w:vertAnchor="text" w:horzAnchor="margin" w:tblpY="222"/>
        <w:tblW w:w="8307" w:type="dxa"/>
        <w:tblLayout w:type="fixed"/>
        <w:tblLook w:val="04A0" w:firstRow="1" w:lastRow="0" w:firstColumn="1" w:lastColumn="0" w:noHBand="0" w:noVBand="1"/>
      </w:tblPr>
      <w:tblGrid>
        <w:gridCol w:w="2972"/>
        <w:gridCol w:w="1333"/>
        <w:gridCol w:w="1334"/>
        <w:gridCol w:w="1334"/>
        <w:gridCol w:w="1334"/>
      </w:tblGrid>
      <w:tr w:rsidR="00F14B8F" w:rsidRPr="00381E1E" w14:paraId="533BCC63" w14:textId="77777777" w:rsidTr="0028067A">
        <w:trPr>
          <w:trHeight w:val="300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2410D8" w14:textId="77777777" w:rsidR="00F14B8F" w:rsidRPr="00381E1E" w:rsidRDefault="00F14B8F" w:rsidP="00F14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6EDEF" w14:textId="77777777" w:rsidR="00F14B8F" w:rsidRPr="0028067A" w:rsidRDefault="00F14B8F" w:rsidP="00F14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28067A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Armagh City, Banbridge and Craigavon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2BDE5" w14:textId="77777777" w:rsidR="00F14B8F" w:rsidRPr="0028067A" w:rsidRDefault="00F14B8F" w:rsidP="00F14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28067A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Northern Ireland</w:t>
            </w:r>
          </w:p>
        </w:tc>
      </w:tr>
      <w:tr w:rsidR="00F14B8F" w:rsidRPr="00381E1E" w14:paraId="66D4AD45" w14:textId="77777777" w:rsidTr="0028067A">
        <w:trPr>
          <w:trHeight w:val="300"/>
        </w:trPr>
        <w:tc>
          <w:tcPr>
            <w:tcW w:w="297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1CD5C5" w14:textId="77777777" w:rsidR="00F14B8F" w:rsidRPr="00381E1E" w:rsidRDefault="00F14B8F" w:rsidP="00F14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1BE4F" w14:textId="77777777" w:rsidR="00F14B8F" w:rsidRPr="0028067A" w:rsidRDefault="00F14B8F" w:rsidP="00F14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28067A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Number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EAB14" w14:textId="77777777" w:rsidR="00F14B8F" w:rsidRPr="0028067A" w:rsidRDefault="00F14B8F" w:rsidP="00F14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28067A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%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5D197" w14:textId="77777777" w:rsidR="00F14B8F" w:rsidRPr="0028067A" w:rsidRDefault="00F14B8F" w:rsidP="00F14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28067A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Number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677F5" w14:textId="77777777" w:rsidR="00F14B8F" w:rsidRPr="0028067A" w:rsidRDefault="00F14B8F" w:rsidP="00F14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28067A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%</w:t>
            </w:r>
          </w:p>
        </w:tc>
      </w:tr>
      <w:tr w:rsidR="00F14B8F" w:rsidRPr="00381E1E" w14:paraId="7A631130" w14:textId="77777777" w:rsidTr="0028067A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823E9" w14:textId="77777777" w:rsidR="00F14B8F" w:rsidRPr="0028067A" w:rsidRDefault="00F14B8F" w:rsidP="00F14B8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28067A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Holiday / Pleasure / Leisure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64E14" w14:textId="77777777" w:rsidR="00F14B8F" w:rsidRPr="00381E1E" w:rsidRDefault="00F14B8F" w:rsidP="00F14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35,083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E2416" w14:textId="77777777" w:rsidR="00F14B8F" w:rsidRPr="00381E1E" w:rsidRDefault="00F14B8F" w:rsidP="00F14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19%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B637E" w14:textId="77777777" w:rsidR="00F14B8F" w:rsidRPr="00381E1E" w:rsidRDefault="00F14B8F" w:rsidP="00F14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2,498,040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4AA38" w14:textId="77777777" w:rsidR="00F14B8F" w:rsidRPr="00381E1E" w:rsidRDefault="00F14B8F" w:rsidP="00F14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50%</w:t>
            </w:r>
          </w:p>
        </w:tc>
      </w:tr>
      <w:tr w:rsidR="00F14B8F" w:rsidRPr="00381E1E" w14:paraId="46167744" w14:textId="77777777" w:rsidTr="0028067A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75F64" w14:textId="77777777" w:rsidR="00F14B8F" w:rsidRPr="0028067A" w:rsidRDefault="00F14B8F" w:rsidP="00F14B8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28067A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Visiting Friends and Relatives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34A08" w14:textId="77777777" w:rsidR="00F14B8F" w:rsidRPr="00381E1E" w:rsidRDefault="00F14B8F" w:rsidP="00F14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133,491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BF26A" w14:textId="77777777" w:rsidR="00F14B8F" w:rsidRPr="00381E1E" w:rsidRDefault="00F14B8F" w:rsidP="00F14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71%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FC0B9" w14:textId="77777777" w:rsidR="00F14B8F" w:rsidRPr="00381E1E" w:rsidRDefault="00F14B8F" w:rsidP="00F14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1,896,706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1487C" w14:textId="77777777" w:rsidR="00F14B8F" w:rsidRPr="00381E1E" w:rsidRDefault="00F14B8F" w:rsidP="00F14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38%</w:t>
            </w:r>
          </w:p>
        </w:tc>
      </w:tr>
      <w:tr w:rsidR="00F14B8F" w:rsidRPr="00381E1E" w14:paraId="425D531A" w14:textId="77777777" w:rsidTr="0028067A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A4AB6" w14:textId="77777777" w:rsidR="00F14B8F" w:rsidRPr="0028067A" w:rsidRDefault="00F14B8F" w:rsidP="00F14B8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28067A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Business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10E3F" w14:textId="77777777" w:rsidR="00F14B8F" w:rsidRPr="00381E1E" w:rsidRDefault="00F14B8F" w:rsidP="00F14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14,427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C5077" w14:textId="77777777" w:rsidR="00F14B8F" w:rsidRPr="00381E1E" w:rsidRDefault="00F14B8F" w:rsidP="00F14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8%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7CD4F" w14:textId="77777777" w:rsidR="00F14B8F" w:rsidRPr="00381E1E" w:rsidRDefault="00F14B8F" w:rsidP="00F14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426,279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C0EB7" w14:textId="77777777" w:rsidR="00F14B8F" w:rsidRPr="00381E1E" w:rsidRDefault="00F14B8F" w:rsidP="00F14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9%</w:t>
            </w:r>
          </w:p>
        </w:tc>
      </w:tr>
      <w:tr w:rsidR="00F14B8F" w:rsidRPr="00381E1E" w14:paraId="2D955942" w14:textId="77777777" w:rsidTr="0028067A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9F75F" w14:textId="77777777" w:rsidR="00F14B8F" w:rsidRPr="0028067A" w:rsidRDefault="00F14B8F" w:rsidP="00F14B8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28067A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Other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3B2B4" w14:textId="77777777" w:rsidR="00F14B8F" w:rsidRPr="00381E1E" w:rsidRDefault="00F14B8F" w:rsidP="00F14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4,365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B9042" w14:textId="77777777" w:rsidR="00F14B8F" w:rsidRPr="00381E1E" w:rsidRDefault="00F14B8F" w:rsidP="00F14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2%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A3142" w14:textId="77777777" w:rsidR="00F14B8F" w:rsidRPr="00381E1E" w:rsidRDefault="00F14B8F" w:rsidP="00F14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127,428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07F6E" w14:textId="77777777" w:rsidR="00F14B8F" w:rsidRPr="00381E1E" w:rsidRDefault="00F14B8F" w:rsidP="00F14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3%</w:t>
            </w:r>
          </w:p>
        </w:tc>
      </w:tr>
      <w:tr w:rsidR="00F14B8F" w:rsidRPr="00381E1E" w14:paraId="46F3633D" w14:textId="77777777" w:rsidTr="0028067A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DF897" w14:textId="77777777" w:rsidR="00F14B8F" w:rsidRPr="0028067A" w:rsidRDefault="00F14B8F" w:rsidP="00F14B8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28067A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All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69ADD" w14:textId="77777777" w:rsidR="00F14B8F" w:rsidRPr="00381E1E" w:rsidRDefault="00F14B8F" w:rsidP="00F14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187,366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FDA3D" w14:textId="77777777" w:rsidR="00F14B8F" w:rsidRPr="00381E1E" w:rsidRDefault="00F14B8F" w:rsidP="00F14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100%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43AB7" w14:textId="77777777" w:rsidR="00F14B8F" w:rsidRPr="00381E1E" w:rsidRDefault="00F14B8F" w:rsidP="00F14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4,948,453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D4F2D" w14:textId="77777777" w:rsidR="00F14B8F" w:rsidRPr="00381E1E" w:rsidRDefault="00F14B8F" w:rsidP="00F14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100%</w:t>
            </w:r>
          </w:p>
        </w:tc>
      </w:tr>
    </w:tbl>
    <w:p w14:paraId="0232F89A" w14:textId="77777777" w:rsidR="00381E1E" w:rsidRDefault="00381E1E">
      <w:pPr>
        <w:rPr>
          <w:i/>
          <w:sz w:val="20"/>
          <w:szCs w:val="20"/>
        </w:rPr>
      </w:pPr>
    </w:p>
    <w:p w14:paraId="7877CC76" w14:textId="77777777" w:rsidR="00F14B8F" w:rsidRDefault="00F14B8F" w:rsidP="00DC0E4D">
      <w:pPr>
        <w:ind w:left="-851"/>
        <w:rPr>
          <w:i/>
          <w:sz w:val="20"/>
          <w:szCs w:val="20"/>
        </w:rPr>
      </w:pPr>
    </w:p>
    <w:p w14:paraId="26EBC4A1" w14:textId="77777777" w:rsidR="00F14B8F" w:rsidRDefault="00F14B8F" w:rsidP="00DC0E4D">
      <w:pPr>
        <w:ind w:left="-851"/>
        <w:rPr>
          <w:i/>
          <w:sz w:val="20"/>
          <w:szCs w:val="20"/>
        </w:rPr>
      </w:pPr>
    </w:p>
    <w:p w14:paraId="3DE32556" w14:textId="77777777" w:rsidR="00F14B8F" w:rsidRDefault="00F14B8F" w:rsidP="00DC0E4D">
      <w:pPr>
        <w:ind w:left="-851"/>
        <w:rPr>
          <w:i/>
          <w:sz w:val="20"/>
          <w:szCs w:val="20"/>
        </w:rPr>
      </w:pPr>
    </w:p>
    <w:p w14:paraId="4E1C2DB5" w14:textId="77777777" w:rsidR="00F14B8F" w:rsidRDefault="00F14B8F" w:rsidP="00DC0E4D">
      <w:pPr>
        <w:ind w:left="-851"/>
        <w:rPr>
          <w:i/>
          <w:sz w:val="20"/>
          <w:szCs w:val="20"/>
        </w:rPr>
      </w:pPr>
    </w:p>
    <w:p w14:paraId="2A124DF3" w14:textId="77777777" w:rsidR="00F14B8F" w:rsidRDefault="00F14B8F" w:rsidP="00DC0E4D">
      <w:pPr>
        <w:ind w:left="-851"/>
        <w:rPr>
          <w:i/>
          <w:sz w:val="20"/>
          <w:szCs w:val="20"/>
        </w:rPr>
      </w:pPr>
    </w:p>
    <w:p w14:paraId="1B452AE9" w14:textId="77777777" w:rsidR="00F14B8F" w:rsidRPr="00F14B8F" w:rsidRDefault="00F14B8F" w:rsidP="00F14B8F">
      <w:pPr>
        <w:rPr>
          <w:i/>
          <w:sz w:val="2"/>
          <w:szCs w:val="2"/>
        </w:rPr>
      </w:pPr>
    </w:p>
    <w:p w14:paraId="478BF8FF" w14:textId="77777777" w:rsidR="004B5004" w:rsidRDefault="004B5004" w:rsidP="00F14B8F">
      <w:pPr>
        <w:rPr>
          <w:i/>
          <w:sz w:val="20"/>
          <w:szCs w:val="20"/>
        </w:rPr>
      </w:pPr>
      <w:r>
        <w:rPr>
          <w:i/>
          <w:sz w:val="20"/>
          <w:szCs w:val="20"/>
        </w:rPr>
        <w:t>Table 2</w:t>
      </w:r>
      <w:r w:rsidRPr="008C1EDC">
        <w:rPr>
          <w:i/>
          <w:sz w:val="20"/>
          <w:szCs w:val="20"/>
        </w:rPr>
        <w:t xml:space="preserve">: Estimated </w:t>
      </w:r>
      <w:r>
        <w:rPr>
          <w:i/>
          <w:sz w:val="20"/>
          <w:szCs w:val="20"/>
        </w:rPr>
        <w:t xml:space="preserve">average overnight trips </w:t>
      </w:r>
      <w:r w:rsidRPr="008C1EDC">
        <w:rPr>
          <w:i/>
          <w:sz w:val="20"/>
          <w:szCs w:val="20"/>
        </w:rPr>
        <w:t>in Armagh City, Banbridge and Craigavon Borough</w:t>
      </w:r>
      <w:r w:rsidR="00F14B8F">
        <w:rPr>
          <w:i/>
          <w:sz w:val="20"/>
          <w:szCs w:val="20"/>
        </w:rPr>
        <w:t xml:space="preserve"> and Northern Ireland</w:t>
      </w:r>
      <w:r w:rsidRPr="008C1EDC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by reason for visit, 3-year average 2016-</w:t>
      </w:r>
      <w:r w:rsidRPr="008C1EDC">
        <w:rPr>
          <w:i/>
          <w:sz w:val="20"/>
          <w:szCs w:val="20"/>
        </w:rPr>
        <w:t>2018. Source: Tourism Statistics, NISRA.</w:t>
      </w:r>
      <w:r w:rsidR="004B5682">
        <w:rPr>
          <w:i/>
          <w:sz w:val="20"/>
          <w:szCs w:val="20"/>
        </w:rPr>
        <w:t xml:space="preserve"> </w:t>
      </w:r>
    </w:p>
    <w:p w14:paraId="5FDC2BFF" w14:textId="77777777" w:rsidR="00A70F15" w:rsidRDefault="00A70F15" w:rsidP="00DC0E4D">
      <w:pPr>
        <w:ind w:left="-851"/>
        <w:rPr>
          <w:i/>
          <w:sz w:val="20"/>
          <w:szCs w:val="20"/>
        </w:rPr>
      </w:pPr>
    </w:p>
    <w:p w14:paraId="1C90BBEB" w14:textId="77777777" w:rsidR="0079173A" w:rsidRPr="001464FA" w:rsidRDefault="00F14B8F" w:rsidP="0079173A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7BDFD762" wp14:editId="3ADF5B2C">
            <wp:extent cx="5731510" cy="2969260"/>
            <wp:effectExtent l="0" t="0" r="2540" b="2540"/>
            <wp:docPr id="5" name="Chart 5" descr="Estimated average overnight trips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79173A">
        <w:rPr>
          <w:i/>
          <w:sz w:val="20"/>
          <w:szCs w:val="20"/>
        </w:rPr>
        <w:t>Figure 2</w:t>
      </w:r>
      <w:r w:rsidR="0079173A" w:rsidRPr="008C1EDC">
        <w:rPr>
          <w:i/>
          <w:sz w:val="20"/>
          <w:szCs w:val="20"/>
        </w:rPr>
        <w:t xml:space="preserve">: Estimated </w:t>
      </w:r>
      <w:r w:rsidR="0079173A">
        <w:rPr>
          <w:i/>
          <w:sz w:val="20"/>
          <w:szCs w:val="20"/>
        </w:rPr>
        <w:t xml:space="preserve">average overnight trips </w:t>
      </w:r>
      <w:r w:rsidR="0079173A" w:rsidRPr="008C1EDC">
        <w:rPr>
          <w:i/>
          <w:sz w:val="20"/>
          <w:szCs w:val="20"/>
        </w:rPr>
        <w:t>in Armagh City, Banbridge and Craigavon Borough</w:t>
      </w:r>
      <w:r w:rsidR="0028067A">
        <w:rPr>
          <w:i/>
          <w:sz w:val="20"/>
          <w:szCs w:val="20"/>
        </w:rPr>
        <w:t xml:space="preserve"> and Northern Ireland</w:t>
      </w:r>
      <w:r w:rsidR="0079173A" w:rsidRPr="008C1EDC">
        <w:rPr>
          <w:i/>
          <w:sz w:val="20"/>
          <w:szCs w:val="20"/>
        </w:rPr>
        <w:t xml:space="preserve"> </w:t>
      </w:r>
      <w:r w:rsidR="0079173A">
        <w:rPr>
          <w:i/>
          <w:sz w:val="20"/>
          <w:szCs w:val="20"/>
        </w:rPr>
        <w:t>by reason for visit, 3-year average 2016-</w:t>
      </w:r>
      <w:r w:rsidR="0079173A" w:rsidRPr="008C1EDC">
        <w:rPr>
          <w:i/>
          <w:sz w:val="20"/>
          <w:szCs w:val="20"/>
        </w:rPr>
        <w:t>2018. Source: Tourism Statistics, NISRA.</w:t>
      </w:r>
    </w:p>
    <w:p w14:paraId="7785D785" w14:textId="77777777" w:rsidR="00A70F15" w:rsidRDefault="00A70F15" w:rsidP="00DC0E4D">
      <w:pPr>
        <w:ind w:left="-851"/>
        <w:rPr>
          <w:i/>
          <w:sz w:val="20"/>
          <w:szCs w:val="20"/>
        </w:rPr>
      </w:pPr>
    </w:p>
    <w:p w14:paraId="64AA0F83" w14:textId="77777777" w:rsidR="00A70F15" w:rsidRDefault="00A70F15" w:rsidP="00DC0E4D">
      <w:pPr>
        <w:ind w:left="-851"/>
        <w:rPr>
          <w:i/>
          <w:sz w:val="20"/>
          <w:szCs w:val="20"/>
        </w:rPr>
      </w:pPr>
    </w:p>
    <w:p w14:paraId="6B21FAB7" w14:textId="77777777" w:rsidR="00A70F15" w:rsidRDefault="00A70F15" w:rsidP="00DC0E4D">
      <w:pPr>
        <w:ind w:left="-851"/>
        <w:rPr>
          <w:i/>
          <w:sz w:val="20"/>
          <w:szCs w:val="20"/>
        </w:rPr>
      </w:pPr>
    </w:p>
    <w:p w14:paraId="119C2E6D" w14:textId="77777777" w:rsidR="00A70F15" w:rsidRDefault="00A70F15" w:rsidP="00DC0E4D">
      <w:pPr>
        <w:ind w:left="-851"/>
        <w:rPr>
          <w:i/>
          <w:sz w:val="20"/>
          <w:szCs w:val="20"/>
        </w:rPr>
      </w:pPr>
    </w:p>
    <w:p w14:paraId="2FADCD76" w14:textId="77777777" w:rsidR="00543353" w:rsidRDefault="00543353" w:rsidP="00DC0E4D">
      <w:pPr>
        <w:ind w:left="-851"/>
        <w:rPr>
          <w:i/>
          <w:sz w:val="20"/>
          <w:szCs w:val="20"/>
        </w:rPr>
      </w:pPr>
    </w:p>
    <w:p w14:paraId="39AFF4BF" w14:textId="77777777" w:rsidR="00543353" w:rsidRDefault="00543353" w:rsidP="00DC0E4D">
      <w:pPr>
        <w:ind w:left="-851"/>
        <w:rPr>
          <w:i/>
          <w:sz w:val="20"/>
          <w:szCs w:val="20"/>
        </w:rPr>
      </w:pPr>
    </w:p>
    <w:p w14:paraId="2E4D04CD" w14:textId="77777777" w:rsidR="00546B94" w:rsidRDefault="00546B94" w:rsidP="00546B94">
      <w:r>
        <w:lastRenderedPageBreak/>
        <w:t>During the three-year period 2016-2018, the majority of overnight trips</w:t>
      </w:r>
      <w:r w:rsidR="004B5682">
        <w:t xml:space="preserve"> to the borough were</w:t>
      </w:r>
      <w:r w:rsidR="00DC0E4D">
        <w:t xml:space="preserve"> from</w:t>
      </w:r>
      <w:r w:rsidR="00470647">
        <w:t xml:space="preserve"> Great Britain (38%) and</w:t>
      </w:r>
      <w:r w:rsidR="00DC0E4D">
        <w:t xml:space="preserve"> </w:t>
      </w:r>
      <w:r w:rsidR="00A0792D">
        <w:t xml:space="preserve">Northern Ireland (34%). Around one in </w:t>
      </w:r>
      <w:r w:rsidR="00D14FF4">
        <w:t xml:space="preserve">ten overnight trips were from Other </w:t>
      </w:r>
      <w:r w:rsidR="004B5682">
        <w:t xml:space="preserve">European </w:t>
      </w:r>
      <w:r w:rsidR="00543353">
        <w:t xml:space="preserve">countries </w:t>
      </w:r>
      <w:r w:rsidR="004B5682">
        <w:t xml:space="preserve">(10%) and 12% from Other </w:t>
      </w:r>
      <w:r w:rsidR="00543353">
        <w:t xml:space="preserve">countries </w:t>
      </w:r>
      <w:r w:rsidR="004B5682">
        <w:t>(including Republic of Ireland). The remaining 6% were from North America.</w:t>
      </w:r>
      <w:r w:rsidR="00543353">
        <w:t xml:space="preserve"> The proportions for visitors to Northern Ireland overall differed slightly with Great Britain making up 30% of the origin of overnight trips while Northern Ireland </w:t>
      </w:r>
      <w:r w:rsidR="00F008E3">
        <w:t>origin was higher at 43%.</w:t>
      </w:r>
    </w:p>
    <w:p w14:paraId="5BBDF5E7" w14:textId="77777777" w:rsidR="00381E1E" w:rsidRDefault="00381E1E">
      <w:pPr>
        <w:rPr>
          <w:i/>
          <w:sz w:val="20"/>
          <w:szCs w:val="20"/>
        </w:rPr>
      </w:pPr>
    </w:p>
    <w:tbl>
      <w:tblPr>
        <w:tblW w:w="680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1134"/>
        <w:gridCol w:w="1134"/>
        <w:gridCol w:w="1134"/>
        <w:gridCol w:w="1134"/>
      </w:tblGrid>
      <w:tr w:rsidR="00CA73A0" w:rsidRPr="00546B94" w14:paraId="41696833" w14:textId="77777777" w:rsidTr="00CA73A0">
        <w:trPr>
          <w:trHeight w:val="502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F790F" w14:textId="77777777" w:rsidR="00CA73A0" w:rsidRPr="00546B94" w:rsidRDefault="00CA73A0" w:rsidP="00546B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46B9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3FBA2" w14:textId="77777777" w:rsidR="00CA73A0" w:rsidRPr="0028067A" w:rsidRDefault="00CA73A0" w:rsidP="00546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28067A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Armagh City, Banbridge and Craigavon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93EC2" w14:textId="77777777" w:rsidR="00CA73A0" w:rsidRPr="0028067A" w:rsidRDefault="00CA73A0" w:rsidP="00546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28067A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Northern Ireland</w:t>
            </w:r>
          </w:p>
        </w:tc>
      </w:tr>
      <w:tr w:rsidR="00CA73A0" w:rsidRPr="00546B94" w14:paraId="4424AD4E" w14:textId="77777777" w:rsidTr="00CA73A0">
        <w:trPr>
          <w:trHeight w:val="24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CF5090" w14:textId="77777777" w:rsidR="00CA73A0" w:rsidRPr="00546B94" w:rsidRDefault="00CA73A0" w:rsidP="00546B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2443B" w14:textId="77777777" w:rsidR="00CA73A0" w:rsidRPr="0028067A" w:rsidRDefault="00CA73A0" w:rsidP="00546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28067A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Number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073CF" w14:textId="77777777" w:rsidR="00CA73A0" w:rsidRPr="0028067A" w:rsidRDefault="00CA73A0" w:rsidP="00546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28067A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7A704" w14:textId="77777777" w:rsidR="00CA73A0" w:rsidRPr="0028067A" w:rsidRDefault="00CA73A0" w:rsidP="00546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28067A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Number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EFD9F" w14:textId="77777777" w:rsidR="00CA73A0" w:rsidRPr="0028067A" w:rsidRDefault="00CA73A0" w:rsidP="00546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28067A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%</w:t>
            </w:r>
          </w:p>
        </w:tc>
      </w:tr>
      <w:tr w:rsidR="00CA73A0" w:rsidRPr="00546B94" w14:paraId="7E067A1E" w14:textId="77777777" w:rsidTr="00CA73A0">
        <w:trPr>
          <w:trHeight w:val="2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96AD1" w14:textId="77777777" w:rsidR="00CA73A0" w:rsidRPr="0028067A" w:rsidRDefault="00CA73A0" w:rsidP="00546B9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28067A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Northern Ireland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3B9D4" w14:textId="77777777" w:rsidR="00CA73A0" w:rsidRPr="00546B94" w:rsidRDefault="00CA73A0" w:rsidP="00546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63,336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CD50E" w14:textId="77777777" w:rsidR="00CA73A0" w:rsidRPr="00546B94" w:rsidRDefault="00CA73A0" w:rsidP="00546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34</w:t>
            </w:r>
            <w:r w:rsidRPr="00546B94">
              <w:rPr>
                <w:rFonts w:ascii="Calibri" w:eastAsia="Times New Roman" w:hAnsi="Calibri" w:cs="Times New Roman"/>
                <w:color w:val="000000"/>
                <w:lang w:eastAsia="en-GB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64829" w14:textId="77777777" w:rsidR="00CA73A0" w:rsidRPr="00546B94" w:rsidRDefault="00CA73A0" w:rsidP="00546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2,121,779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B3112" w14:textId="77777777" w:rsidR="00CA73A0" w:rsidRPr="00546B94" w:rsidRDefault="00CA73A0" w:rsidP="00546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43%</w:t>
            </w:r>
          </w:p>
        </w:tc>
      </w:tr>
      <w:tr w:rsidR="00CA73A0" w:rsidRPr="00546B94" w14:paraId="7F826D95" w14:textId="77777777" w:rsidTr="00CA73A0">
        <w:trPr>
          <w:trHeight w:val="2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7D765" w14:textId="77777777" w:rsidR="00CA73A0" w:rsidRPr="0028067A" w:rsidRDefault="00CA73A0" w:rsidP="00546B9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28067A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Great Britain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F1954" w14:textId="77777777" w:rsidR="00CA73A0" w:rsidRPr="00546B94" w:rsidRDefault="00CA73A0" w:rsidP="00546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71,822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B8AFA" w14:textId="77777777" w:rsidR="00CA73A0" w:rsidRPr="00546B94" w:rsidRDefault="00CA73A0" w:rsidP="00546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38</w:t>
            </w:r>
            <w:r w:rsidRPr="00546B94">
              <w:rPr>
                <w:rFonts w:ascii="Calibri" w:eastAsia="Times New Roman" w:hAnsi="Calibri" w:cs="Times New Roman"/>
                <w:color w:val="000000"/>
                <w:lang w:eastAsia="en-GB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F5C08" w14:textId="77777777" w:rsidR="00CA73A0" w:rsidRPr="00546B94" w:rsidRDefault="00CA73A0" w:rsidP="00546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1,482,987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A7620" w14:textId="77777777" w:rsidR="00CA73A0" w:rsidRPr="00546B94" w:rsidRDefault="00CA73A0" w:rsidP="00546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30%</w:t>
            </w:r>
          </w:p>
        </w:tc>
      </w:tr>
      <w:tr w:rsidR="00CA73A0" w:rsidRPr="00546B94" w14:paraId="515BC428" w14:textId="77777777" w:rsidTr="00CA73A0">
        <w:trPr>
          <w:trHeight w:val="2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2E3AA" w14:textId="77777777" w:rsidR="00CA73A0" w:rsidRPr="0028067A" w:rsidRDefault="00CA73A0" w:rsidP="00546B9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28067A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Other European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4D862" w14:textId="77777777" w:rsidR="00CA73A0" w:rsidRPr="00546B94" w:rsidRDefault="00CA73A0" w:rsidP="00546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18,494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E0974" w14:textId="77777777" w:rsidR="00CA73A0" w:rsidRPr="00546B94" w:rsidRDefault="00CA73A0" w:rsidP="00546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  <w:r w:rsidRPr="00546B94">
              <w:rPr>
                <w:rFonts w:ascii="Calibri" w:eastAsia="Times New Roman" w:hAnsi="Calibri" w:cs="Times New Roman"/>
                <w:color w:val="000000"/>
                <w:lang w:eastAsia="en-GB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DB009" w14:textId="77777777" w:rsidR="00CA73A0" w:rsidRPr="00546B94" w:rsidRDefault="00CA73A0" w:rsidP="00546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380,714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71DB7" w14:textId="77777777" w:rsidR="00CA73A0" w:rsidRPr="00546B94" w:rsidRDefault="00CA73A0" w:rsidP="00546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8%</w:t>
            </w:r>
          </w:p>
        </w:tc>
      </w:tr>
      <w:tr w:rsidR="00CA73A0" w:rsidRPr="00546B94" w14:paraId="20C8CFFC" w14:textId="77777777" w:rsidTr="00CA73A0">
        <w:trPr>
          <w:trHeight w:val="2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101BB" w14:textId="77777777" w:rsidR="00CA73A0" w:rsidRPr="0028067A" w:rsidRDefault="00CA73A0" w:rsidP="00546B9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28067A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North America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C3C8D" w14:textId="77777777" w:rsidR="00CA73A0" w:rsidRDefault="00CA73A0" w:rsidP="00546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12,146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BA9FD" w14:textId="77777777" w:rsidR="00CA73A0" w:rsidRPr="00546B94" w:rsidRDefault="00CA73A0" w:rsidP="00546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534A9" w14:textId="77777777" w:rsidR="00CA73A0" w:rsidRPr="00546B94" w:rsidRDefault="00CA73A0" w:rsidP="00546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290,301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22B03" w14:textId="77777777" w:rsidR="00CA73A0" w:rsidRPr="00546B94" w:rsidRDefault="00CA73A0" w:rsidP="00546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6%</w:t>
            </w:r>
          </w:p>
        </w:tc>
      </w:tr>
      <w:tr w:rsidR="00CA73A0" w:rsidRPr="00546B94" w14:paraId="048D78E1" w14:textId="77777777" w:rsidTr="00CA73A0">
        <w:trPr>
          <w:trHeight w:val="2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FAB5F" w14:textId="77777777" w:rsidR="00CA73A0" w:rsidRPr="0028067A" w:rsidRDefault="00CA73A0" w:rsidP="00546B9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28067A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Other (Including ROI)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E3785" w14:textId="77777777" w:rsidR="00CA73A0" w:rsidRDefault="00CA73A0" w:rsidP="00546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21,568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4EB9E" w14:textId="77777777" w:rsidR="00CA73A0" w:rsidRPr="00546B94" w:rsidRDefault="00CA73A0" w:rsidP="00546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FE15E" w14:textId="77777777" w:rsidR="00CA73A0" w:rsidRPr="00546B94" w:rsidRDefault="00CA73A0" w:rsidP="00546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672,671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5AC3E" w14:textId="77777777" w:rsidR="00CA73A0" w:rsidRPr="00546B94" w:rsidRDefault="00CA73A0" w:rsidP="00546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14%</w:t>
            </w:r>
          </w:p>
        </w:tc>
      </w:tr>
      <w:tr w:rsidR="00CA73A0" w:rsidRPr="00546B94" w14:paraId="2AD319D2" w14:textId="77777777" w:rsidTr="00CA73A0">
        <w:trPr>
          <w:trHeight w:val="2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3059D" w14:textId="77777777" w:rsidR="00CA73A0" w:rsidRPr="0028067A" w:rsidRDefault="00CA73A0" w:rsidP="00CA73A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28067A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All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B2283" w14:textId="77777777" w:rsidR="00CA73A0" w:rsidRPr="00546B94" w:rsidRDefault="00CA73A0" w:rsidP="00CA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187,366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7EA8F" w14:textId="77777777" w:rsidR="00CA73A0" w:rsidRPr="00546B94" w:rsidRDefault="00CA73A0" w:rsidP="00CA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100</w:t>
            </w:r>
            <w:r w:rsidRPr="00546B94">
              <w:rPr>
                <w:rFonts w:ascii="Calibri" w:eastAsia="Times New Roman" w:hAnsi="Calibri" w:cs="Times New Roman"/>
                <w:color w:val="000000"/>
                <w:lang w:eastAsia="en-GB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E4A3D" w14:textId="77777777" w:rsidR="00CA73A0" w:rsidRPr="00546B94" w:rsidRDefault="00CA73A0" w:rsidP="00CA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4,948,452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2DB48" w14:textId="77777777" w:rsidR="00CA73A0" w:rsidRPr="00546B94" w:rsidRDefault="00CA73A0" w:rsidP="00CA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100%</w:t>
            </w:r>
          </w:p>
        </w:tc>
      </w:tr>
    </w:tbl>
    <w:p w14:paraId="7F925DC2" w14:textId="77777777" w:rsidR="00DC0E4D" w:rsidRDefault="00DC0E4D" w:rsidP="00CA73A0">
      <w:pPr>
        <w:rPr>
          <w:i/>
          <w:sz w:val="20"/>
          <w:szCs w:val="20"/>
        </w:rPr>
      </w:pPr>
      <w:r>
        <w:rPr>
          <w:i/>
          <w:sz w:val="20"/>
          <w:szCs w:val="20"/>
        </w:rPr>
        <w:t>Table 3</w:t>
      </w:r>
      <w:r w:rsidRPr="008C1EDC">
        <w:rPr>
          <w:i/>
          <w:sz w:val="20"/>
          <w:szCs w:val="20"/>
        </w:rPr>
        <w:t xml:space="preserve">: Estimated </w:t>
      </w:r>
      <w:r>
        <w:rPr>
          <w:i/>
          <w:sz w:val="20"/>
          <w:szCs w:val="20"/>
        </w:rPr>
        <w:t xml:space="preserve">average overnight trips </w:t>
      </w:r>
      <w:r w:rsidRPr="008C1EDC">
        <w:rPr>
          <w:i/>
          <w:sz w:val="20"/>
          <w:szCs w:val="20"/>
        </w:rPr>
        <w:t>in Armagh City, Banbridge and Craigavon Borough</w:t>
      </w:r>
      <w:r w:rsidR="00CA73A0">
        <w:rPr>
          <w:i/>
          <w:sz w:val="20"/>
          <w:szCs w:val="20"/>
        </w:rPr>
        <w:t xml:space="preserve"> and Northern Ireland</w:t>
      </w:r>
      <w:r w:rsidRPr="008C1EDC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by place</w:t>
      </w:r>
      <w:r w:rsidR="00CA73A0">
        <w:rPr>
          <w:i/>
          <w:sz w:val="20"/>
          <w:szCs w:val="20"/>
        </w:rPr>
        <w:t xml:space="preserve"> of origin, 3-year average </w:t>
      </w:r>
      <w:r>
        <w:rPr>
          <w:i/>
          <w:sz w:val="20"/>
          <w:szCs w:val="20"/>
        </w:rPr>
        <w:t>2016-</w:t>
      </w:r>
      <w:r w:rsidRPr="008C1EDC">
        <w:rPr>
          <w:i/>
          <w:sz w:val="20"/>
          <w:szCs w:val="20"/>
        </w:rPr>
        <w:t>2018. Source: Tourism Statistics, NISRA.</w:t>
      </w:r>
      <w:r w:rsidR="004B5682">
        <w:rPr>
          <w:i/>
          <w:sz w:val="20"/>
          <w:szCs w:val="20"/>
        </w:rPr>
        <w:t xml:space="preserve"> Please note percentages may not sum due to rounding.</w:t>
      </w:r>
    </w:p>
    <w:p w14:paraId="2D23DED4" w14:textId="77777777" w:rsidR="00265E55" w:rsidRDefault="00265E55" w:rsidP="00CA73A0">
      <w:pPr>
        <w:rPr>
          <w:i/>
          <w:sz w:val="20"/>
          <w:szCs w:val="20"/>
        </w:rPr>
      </w:pPr>
    </w:p>
    <w:p w14:paraId="54282E86" w14:textId="77777777" w:rsidR="00D82855" w:rsidRPr="00BC5454" w:rsidRDefault="00CA73A0" w:rsidP="0079173A">
      <w:pPr>
        <w:rPr>
          <w:i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7BBAE915" wp14:editId="0D6E0F9D">
            <wp:extent cx="5731510" cy="3006090"/>
            <wp:effectExtent l="0" t="0" r="2540" b="3810"/>
            <wp:docPr id="6" name="Chart 6" descr="Estimated average overnight trips 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79173A">
        <w:rPr>
          <w:i/>
          <w:sz w:val="20"/>
          <w:szCs w:val="20"/>
        </w:rPr>
        <w:t>Figure 3</w:t>
      </w:r>
      <w:r w:rsidR="0079173A" w:rsidRPr="008C1EDC">
        <w:rPr>
          <w:i/>
          <w:sz w:val="20"/>
          <w:szCs w:val="20"/>
        </w:rPr>
        <w:t xml:space="preserve">: Estimated </w:t>
      </w:r>
      <w:r w:rsidR="0079173A">
        <w:rPr>
          <w:i/>
          <w:sz w:val="20"/>
          <w:szCs w:val="20"/>
        </w:rPr>
        <w:t xml:space="preserve">average overnight trips </w:t>
      </w:r>
      <w:r w:rsidR="0079173A" w:rsidRPr="008C1EDC">
        <w:rPr>
          <w:i/>
          <w:sz w:val="20"/>
          <w:szCs w:val="20"/>
        </w:rPr>
        <w:t>in Armagh City, Banbridge and Craigavon Borough</w:t>
      </w:r>
      <w:r w:rsidR="0028067A">
        <w:rPr>
          <w:i/>
          <w:sz w:val="20"/>
          <w:szCs w:val="20"/>
        </w:rPr>
        <w:t xml:space="preserve"> and Northern Ireland</w:t>
      </w:r>
      <w:r w:rsidR="0079173A" w:rsidRPr="008C1EDC">
        <w:rPr>
          <w:i/>
          <w:sz w:val="20"/>
          <w:szCs w:val="20"/>
        </w:rPr>
        <w:t xml:space="preserve"> </w:t>
      </w:r>
      <w:r w:rsidR="0079173A">
        <w:rPr>
          <w:i/>
          <w:sz w:val="20"/>
          <w:szCs w:val="20"/>
        </w:rPr>
        <w:t>by place of origin, 3-year average 2016-</w:t>
      </w:r>
      <w:r w:rsidR="0079173A" w:rsidRPr="008C1EDC">
        <w:rPr>
          <w:i/>
          <w:sz w:val="20"/>
          <w:szCs w:val="20"/>
        </w:rPr>
        <w:t>2018. Source: Tourism Statistics, NISRA.</w:t>
      </w:r>
    </w:p>
    <w:p w14:paraId="248DBDC6" w14:textId="77777777" w:rsidR="001464FA" w:rsidRDefault="001464FA" w:rsidP="0079173A">
      <w:pPr>
        <w:rPr>
          <w:i/>
          <w:sz w:val="20"/>
          <w:szCs w:val="20"/>
        </w:rPr>
      </w:pPr>
    </w:p>
    <w:p w14:paraId="6CB60867" w14:textId="77777777" w:rsidR="001464FA" w:rsidRDefault="00BC5454" w:rsidP="0079173A">
      <w:pPr>
        <w:rPr>
          <w:i/>
          <w:sz w:val="20"/>
          <w:szCs w:val="20"/>
        </w:rPr>
      </w:pPr>
      <w:r>
        <w:t>Further information on tourism</w:t>
      </w:r>
      <w:r w:rsidR="0028067A">
        <w:t xml:space="preserve"> statistics</w:t>
      </w:r>
      <w:r>
        <w:t xml:space="preserve"> can be found via the following link:</w:t>
      </w:r>
    </w:p>
    <w:p w14:paraId="1E6D4F75" w14:textId="77777777" w:rsidR="001464FA" w:rsidRDefault="003D4628" w:rsidP="0079173A">
      <w:pPr>
        <w:rPr>
          <w:i/>
          <w:sz w:val="20"/>
          <w:szCs w:val="20"/>
        </w:rPr>
      </w:pPr>
      <w:hyperlink r:id="rId9" w:history="1">
        <w:r w:rsidR="00BC5454">
          <w:rPr>
            <w:rStyle w:val="Hyperlink"/>
          </w:rPr>
          <w:t>https://www.nisra.gov.uk/statistics/tourism/local-government-district-tourism-statistics</w:t>
        </w:r>
      </w:hyperlink>
    </w:p>
    <w:sectPr w:rsidR="001464FA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10BAD" w14:textId="77777777" w:rsidR="003D4628" w:rsidRDefault="003D4628" w:rsidP="009470B4">
      <w:pPr>
        <w:spacing w:after="0" w:line="240" w:lineRule="auto"/>
      </w:pPr>
      <w:r>
        <w:separator/>
      </w:r>
    </w:p>
  </w:endnote>
  <w:endnote w:type="continuationSeparator" w:id="0">
    <w:p w14:paraId="620870B4" w14:textId="77777777" w:rsidR="003D4628" w:rsidRDefault="003D4628" w:rsidP="00947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96843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C9F4B5" w14:textId="77777777" w:rsidR="009470B4" w:rsidRDefault="009470B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067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FBD9C3F" w14:textId="77777777" w:rsidR="009470B4" w:rsidRDefault="009470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38223" w14:textId="77777777" w:rsidR="003D4628" w:rsidRDefault="003D4628" w:rsidP="009470B4">
      <w:pPr>
        <w:spacing w:after="0" w:line="240" w:lineRule="auto"/>
      </w:pPr>
      <w:r>
        <w:separator/>
      </w:r>
    </w:p>
  </w:footnote>
  <w:footnote w:type="continuationSeparator" w:id="0">
    <w:p w14:paraId="6AFE7445" w14:textId="77777777" w:rsidR="003D4628" w:rsidRDefault="003D4628" w:rsidP="009470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787"/>
    <w:rsid w:val="00015C89"/>
    <w:rsid w:val="000C7CE8"/>
    <w:rsid w:val="001464FA"/>
    <w:rsid w:val="00154E71"/>
    <w:rsid w:val="001E571F"/>
    <w:rsid w:val="0022340B"/>
    <w:rsid w:val="00265E55"/>
    <w:rsid w:val="0028067A"/>
    <w:rsid w:val="002B13D9"/>
    <w:rsid w:val="00381E1E"/>
    <w:rsid w:val="003D4628"/>
    <w:rsid w:val="00470647"/>
    <w:rsid w:val="00494448"/>
    <w:rsid w:val="004B5004"/>
    <w:rsid w:val="004B5682"/>
    <w:rsid w:val="00543353"/>
    <w:rsid w:val="00543809"/>
    <w:rsid w:val="00546B94"/>
    <w:rsid w:val="006E4145"/>
    <w:rsid w:val="0079173A"/>
    <w:rsid w:val="007C7AFB"/>
    <w:rsid w:val="00820F29"/>
    <w:rsid w:val="00836E9E"/>
    <w:rsid w:val="0084512A"/>
    <w:rsid w:val="008C1EDC"/>
    <w:rsid w:val="008C3787"/>
    <w:rsid w:val="009470B4"/>
    <w:rsid w:val="00A0792D"/>
    <w:rsid w:val="00A64F03"/>
    <w:rsid w:val="00A70F15"/>
    <w:rsid w:val="00A76810"/>
    <w:rsid w:val="00BC5454"/>
    <w:rsid w:val="00C17259"/>
    <w:rsid w:val="00CA73A0"/>
    <w:rsid w:val="00D14FF4"/>
    <w:rsid w:val="00D82855"/>
    <w:rsid w:val="00DC0E4D"/>
    <w:rsid w:val="00E00CE7"/>
    <w:rsid w:val="00E41CE3"/>
    <w:rsid w:val="00F008E3"/>
    <w:rsid w:val="00F1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841ED"/>
  <w15:chartTrackingRefBased/>
  <w15:docId w15:val="{C11A593D-929D-46F6-A671-5201660B0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70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0B4"/>
  </w:style>
  <w:style w:type="paragraph" w:styleId="Footer">
    <w:name w:val="footer"/>
    <w:basedOn w:val="Normal"/>
    <w:link w:val="FooterChar"/>
    <w:uiPriority w:val="99"/>
    <w:unhideWhenUsed/>
    <w:rsid w:val="009470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0B4"/>
  </w:style>
  <w:style w:type="character" w:styleId="Hyperlink">
    <w:name w:val="Hyperlink"/>
    <w:basedOn w:val="DefaultParagraphFont"/>
    <w:uiPriority w:val="99"/>
    <w:semiHidden/>
    <w:unhideWhenUsed/>
    <w:rsid w:val="00BC54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9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www.nisra.gov.uk/statistics/tourism/local-government-district-tourism-statistics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'Overall (2)'!$B$1:$C$1</c:f>
              <c:strCache>
                <c:ptCount val="1"/>
                <c:pt idx="0">
                  <c:v>Overnight Trips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'Overall (2)'!$A$3:$A$8</c:f>
              <c:numCache>
                <c:formatCode>General</c:formatCode>
                <c:ptCount val="6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</c:numCache>
            </c:numRef>
          </c:cat>
          <c:val>
            <c:numRef>
              <c:f>'Overall (2)'!$B$3:$B$8</c:f>
              <c:numCache>
                <c:formatCode>#,##0</c:formatCode>
                <c:ptCount val="6"/>
                <c:pt idx="0">
                  <c:v>201161</c:v>
                </c:pt>
                <c:pt idx="1">
                  <c:v>231852</c:v>
                </c:pt>
                <c:pt idx="2">
                  <c:v>149782</c:v>
                </c:pt>
                <c:pt idx="3">
                  <c:v>144952</c:v>
                </c:pt>
                <c:pt idx="4">
                  <c:v>228595</c:v>
                </c:pt>
                <c:pt idx="5">
                  <c:v>188551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F0A-48AC-87B0-37754BBB1AF6}"/>
            </c:ext>
          </c:extLst>
        </c:ser>
        <c:ser>
          <c:idx val="3"/>
          <c:order val="2"/>
          <c:tx>
            <c:strRef>
              <c:f>'Overall (2)'!$D$1:$E$1</c:f>
              <c:strCache>
                <c:ptCount val="1"/>
                <c:pt idx="0">
                  <c:v>Nights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'Overall (2)'!$A$3:$A$8</c:f>
              <c:numCache>
                <c:formatCode>General</c:formatCode>
                <c:ptCount val="6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</c:numCache>
            </c:numRef>
          </c:cat>
          <c:val>
            <c:numRef>
              <c:f>'Overall (2)'!$D$3:$D$8</c:f>
              <c:numCache>
                <c:formatCode>#,##0</c:formatCode>
                <c:ptCount val="6"/>
                <c:pt idx="0">
                  <c:v>817881</c:v>
                </c:pt>
                <c:pt idx="1">
                  <c:v>769692</c:v>
                </c:pt>
                <c:pt idx="2">
                  <c:v>563238</c:v>
                </c:pt>
                <c:pt idx="3">
                  <c:v>726296</c:v>
                </c:pt>
                <c:pt idx="4">
                  <c:v>780583</c:v>
                </c:pt>
                <c:pt idx="5">
                  <c:v>704130</c:v>
                </c:pt>
              </c:numCache>
            </c:numRef>
          </c:val>
          <c:extLst xmlns:c15="http://schemas.microsoft.com/office/drawing/2012/chart">
            <c:ext xmlns:c16="http://schemas.microsoft.com/office/drawing/2014/chart" uri="{C3380CC4-5D6E-409C-BE32-E72D297353CC}">
              <c16:uniqueId val="{00000001-FF0A-48AC-87B0-37754BBB1A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342574592"/>
        <c:axId val="338192112"/>
        <c:extLst>
          <c:ext xmlns:c15="http://schemas.microsoft.com/office/drawing/2012/chart" uri="{02D57815-91ED-43cb-92C2-25804820EDAC}">
            <c15:filteredBarSeries>
              <c15:ser>
                <c:idx val="1"/>
                <c:order val="1"/>
                <c:tx>
                  <c:strRef>
                    <c:extLst>
                      <c:ext uri="{02D57815-91ED-43cb-92C2-25804820EDAC}">
                        <c15:formulaRef>
                          <c15:sqref>'Overall (2)'!$C$1:$C$2</c15:sqref>
                        </c15:formulaRef>
                      </c:ext>
                    </c:extLst>
                    <c:strCache>
                      <c:ptCount val="2"/>
                      <c:pt idx="0">
                        <c:v>Overnight Trips</c:v>
                      </c:pt>
                      <c:pt idx="1">
                        <c:v>% of NI</c:v>
                      </c:pt>
                    </c:strCache>
                  </c:strRef>
                </c:tx>
                <c:spPr>
                  <a:solidFill>
                    <a:schemeClr val="accent2"/>
                  </a:solidFill>
                  <a:ln>
                    <a:noFill/>
                  </a:ln>
                  <a:effectLst/>
                </c:spPr>
                <c:invertIfNegative val="0"/>
                <c:cat>
                  <c:numRef>
                    <c:extLst>
                      <c:ext uri="{02D57815-91ED-43cb-92C2-25804820EDAC}">
                        <c15:formulaRef>
                          <c15:sqref>'Overall (2)'!$A$3:$A$8</c15:sqref>
                        </c15:formulaRef>
                      </c:ext>
                    </c:extLst>
                    <c:numCache>
                      <c:formatCode>General</c:formatCode>
                      <c:ptCount val="6"/>
                      <c:pt idx="0">
                        <c:v>2013</c:v>
                      </c:pt>
                      <c:pt idx="1">
                        <c:v>2014</c:v>
                      </c:pt>
                      <c:pt idx="2">
                        <c:v>2015</c:v>
                      </c:pt>
                      <c:pt idx="3">
                        <c:v>2016</c:v>
                      </c:pt>
                      <c:pt idx="4">
                        <c:v>2017</c:v>
                      </c:pt>
                      <c:pt idx="5">
                        <c:v>2018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'Overall (2)'!$C$5:$C$8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0.03</c:v>
                      </c:pt>
                      <c:pt idx="1">
                        <c:v>0.03</c:v>
                      </c:pt>
                      <c:pt idx="2">
                        <c:v>0.05</c:v>
                      </c:pt>
                      <c:pt idx="3">
                        <c:v>0.04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3-FF0A-48AC-87B0-37754BBB1AF6}"/>
                  </c:ext>
                </c:extLst>
              </c15:ser>
            </c15:filteredBarSeries>
            <c15:filteredBarSeries>
              <c15:ser>
                <c:idx val="5"/>
                <c:order val="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'Overall (2)'!$G$1:$G$2</c15:sqref>
                        </c15:formulaRef>
                      </c:ext>
                    </c:extLst>
                    <c:strCache>
                      <c:ptCount val="2"/>
                      <c:pt idx="0">
                        <c:v>Expenditure</c:v>
                      </c:pt>
                      <c:pt idx="1">
                        <c:v>% of NI</c:v>
                      </c:pt>
                    </c:strCache>
                  </c:strRef>
                </c:tx>
                <c:spPr>
                  <a:solidFill>
                    <a:schemeClr val="accent6"/>
                  </a:solidFill>
                  <a:ln>
                    <a:noFill/>
                  </a:ln>
                  <a:effectLst/>
                </c:spPr>
                <c:invertIfNegative val="0"/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'Overall (2)'!$A$3:$A$8</c15:sqref>
                        </c15:formulaRef>
                      </c:ext>
                    </c:extLst>
                    <c:numCache>
                      <c:formatCode>General</c:formatCode>
                      <c:ptCount val="6"/>
                      <c:pt idx="0">
                        <c:v>2013</c:v>
                      </c:pt>
                      <c:pt idx="1">
                        <c:v>2014</c:v>
                      </c:pt>
                      <c:pt idx="2">
                        <c:v>2015</c:v>
                      </c:pt>
                      <c:pt idx="3">
                        <c:v>2016</c:v>
                      </c:pt>
                      <c:pt idx="4">
                        <c:v>2017</c:v>
                      </c:pt>
                      <c:pt idx="5">
                        <c:v>2018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'Overall (2)'!$G$5:$G$8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0.03</c:v>
                      </c:pt>
                      <c:pt idx="1">
                        <c:v>0.03</c:v>
                      </c:pt>
                      <c:pt idx="2">
                        <c:v>0.03</c:v>
                      </c:pt>
                      <c:pt idx="3">
                        <c:v>0.03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4-FF0A-48AC-87B0-37754BBB1AF6}"/>
                  </c:ext>
                </c:extLst>
              </c15:ser>
            </c15:filteredBarSeries>
          </c:ext>
        </c:extLst>
      </c:barChart>
      <c:lineChart>
        <c:grouping val="standard"/>
        <c:varyColors val="0"/>
        <c:ser>
          <c:idx val="4"/>
          <c:order val="3"/>
          <c:tx>
            <c:strRef>
              <c:f>'Overall (2)'!$F$1:$G$1</c:f>
              <c:strCache>
                <c:ptCount val="1"/>
                <c:pt idx="0">
                  <c:v>Expenditure</c:v>
                </c:pt>
              </c:strCache>
            </c:strRef>
          </c:tx>
          <c:spPr>
            <a:ln w="28575" cap="rnd">
              <a:solidFill>
                <a:srgbClr val="A5A5A5"/>
              </a:solidFill>
              <a:round/>
            </a:ln>
            <a:effectLst/>
          </c:spPr>
          <c:marker>
            <c:symbol val="none"/>
          </c:marker>
          <c:cat>
            <c:numRef>
              <c:f>'Overall (2)'!$A$3:$A$8</c:f>
              <c:numCache>
                <c:formatCode>General</c:formatCode>
                <c:ptCount val="6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</c:numCache>
            </c:numRef>
          </c:cat>
          <c:val>
            <c:numRef>
              <c:f>'Overall (2)'!$F$3:$F$8</c:f>
              <c:numCache>
                <c:formatCode>#,##0</c:formatCode>
                <c:ptCount val="6"/>
                <c:pt idx="0">
                  <c:v>21894975</c:v>
                </c:pt>
                <c:pt idx="1">
                  <c:v>28120012</c:v>
                </c:pt>
                <c:pt idx="2">
                  <c:v>22539092</c:v>
                </c:pt>
                <c:pt idx="3">
                  <c:v>25548339</c:v>
                </c:pt>
                <c:pt idx="4">
                  <c:v>32384669</c:v>
                </c:pt>
                <c:pt idx="5">
                  <c:v>26404319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FF0A-48AC-87B0-37754BBB1A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61377584"/>
        <c:axId val="460985680"/>
      </c:lineChart>
      <c:catAx>
        <c:axId val="3425745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38192112"/>
        <c:crosses val="autoZero"/>
        <c:auto val="1"/>
        <c:lblAlgn val="ctr"/>
        <c:lblOffset val="100"/>
        <c:noMultiLvlLbl val="0"/>
      </c:catAx>
      <c:valAx>
        <c:axId val="338192112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Number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2574592"/>
        <c:crosses val="autoZero"/>
        <c:crossBetween val="between"/>
      </c:valAx>
      <c:valAx>
        <c:axId val="460985680"/>
        <c:scaling>
          <c:orientation val="minMax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Expenditure</a:t>
                </a:r>
                <a:r>
                  <a:rPr lang="en-GB" baseline="0"/>
                  <a:t> (£)</a:t>
                </a:r>
                <a:endParaRPr lang="en-GB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#,##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61377584"/>
        <c:crosses val="max"/>
        <c:crossBetween val="between"/>
      </c:valAx>
      <c:catAx>
        <c:axId val="46137758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460985680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Overall!$A$26</c:f>
              <c:strCache>
                <c:ptCount val="1"/>
                <c:pt idx="0">
                  <c:v>Armagh City, Banbridge and Craigavon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Overall!$B$25:$E$25</c:f>
              <c:strCache>
                <c:ptCount val="4"/>
                <c:pt idx="0">
                  <c:v>Holiday / Pleasure / Leisure</c:v>
                </c:pt>
                <c:pt idx="1">
                  <c:v>Visting Friends and Relatives</c:v>
                </c:pt>
                <c:pt idx="2">
                  <c:v>Business</c:v>
                </c:pt>
                <c:pt idx="3">
                  <c:v>Other</c:v>
                </c:pt>
              </c:strCache>
            </c:strRef>
          </c:cat>
          <c:val>
            <c:numRef>
              <c:f>Overall!$B$26:$E$26</c:f>
              <c:numCache>
                <c:formatCode>0%</c:formatCode>
                <c:ptCount val="4"/>
                <c:pt idx="0">
                  <c:v>0.19</c:v>
                </c:pt>
                <c:pt idx="1">
                  <c:v>0.71</c:v>
                </c:pt>
                <c:pt idx="2">
                  <c:v>0.08</c:v>
                </c:pt>
                <c:pt idx="3">
                  <c:v>0.02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DDF-4D00-8D79-434BB8F832BA}"/>
            </c:ext>
          </c:extLst>
        </c:ser>
        <c:ser>
          <c:idx val="1"/>
          <c:order val="1"/>
          <c:tx>
            <c:strRef>
              <c:f>Overall!$A$27</c:f>
              <c:strCache>
                <c:ptCount val="1"/>
                <c:pt idx="0">
                  <c:v>Northern Ireland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Overall!$B$25:$E$25</c:f>
              <c:strCache>
                <c:ptCount val="4"/>
                <c:pt idx="0">
                  <c:v>Holiday / Pleasure / Leisure</c:v>
                </c:pt>
                <c:pt idx="1">
                  <c:v>Visting Friends and Relatives</c:v>
                </c:pt>
                <c:pt idx="2">
                  <c:v>Business</c:v>
                </c:pt>
                <c:pt idx="3">
                  <c:v>Other</c:v>
                </c:pt>
              </c:strCache>
            </c:strRef>
          </c:cat>
          <c:val>
            <c:numRef>
              <c:f>Overall!$B$27:$E$27</c:f>
              <c:numCache>
                <c:formatCode>0%</c:formatCode>
                <c:ptCount val="4"/>
                <c:pt idx="0">
                  <c:v>0.5</c:v>
                </c:pt>
                <c:pt idx="1">
                  <c:v>0.38</c:v>
                </c:pt>
                <c:pt idx="2">
                  <c:v>0.09</c:v>
                </c:pt>
                <c:pt idx="3">
                  <c:v>0.03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DDF-4D00-8D79-434BB8F832B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0188352"/>
        <c:axId val="130187520"/>
      </c:barChart>
      <c:catAx>
        <c:axId val="1301883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0187520"/>
        <c:crosses val="autoZero"/>
        <c:auto val="1"/>
        <c:lblAlgn val="ctr"/>
        <c:lblOffset val="100"/>
        <c:noMultiLvlLbl val="0"/>
      </c:catAx>
      <c:valAx>
        <c:axId val="130187520"/>
        <c:scaling>
          <c:orientation val="minMax"/>
        </c:scaling>
        <c:delete val="0"/>
        <c:axPos val="l"/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01883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Overall!$A$31</c:f>
              <c:strCache>
                <c:ptCount val="1"/>
                <c:pt idx="0">
                  <c:v>Armagh City, Banbridge and Craigavon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Overall!$B$30:$F$30</c:f>
              <c:strCache>
                <c:ptCount val="5"/>
                <c:pt idx="0">
                  <c:v>Northern Ireland</c:v>
                </c:pt>
                <c:pt idx="1">
                  <c:v>Great Britain</c:v>
                </c:pt>
                <c:pt idx="2">
                  <c:v>Other European</c:v>
                </c:pt>
                <c:pt idx="3">
                  <c:v>North America</c:v>
                </c:pt>
                <c:pt idx="4">
                  <c:v>Other (Including ROI)</c:v>
                </c:pt>
              </c:strCache>
            </c:strRef>
          </c:cat>
          <c:val>
            <c:numRef>
              <c:f>Overall!$B$31:$F$31</c:f>
              <c:numCache>
                <c:formatCode>0%</c:formatCode>
                <c:ptCount val="5"/>
                <c:pt idx="0">
                  <c:v>0.34</c:v>
                </c:pt>
                <c:pt idx="1">
                  <c:v>0.38</c:v>
                </c:pt>
                <c:pt idx="2">
                  <c:v>0.1</c:v>
                </c:pt>
                <c:pt idx="3">
                  <c:v>0.06</c:v>
                </c:pt>
                <c:pt idx="4">
                  <c:v>0.12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C3D-45AE-8531-361005D15798}"/>
            </c:ext>
          </c:extLst>
        </c:ser>
        <c:ser>
          <c:idx val="1"/>
          <c:order val="1"/>
          <c:tx>
            <c:strRef>
              <c:f>Overall!$A$32</c:f>
              <c:strCache>
                <c:ptCount val="1"/>
                <c:pt idx="0">
                  <c:v>Northern Ireland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Overall!$B$30:$F$30</c:f>
              <c:strCache>
                <c:ptCount val="5"/>
                <c:pt idx="0">
                  <c:v>Northern Ireland</c:v>
                </c:pt>
                <c:pt idx="1">
                  <c:v>Great Britain</c:v>
                </c:pt>
                <c:pt idx="2">
                  <c:v>Other European</c:v>
                </c:pt>
                <c:pt idx="3">
                  <c:v>North America</c:v>
                </c:pt>
                <c:pt idx="4">
                  <c:v>Other (Including ROI)</c:v>
                </c:pt>
              </c:strCache>
            </c:strRef>
          </c:cat>
          <c:val>
            <c:numRef>
              <c:f>Overall!$B$32:$F$32</c:f>
              <c:numCache>
                <c:formatCode>0%</c:formatCode>
                <c:ptCount val="5"/>
                <c:pt idx="0">
                  <c:v>0.43</c:v>
                </c:pt>
                <c:pt idx="1">
                  <c:v>0.3</c:v>
                </c:pt>
                <c:pt idx="2">
                  <c:v>0.08</c:v>
                </c:pt>
                <c:pt idx="3">
                  <c:v>0.06</c:v>
                </c:pt>
                <c:pt idx="4">
                  <c:v>0.14000000000000001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C3D-45AE-8531-361005D1579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24163248"/>
        <c:axId val="424159504"/>
      </c:barChart>
      <c:catAx>
        <c:axId val="424163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24159504"/>
        <c:crosses val="autoZero"/>
        <c:auto val="1"/>
        <c:lblAlgn val="ctr"/>
        <c:lblOffset val="100"/>
        <c:noMultiLvlLbl val="0"/>
      </c:catAx>
      <c:valAx>
        <c:axId val="424159504"/>
        <c:scaling>
          <c:orientation val="minMax"/>
        </c:scaling>
        <c:delete val="0"/>
        <c:axPos val="l"/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241632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767</TotalTime>
  <Pages>3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 Gordon</dc:creator>
  <cp:keywords/>
  <dc:description/>
  <cp:lastModifiedBy>David McMullan</cp:lastModifiedBy>
  <cp:revision>14</cp:revision>
  <dcterms:created xsi:type="dcterms:W3CDTF">2019-09-25T13:17:00Z</dcterms:created>
  <dcterms:modified xsi:type="dcterms:W3CDTF">2022-02-18T17:44:00Z</dcterms:modified>
</cp:coreProperties>
</file>