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F6248" w14:textId="77777777" w:rsidR="002E31FB" w:rsidRPr="00A65E19" w:rsidRDefault="00802C98">
      <w:pPr>
        <w:rPr>
          <w:b/>
        </w:rPr>
      </w:pPr>
      <w:r>
        <w:rPr>
          <w:b/>
        </w:rPr>
        <w:t>Population Projections</w:t>
      </w:r>
    </w:p>
    <w:p w14:paraId="724A64A8" w14:textId="77777777" w:rsidR="003A6B98" w:rsidRDefault="003A6B98">
      <w:r>
        <w:t xml:space="preserve">The </w:t>
      </w:r>
      <w:r w:rsidR="00802C98">
        <w:t>projected</w:t>
      </w:r>
      <w:r>
        <w:t xml:space="preserve"> population of Armagh City, Banbridge and Craigavon </w:t>
      </w:r>
      <w:r w:rsidR="00E1225D">
        <w:t xml:space="preserve">Borough </w:t>
      </w:r>
      <w:r w:rsidR="004163A1">
        <w:t>is expected to increase year on year up until 2041 (the latest year projections are available).</w:t>
      </w:r>
      <w:r w:rsidR="00DB5602">
        <w:t xml:space="preserve"> The population at the end of June 2041 is projected to be 251,621. This is an increase of 37,531 people or 17.5%</w:t>
      </w:r>
      <w:r w:rsidR="000241BF">
        <w:t xml:space="preserve"> on 2018 mid-</w:t>
      </w:r>
      <w:r w:rsidR="00DB5602">
        <w:t>year population estimates.</w:t>
      </w:r>
      <w:r w:rsidR="009842E7">
        <w:t xml:space="preserve"> This is projected to be the largest increase in both the number of people and percentage increase across all 11 councils. The projected population increase in Northern Ireland between 2018 and 2041 is 6.5%.</w:t>
      </w:r>
    </w:p>
    <w:p w14:paraId="2B046EA7" w14:textId="77777777" w:rsidR="004163A1" w:rsidRDefault="005F3D41">
      <w:r>
        <w:rPr>
          <w:noProof/>
          <w:lang w:eastAsia="en-GB"/>
        </w:rPr>
        <w:drawing>
          <wp:inline distT="0" distB="0" distL="0" distR="0" wp14:anchorId="1BE18C38" wp14:editId="14D172C0">
            <wp:extent cx="6086475" cy="4076700"/>
            <wp:effectExtent l="0" t="0" r="9525" b="0"/>
            <wp:docPr id="5" name="Chart 5" descr="Population estimates and projectio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003647E4">
        <w:rPr>
          <w:i/>
          <w:sz w:val="20"/>
          <w:szCs w:val="20"/>
        </w:rPr>
        <w:t>Figure 1: Population e</w:t>
      </w:r>
      <w:r w:rsidR="00DB5602">
        <w:rPr>
          <w:i/>
          <w:sz w:val="20"/>
          <w:szCs w:val="20"/>
        </w:rPr>
        <w:t xml:space="preserve">stimates and </w:t>
      </w:r>
      <w:r w:rsidR="003647E4">
        <w:rPr>
          <w:i/>
          <w:sz w:val="20"/>
          <w:szCs w:val="20"/>
        </w:rPr>
        <w:t>p</w:t>
      </w:r>
      <w:r w:rsidR="00DB5602">
        <w:rPr>
          <w:i/>
          <w:sz w:val="20"/>
          <w:szCs w:val="20"/>
        </w:rPr>
        <w:t>rojections for Armagh City, Banbridge and Craigavon</w:t>
      </w:r>
      <w:r w:rsidR="003647E4">
        <w:rPr>
          <w:i/>
          <w:sz w:val="20"/>
          <w:szCs w:val="20"/>
        </w:rPr>
        <w:t xml:space="preserve"> Borough</w:t>
      </w:r>
      <w:r w:rsidR="004903E5">
        <w:rPr>
          <w:i/>
          <w:sz w:val="20"/>
          <w:szCs w:val="20"/>
        </w:rPr>
        <w:t xml:space="preserve"> 2008 to 2041</w:t>
      </w:r>
      <w:r w:rsidRPr="002A2185">
        <w:rPr>
          <w:i/>
          <w:sz w:val="20"/>
          <w:szCs w:val="20"/>
        </w:rPr>
        <w:t>. Source:</w:t>
      </w:r>
      <w:r w:rsidR="00DB5602">
        <w:rPr>
          <w:i/>
          <w:sz w:val="20"/>
          <w:szCs w:val="20"/>
        </w:rPr>
        <w:t xml:space="preserve"> 2018 Mid-Year Population Estimates and 2016 Based Population Projections,</w:t>
      </w:r>
      <w:r>
        <w:rPr>
          <w:i/>
          <w:sz w:val="20"/>
          <w:szCs w:val="20"/>
        </w:rPr>
        <w:t xml:space="preserve"> NISRA</w:t>
      </w:r>
      <w:r w:rsidRPr="002A2185">
        <w:rPr>
          <w:i/>
          <w:sz w:val="20"/>
          <w:szCs w:val="20"/>
        </w:rPr>
        <w:t>.</w:t>
      </w:r>
    </w:p>
    <w:p w14:paraId="6415CC9D" w14:textId="77777777" w:rsidR="00E1225D" w:rsidRDefault="0076127A">
      <w:r>
        <w:t>All age groups</w:t>
      </w:r>
      <w:r w:rsidR="002E1FFF">
        <w:t xml:space="preserve"> in the borough</w:t>
      </w:r>
      <w:r>
        <w:t xml:space="preserve"> are projected to increase between 2018 and 2041, most notably those aged 65 and over, who are projected to increase by 23,285 people or 71.0%. </w:t>
      </w:r>
      <w:r w:rsidR="00E64F58">
        <w:t xml:space="preserve">However, in Northern Ireland overall those </w:t>
      </w:r>
      <w:r w:rsidR="003647E4">
        <w:t>under 16</w:t>
      </w:r>
      <w:r w:rsidR="00E64F58">
        <w:t xml:space="preserve"> and aged 25 to 49 years are projected to decrease.</w:t>
      </w:r>
    </w:p>
    <w:tbl>
      <w:tblPr>
        <w:tblW w:w="8499" w:type="dxa"/>
        <w:tblLayout w:type="fixed"/>
        <w:tblLook w:val="04A0" w:firstRow="1" w:lastRow="0" w:firstColumn="1" w:lastColumn="0" w:noHBand="0" w:noVBand="1"/>
      </w:tblPr>
      <w:tblGrid>
        <w:gridCol w:w="1359"/>
        <w:gridCol w:w="1613"/>
        <w:gridCol w:w="1276"/>
        <w:gridCol w:w="1417"/>
        <w:gridCol w:w="1417"/>
        <w:gridCol w:w="1417"/>
      </w:tblGrid>
      <w:tr w:rsidR="0076127A" w:rsidRPr="009C7268" w14:paraId="2BDD79F7" w14:textId="77777777" w:rsidTr="0076127A">
        <w:trPr>
          <w:trHeight w:val="600"/>
        </w:trPr>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579BF8" w14:textId="77777777" w:rsidR="0076127A" w:rsidRPr="009C7268" w:rsidRDefault="0076127A" w:rsidP="00706581">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Age Group</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43075960" w14:textId="77777777" w:rsidR="0076127A" w:rsidRPr="009C7268" w:rsidRDefault="0076127A" w:rsidP="00706581">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ABC 2018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FCA161" w14:textId="77777777" w:rsidR="0076127A" w:rsidRPr="009C7268" w:rsidRDefault="0076127A" w:rsidP="00706581">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ABC 2041</w:t>
            </w:r>
          </w:p>
        </w:tc>
        <w:tc>
          <w:tcPr>
            <w:tcW w:w="1417" w:type="dxa"/>
            <w:tcBorders>
              <w:top w:val="single" w:sz="4" w:space="0" w:color="auto"/>
              <w:left w:val="nil"/>
              <w:bottom w:val="single" w:sz="4" w:space="0" w:color="auto"/>
              <w:right w:val="single" w:sz="4" w:space="0" w:color="auto"/>
            </w:tcBorders>
            <w:shd w:val="clear" w:color="auto" w:fill="auto"/>
            <w:vAlign w:val="center"/>
          </w:tcPr>
          <w:p w14:paraId="75C7B01F" w14:textId="77777777" w:rsidR="0076127A" w:rsidRPr="009C7268" w:rsidRDefault="0076127A" w:rsidP="00706581">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ABC Change</w:t>
            </w:r>
          </w:p>
        </w:tc>
        <w:tc>
          <w:tcPr>
            <w:tcW w:w="1417" w:type="dxa"/>
            <w:tcBorders>
              <w:top w:val="single" w:sz="4" w:space="0" w:color="auto"/>
              <w:left w:val="nil"/>
              <w:bottom w:val="single" w:sz="4" w:space="0" w:color="auto"/>
              <w:right w:val="single" w:sz="4" w:space="0" w:color="auto"/>
            </w:tcBorders>
            <w:shd w:val="clear" w:color="auto" w:fill="auto"/>
            <w:vAlign w:val="center"/>
          </w:tcPr>
          <w:p w14:paraId="08BC83B6" w14:textId="77777777" w:rsidR="0076127A" w:rsidRPr="009C7268" w:rsidRDefault="0076127A" w:rsidP="00706581">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Change ABC</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31586B4" w14:textId="77777777" w:rsidR="0076127A" w:rsidRPr="009C7268" w:rsidRDefault="0076127A" w:rsidP="00706581">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Change Northern Ireland</w:t>
            </w:r>
          </w:p>
        </w:tc>
      </w:tr>
      <w:tr w:rsidR="0076127A" w:rsidRPr="009C7268" w14:paraId="6D8C76B4" w14:textId="77777777" w:rsidTr="0076127A">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6A9CB2A6" w14:textId="77777777" w:rsidR="0076127A" w:rsidRPr="009C7268" w:rsidRDefault="0076127A" w:rsidP="00706581">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0 – 15 years</w:t>
            </w:r>
          </w:p>
        </w:tc>
        <w:tc>
          <w:tcPr>
            <w:tcW w:w="1613" w:type="dxa"/>
            <w:tcBorders>
              <w:top w:val="nil"/>
              <w:left w:val="nil"/>
              <w:bottom w:val="single" w:sz="4" w:space="0" w:color="auto"/>
              <w:right w:val="single" w:sz="4" w:space="0" w:color="auto"/>
            </w:tcBorders>
            <w:shd w:val="clear" w:color="auto" w:fill="auto"/>
            <w:noWrap/>
            <w:vAlign w:val="bottom"/>
          </w:tcPr>
          <w:p w14:paraId="187E73CE"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48,166</w:t>
            </w:r>
          </w:p>
        </w:tc>
        <w:tc>
          <w:tcPr>
            <w:tcW w:w="1276" w:type="dxa"/>
            <w:tcBorders>
              <w:top w:val="nil"/>
              <w:left w:val="nil"/>
              <w:bottom w:val="single" w:sz="4" w:space="0" w:color="auto"/>
              <w:right w:val="single" w:sz="4" w:space="0" w:color="auto"/>
            </w:tcBorders>
            <w:shd w:val="clear" w:color="auto" w:fill="auto"/>
            <w:noWrap/>
            <w:vAlign w:val="bottom"/>
          </w:tcPr>
          <w:p w14:paraId="462D7616"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49,316</w:t>
            </w:r>
          </w:p>
        </w:tc>
        <w:tc>
          <w:tcPr>
            <w:tcW w:w="1417" w:type="dxa"/>
            <w:tcBorders>
              <w:top w:val="nil"/>
              <w:left w:val="nil"/>
              <w:bottom w:val="single" w:sz="4" w:space="0" w:color="auto"/>
              <w:right w:val="single" w:sz="4" w:space="0" w:color="auto"/>
            </w:tcBorders>
            <w:shd w:val="clear" w:color="auto" w:fill="auto"/>
            <w:vAlign w:val="bottom"/>
          </w:tcPr>
          <w:p w14:paraId="5917F212"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1,150</w:t>
            </w:r>
          </w:p>
        </w:tc>
        <w:tc>
          <w:tcPr>
            <w:tcW w:w="1417" w:type="dxa"/>
            <w:tcBorders>
              <w:top w:val="nil"/>
              <w:left w:val="nil"/>
              <w:bottom w:val="single" w:sz="4" w:space="0" w:color="auto"/>
              <w:right w:val="single" w:sz="4" w:space="0" w:color="auto"/>
            </w:tcBorders>
            <w:shd w:val="clear" w:color="auto" w:fill="auto"/>
            <w:vAlign w:val="bottom"/>
          </w:tcPr>
          <w:p w14:paraId="06AE92B4"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w:t>
            </w:r>
          </w:p>
        </w:tc>
        <w:tc>
          <w:tcPr>
            <w:tcW w:w="1417" w:type="dxa"/>
            <w:tcBorders>
              <w:top w:val="nil"/>
              <w:left w:val="nil"/>
              <w:bottom w:val="single" w:sz="4" w:space="0" w:color="auto"/>
              <w:right w:val="single" w:sz="4" w:space="0" w:color="auto"/>
            </w:tcBorders>
            <w:shd w:val="clear" w:color="auto" w:fill="auto"/>
            <w:noWrap/>
            <w:vAlign w:val="bottom"/>
          </w:tcPr>
          <w:p w14:paraId="723EC806"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-7.1%</w:t>
            </w:r>
          </w:p>
        </w:tc>
      </w:tr>
      <w:tr w:rsidR="0076127A" w:rsidRPr="009C7268" w14:paraId="3589A8CE" w14:textId="77777777" w:rsidTr="0076127A">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40B2C037" w14:textId="77777777" w:rsidR="0076127A" w:rsidRDefault="0076127A" w:rsidP="00706581">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16 – 24 years</w:t>
            </w:r>
          </w:p>
        </w:tc>
        <w:tc>
          <w:tcPr>
            <w:tcW w:w="1613" w:type="dxa"/>
            <w:tcBorders>
              <w:top w:val="nil"/>
              <w:left w:val="nil"/>
              <w:bottom w:val="single" w:sz="4" w:space="0" w:color="auto"/>
              <w:right w:val="single" w:sz="4" w:space="0" w:color="auto"/>
            </w:tcBorders>
            <w:shd w:val="clear" w:color="auto" w:fill="auto"/>
            <w:noWrap/>
            <w:vAlign w:val="bottom"/>
          </w:tcPr>
          <w:p w14:paraId="2484DC51" w14:textId="77777777" w:rsidR="0076127A"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21,883</w:t>
            </w:r>
          </w:p>
        </w:tc>
        <w:tc>
          <w:tcPr>
            <w:tcW w:w="1276" w:type="dxa"/>
            <w:tcBorders>
              <w:top w:val="nil"/>
              <w:left w:val="nil"/>
              <w:bottom w:val="single" w:sz="4" w:space="0" w:color="auto"/>
              <w:right w:val="single" w:sz="4" w:space="0" w:color="auto"/>
            </w:tcBorders>
            <w:shd w:val="clear" w:color="auto" w:fill="auto"/>
            <w:noWrap/>
            <w:vAlign w:val="bottom"/>
          </w:tcPr>
          <w:p w14:paraId="1804DD34" w14:textId="77777777" w:rsidR="0076127A"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25,467</w:t>
            </w:r>
          </w:p>
        </w:tc>
        <w:tc>
          <w:tcPr>
            <w:tcW w:w="1417" w:type="dxa"/>
            <w:tcBorders>
              <w:top w:val="nil"/>
              <w:left w:val="nil"/>
              <w:bottom w:val="single" w:sz="4" w:space="0" w:color="auto"/>
              <w:right w:val="single" w:sz="4" w:space="0" w:color="auto"/>
            </w:tcBorders>
            <w:shd w:val="clear" w:color="auto" w:fill="auto"/>
            <w:vAlign w:val="bottom"/>
          </w:tcPr>
          <w:p w14:paraId="0DA6DC33"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3,584</w:t>
            </w:r>
          </w:p>
        </w:tc>
        <w:tc>
          <w:tcPr>
            <w:tcW w:w="1417" w:type="dxa"/>
            <w:tcBorders>
              <w:top w:val="nil"/>
              <w:left w:val="nil"/>
              <w:bottom w:val="single" w:sz="4" w:space="0" w:color="auto"/>
              <w:right w:val="single" w:sz="4" w:space="0" w:color="auto"/>
            </w:tcBorders>
            <w:shd w:val="clear" w:color="auto" w:fill="auto"/>
            <w:vAlign w:val="bottom"/>
          </w:tcPr>
          <w:p w14:paraId="555A4EDE"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16.4%</w:t>
            </w:r>
          </w:p>
        </w:tc>
        <w:tc>
          <w:tcPr>
            <w:tcW w:w="1417" w:type="dxa"/>
            <w:tcBorders>
              <w:top w:val="nil"/>
              <w:left w:val="nil"/>
              <w:bottom w:val="single" w:sz="4" w:space="0" w:color="auto"/>
              <w:right w:val="single" w:sz="4" w:space="0" w:color="auto"/>
            </w:tcBorders>
            <w:shd w:val="clear" w:color="auto" w:fill="auto"/>
            <w:noWrap/>
            <w:vAlign w:val="bottom"/>
          </w:tcPr>
          <w:p w14:paraId="04907949" w14:textId="77777777" w:rsidR="0076127A"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r>
      <w:tr w:rsidR="0076127A" w:rsidRPr="009C7268" w14:paraId="6C28424D" w14:textId="77777777" w:rsidTr="0076127A">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7D1DC504" w14:textId="77777777" w:rsidR="0076127A" w:rsidRDefault="0076127A" w:rsidP="00706581">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25 – 49 years</w:t>
            </w:r>
          </w:p>
        </w:tc>
        <w:tc>
          <w:tcPr>
            <w:tcW w:w="1613" w:type="dxa"/>
            <w:tcBorders>
              <w:top w:val="nil"/>
              <w:left w:val="nil"/>
              <w:bottom w:val="single" w:sz="4" w:space="0" w:color="auto"/>
              <w:right w:val="single" w:sz="4" w:space="0" w:color="auto"/>
            </w:tcBorders>
            <w:shd w:val="clear" w:color="auto" w:fill="auto"/>
            <w:noWrap/>
            <w:vAlign w:val="bottom"/>
          </w:tcPr>
          <w:p w14:paraId="7A1C3704" w14:textId="77777777" w:rsidR="0076127A"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71,975</w:t>
            </w:r>
          </w:p>
        </w:tc>
        <w:tc>
          <w:tcPr>
            <w:tcW w:w="1276" w:type="dxa"/>
            <w:tcBorders>
              <w:top w:val="nil"/>
              <w:left w:val="nil"/>
              <w:bottom w:val="single" w:sz="4" w:space="0" w:color="auto"/>
              <w:right w:val="single" w:sz="4" w:space="0" w:color="auto"/>
            </w:tcBorders>
            <w:shd w:val="clear" w:color="auto" w:fill="auto"/>
            <w:noWrap/>
            <w:vAlign w:val="bottom"/>
          </w:tcPr>
          <w:p w14:paraId="27778B5E" w14:textId="77777777" w:rsidR="0076127A"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76,064</w:t>
            </w:r>
          </w:p>
        </w:tc>
        <w:tc>
          <w:tcPr>
            <w:tcW w:w="1417" w:type="dxa"/>
            <w:tcBorders>
              <w:top w:val="nil"/>
              <w:left w:val="nil"/>
              <w:bottom w:val="single" w:sz="4" w:space="0" w:color="auto"/>
              <w:right w:val="single" w:sz="4" w:space="0" w:color="auto"/>
            </w:tcBorders>
            <w:shd w:val="clear" w:color="auto" w:fill="auto"/>
            <w:vAlign w:val="bottom"/>
          </w:tcPr>
          <w:p w14:paraId="302A52D1"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4,089</w:t>
            </w:r>
          </w:p>
        </w:tc>
        <w:tc>
          <w:tcPr>
            <w:tcW w:w="1417" w:type="dxa"/>
            <w:tcBorders>
              <w:top w:val="nil"/>
              <w:left w:val="nil"/>
              <w:bottom w:val="single" w:sz="4" w:space="0" w:color="auto"/>
              <w:right w:val="single" w:sz="4" w:space="0" w:color="auto"/>
            </w:tcBorders>
            <w:shd w:val="clear" w:color="auto" w:fill="auto"/>
            <w:vAlign w:val="bottom"/>
          </w:tcPr>
          <w:p w14:paraId="62B7E235"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w:t>
            </w:r>
          </w:p>
        </w:tc>
        <w:tc>
          <w:tcPr>
            <w:tcW w:w="1417" w:type="dxa"/>
            <w:tcBorders>
              <w:top w:val="nil"/>
              <w:left w:val="nil"/>
              <w:bottom w:val="single" w:sz="4" w:space="0" w:color="auto"/>
              <w:right w:val="single" w:sz="4" w:space="0" w:color="auto"/>
            </w:tcBorders>
            <w:shd w:val="clear" w:color="auto" w:fill="auto"/>
            <w:noWrap/>
            <w:vAlign w:val="bottom"/>
          </w:tcPr>
          <w:p w14:paraId="436DF3A1" w14:textId="77777777" w:rsidR="0076127A"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-6.0%</w:t>
            </w:r>
          </w:p>
        </w:tc>
      </w:tr>
      <w:tr w:rsidR="0076127A" w:rsidRPr="009C7268" w14:paraId="623120AF" w14:textId="77777777" w:rsidTr="0076127A">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5F846381" w14:textId="77777777" w:rsidR="0076127A" w:rsidRPr="009C7268" w:rsidRDefault="0076127A" w:rsidP="00706581">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50 – 64 years</w:t>
            </w:r>
          </w:p>
        </w:tc>
        <w:tc>
          <w:tcPr>
            <w:tcW w:w="1613" w:type="dxa"/>
            <w:tcBorders>
              <w:top w:val="nil"/>
              <w:left w:val="nil"/>
              <w:bottom w:val="single" w:sz="4" w:space="0" w:color="auto"/>
              <w:right w:val="single" w:sz="4" w:space="0" w:color="auto"/>
            </w:tcBorders>
            <w:shd w:val="clear" w:color="auto" w:fill="auto"/>
            <w:noWrap/>
            <w:vAlign w:val="bottom"/>
          </w:tcPr>
          <w:p w14:paraId="74EA3C7A"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39,255</w:t>
            </w:r>
          </w:p>
        </w:tc>
        <w:tc>
          <w:tcPr>
            <w:tcW w:w="1276" w:type="dxa"/>
            <w:tcBorders>
              <w:top w:val="nil"/>
              <w:left w:val="nil"/>
              <w:bottom w:val="single" w:sz="4" w:space="0" w:color="auto"/>
              <w:right w:val="single" w:sz="4" w:space="0" w:color="auto"/>
            </w:tcBorders>
            <w:shd w:val="clear" w:color="auto" w:fill="auto"/>
            <w:noWrap/>
            <w:vAlign w:val="bottom"/>
          </w:tcPr>
          <w:p w14:paraId="591F14BF"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44,678</w:t>
            </w:r>
          </w:p>
        </w:tc>
        <w:tc>
          <w:tcPr>
            <w:tcW w:w="1417" w:type="dxa"/>
            <w:tcBorders>
              <w:top w:val="nil"/>
              <w:left w:val="nil"/>
              <w:bottom w:val="single" w:sz="4" w:space="0" w:color="auto"/>
              <w:right w:val="single" w:sz="4" w:space="0" w:color="auto"/>
            </w:tcBorders>
            <w:shd w:val="clear" w:color="auto" w:fill="auto"/>
            <w:vAlign w:val="bottom"/>
          </w:tcPr>
          <w:p w14:paraId="186BCA1E"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5,423</w:t>
            </w:r>
          </w:p>
        </w:tc>
        <w:tc>
          <w:tcPr>
            <w:tcW w:w="1417" w:type="dxa"/>
            <w:tcBorders>
              <w:top w:val="nil"/>
              <w:left w:val="nil"/>
              <w:bottom w:val="single" w:sz="4" w:space="0" w:color="auto"/>
              <w:right w:val="single" w:sz="4" w:space="0" w:color="auto"/>
            </w:tcBorders>
            <w:shd w:val="clear" w:color="auto" w:fill="auto"/>
            <w:vAlign w:val="bottom"/>
          </w:tcPr>
          <w:p w14:paraId="7A35957F"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13.8%</w:t>
            </w:r>
          </w:p>
        </w:tc>
        <w:tc>
          <w:tcPr>
            <w:tcW w:w="1417" w:type="dxa"/>
            <w:tcBorders>
              <w:top w:val="nil"/>
              <w:left w:val="nil"/>
              <w:bottom w:val="single" w:sz="4" w:space="0" w:color="auto"/>
              <w:right w:val="single" w:sz="4" w:space="0" w:color="auto"/>
            </w:tcBorders>
            <w:shd w:val="clear" w:color="auto" w:fill="auto"/>
            <w:noWrap/>
            <w:vAlign w:val="bottom"/>
          </w:tcPr>
          <w:p w14:paraId="74B5169B"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0.4%</w:t>
            </w:r>
          </w:p>
        </w:tc>
      </w:tr>
      <w:tr w:rsidR="0076127A" w:rsidRPr="009C7268" w14:paraId="50F72C31" w14:textId="77777777" w:rsidTr="0076127A">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11BFB477" w14:textId="77777777" w:rsidR="0076127A" w:rsidRPr="009C7268" w:rsidRDefault="0076127A" w:rsidP="00706581">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65 and over</w:t>
            </w:r>
          </w:p>
        </w:tc>
        <w:tc>
          <w:tcPr>
            <w:tcW w:w="1613" w:type="dxa"/>
            <w:tcBorders>
              <w:top w:val="nil"/>
              <w:left w:val="nil"/>
              <w:bottom w:val="single" w:sz="4" w:space="0" w:color="auto"/>
              <w:right w:val="single" w:sz="4" w:space="0" w:color="auto"/>
            </w:tcBorders>
            <w:shd w:val="clear" w:color="auto" w:fill="auto"/>
            <w:noWrap/>
            <w:vAlign w:val="bottom"/>
          </w:tcPr>
          <w:p w14:paraId="027AF960"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32,811</w:t>
            </w:r>
          </w:p>
        </w:tc>
        <w:tc>
          <w:tcPr>
            <w:tcW w:w="1276" w:type="dxa"/>
            <w:tcBorders>
              <w:top w:val="nil"/>
              <w:left w:val="nil"/>
              <w:bottom w:val="single" w:sz="4" w:space="0" w:color="auto"/>
              <w:right w:val="single" w:sz="4" w:space="0" w:color="auto"/>
            </w:tcBorders>
            <w:shd w:val="clear" w:color="auto" w:fill="auto"/>
            <w:noWrap/>
            <w:vAlign w:val="bottom"/>
          </w:tcPr>
          <w:p w14:paraId="42BD7792"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56,096</w:t>
            </w:r>
          </w:p>
        </w:tc>
        <w:tc>
          <w:tcPr>
            <w:tcW w:w="1417" w:type="dxa"/>
            <w:tcBorders>
              <w:top w:val="nil"/>
              <w:left w:val="nil"/>
              <w:bottom w:val="single" w:sz="4" w:space="0" w:color="auto"/>
              <w:right w:val="single" w:sz="4" w:space="0" w:color="auto"/>
            </w:tcBorders>
            <w:shd w:val="clear" w:color="auto" w:fill="auto"/>
            <w:vAlign w:val="bottom"/>
          </w:tcPr>
          <w:p w14:paraId="79A0EF82"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23,285</w:t>
            </w:r>
          </w:p>
        </w:tc>
        <w:tc>
          <w:tcPr>
            <w:tcW w:w="1417" w:type="dxa"/>
            <w:tcBorders>
              <w:top w:val="nil"/>
              <w:left w:val="nil"/>
              <w:bottom w:val="single" w:sz="4" w:space="0" w:color="auto"/>
              <w:right w:val="single" w:sz="4" w:space="0" w:color="auto"/>
            </w:tcBorders>
            <w:shd w:val="clear" w:color="auto" w:fill="auto"/>
            <w:vAlign w:val="bottom"/>
          </w:tcPr>
          <w:p w14:paraId="2E114C68"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71.0%</w:t>
            </w:r>
          </w:p>
        </w:tc>
        <w:tc>
          <w:tcPr>
            <w:tcW w:w="1417" w:type="dxa"/>
            <w:tcBorders>
              <w:top w:val="nil"/>
              <w:left w:val="nil"/>
              <w:bottom w:val="single" w:sz="4" w:space="0" w:color="auto"/>
              <w:right w:val="single" w:sz="4" w:space="0" w:color="auto"/>
            </w:tcBorders>
            <w:shd w:val="clear" w:color="auto" w:fill="auto"/>
            <w:noWrap/>
            <w:vAlign w:val="bottom"/>
          </w:tcPr>
          <w:p w14:paraId="68AD071F"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59.5%</w:t>
            </w:r>
          </w:p>
        </w:tc>
      </w:tr>
      <w:tr w:rsidR="0076127A" w:rsidRPr="009C7268" w14:paraId="5A2E5F8D" w14:textId="77777777" w:rsidTr="0076127A">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35673E46" w14:textId="77777777" w:rsidR="0076127A" w:rsidRPr="009C7268" w:rsidRDefault="0076127A" w:rsidP="00706581">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Total </w:t>
            </w:r>
          </w:p>
        </w:tc>
        <w:tc>
          <w:tcPr>
            <w:tcW w:w="1613" w:type="dxa"/>
            <w:tcBorders>
              <w:top w:val="nil"/>
              <w:left w:val="nil"/>
              <w:bottom w:val="single" w:sz="4" w:space="0" w:color="auto"/>
              <w:right w:val="single" w:sz="4" w:space="0" w:color="auto"/>
            </w:tcBorders>
            <w:shd w:val="clear" w:color="auto" w:fill="auto"/>
            <w:noWrap/>
            <w:vAlign w:val="bottom"/>
          </w:tcPr>
          <w:p w14:paraId="54CCE18A"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214,090</w:t>
            </w:r>
          </w:p>
        </w:tc>
        <w:tc>
          <w:tcPr>
            <w:tcW w:w="1276" w:type="dxa"/>
            <w:tcBorders>
              <w:top w:val="nil"/>
              <w:left w:val="nil"/>
              <w:bottom w:val="single" w:sz="4" w:space="0" w:color="auto"/>
              <w:right w:val="single" w:sz="4" w:space="0" w:color="auto"/>
            </w:tcBorders>
            <w:shd w:val="clear" w:color="auto" w:fill="auto"/>
            <w:noWrap/>
            <w:vAlign w:val="bottom"/>
          </w:tcPr>
          <w:p w14:paraId="52F54A5E"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251,621</w:t>
            </w:r>
          </w:p>
        </w:tc>
        <w:tc>
          <w:tcPr>
            <w:tcW w:w="1417" w:type="dxa"/>
            <w:tcBorders>
              <w:top w:val="nil"/>
              <w:left w:val="nil"/>
              <w:bottom w:val="single" w:sz="4" w:space="0" w:color="auto"/>
              <w:right w:val="single" w:sz="4" w:space="0" w:color="auto"/>
            </w:tcBorders>
            <w:shd w:val="clear" w:color="auto" w:fill="auto"/>
            <w:vAlign w:val="bottom"/>
          </w:tcPr>
          <w:p w14:paraId="2732CCD2"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37,531</w:t>
            </w:r>
          </w:p>
        </w:tc>
        <w:tc>
          <w:tcPr>
            <w:tcW w:w="1417" w:type="dxa"/>
            <w:tcBorders>
              <w:top w:val="nil"/>
              <w:left w:val="nil"/>
              <w:bottom w:val="single" w:sz="4" w:space="0" w:color="auto"/>
              <w:right w:val="single" w:sz="4" w:space="0" w:color="auto"/>
            </w:tcBorders>
            <w:shd w:val="clear" w:color="auto" w:fill="auto"/>
            <w:vAlign w:val="bottom"/>
          </w:tcPr>
          <w:p w14:paraId="62E85181"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17.5%</w:t>
            </w:r>
          </w:p>
        </w:tc>
        <w:tc>
          <w:tcPr>
            <w:tcW w:w="1417" w:type="dxa"/>
            <w:tcBorders>
              <w:top w:val="nil"/>
              <w:left w:val="nil"/>
              <w:bottom w:val="single" w:sz="4" w:space="0" w:color="auto"/>
              <w:right w:val="single" w:sz="4" w:space="0" w:color="auto"/>
            </w:tcBorders>
            <w:shd w:val="clear" w:color="auto" w:fill="auto"/>
            <w:noWrap/>
            <w:vAlign w:val="bottom"/>
          </w:tcPr>
          <w:p w14:paraId="058BAB11" w14:textId="77777777" w:rsidR="0076127A" w:rsidRPr="009C7268" w:rsidRDefault="0076127A" w:rsidP="00706581">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6.5%</w:t>
            </w:r>
          </w:p>
        </w:tc>
      </w:tr>
    </w:tbl>
    <w:p w14:paraId="40147CCA" w14:textId="77777777" w:rsidR="009B4079" w:rsidRPr="002A2185" w:rsidRDefault="003647E4" w:rsidP="009B4079">
      <w:pPr>
        <w:rPr>
          <w:i/>
          <w:sz w:val="20"/>
          <w:szCs w:val="20"/>
        </w:rPr>
      </w:pPr>
      <w:r>
        <w:rPr>
          <w:i/>
          <w:sz w:val="20"/>
          <w:szCs w:val="20"/>
        </w:rPr>
        <w:t xml:space="preserve">Table 1: </w:t>
      </w:r>
      <w:r w:rsidR="002E1FFF">
        <w:rPr>
          <w:i/>
          <w:sz w:val="20"/>
          <w:szCs w:val="20"/>
        </w:rPr>
        <w:t xml:space="preserve">Population </w:t>
      </w:r>
      <w:r>
        <w:rPr>
          <w:i/>
          <w:sz w:val="20"/>
          <w:szCs w:val="20"/>
        </w:rPr>
        <w:t>c</w:t>
      </w:r>
      <w:r w:rsidR="00703AD1">
        <w:rPr>
          <w:i/>
          <w:sz w:val="20"/>
          <w:szCs w:val="20"/>
        </w:rPr>
        <w:t>hanges</w:t>
      </w:r>
      <w:r w:rsidR="004903E5">
        <w:rPr>
          <w:i/>
          <w:sz w:val="20"/>
          <w:szCs w:val="20"/>
        </w:rPr>
        <w:t xml:space="preserve"> </w:t>
      </w:r>
      <w:r>
        <w:rPr>
          <w:i/>
          <w:sz w:val="20"/>
          <w:szCs w:val="20"/>
        </w:rPr>
        <w:t>b</w:t>
      </w:r>
      <w:r w:rsidR="004903E5">
        <w:rPr>
          <w:i/>
          <w:sz w:val="20"/>
          <w:szCs w:val="20"/>
        </w:rPr>
        <w:t>etween 2018 and 2041</w:t>
      </w:r>
      <w:r w:rsidR="002E1FFF">
        <w:rPr>
          <w:i/>
          <w:sz w:val="20"/>
          <w:szCs w:val="20"/>
        </w:rPr>
        <w:t xml:space="preserve"> for Armagh City, Banbridge and Craigavon</w:t>
      </w:r>
      <w:r w:rsidR="00703AD1">
        <w:rPr>
          <w:i/>
          <w:sz w:val="20"/>
          <w:szCs w:val="20"/>
        </w:rPr>
        <w:t xml:space="preserve"> </w:t>
      </w:r>
      <w:r>
        <w:rPr>
          <w:i/>
          <w:sz w:val="20"/>
          <w:szCs w:val="20"/>
        </w:rPr>
        <w:t xml:space="preserve">Borough </w:t>
      </w:r>
      <w:r w:rsidR="00703AD1">
        <w:rPr>
          <w:i/>
          <w:sz w:val="20"/>
          <w:szCs w:val="20"/>
        </w:rPr>
        <w:t>and Northern Ireland</w:t>
      </w:r>
      <w:r w:rsidR="002E1FFF" w:rsidRPr="002A2185">
        <w:rPr>
          <w:i/>
          <w:sz w:val="20"/>
          <w:szCs w:val="20"/>
        </w:rPr>
        <w:t>. Source:</w:t>
      </w:r>
      <w:r w:rsidR="002E1FFF">
        <w:rPr>
          <w:i/>
          <w:sz w:val="20"/>
          <w:szCs w:val="20"/>
        </w:rPr>
        <w:t xml:space="preserve"> 2018 Mid-Year Population Estimates and 2016 Based Population Projections, NISRA</w:t>
      </w:r>
      <w:r w:rsidR="002E1FFF" w:rsidRPr="002A2185">
        <w:rPr>
          <w:i/>
          <w:sz w:val="20"/>
          <w:szCs w:val="20"/>
        </w:rPr>
        <w:t>.</w:t>
      </w:r>
    </w:p>
    <w:p w14:paraId="6D041FAE" w14:textId="77777777" w:rsidR="00E64F58" w:rsidRPr="00AE4700" w:rsidRDefault="008F1556" w:rsidP="003A7285">
      <w:r>
        <w:lastRenderedPageBreak/>
        <w:t>The age profile of the borough is projected to change between 2018 and 2041 with an ageing population. It is pr</w:t>
      </w:r>
      <w:r w:rsidR="00D46075">
        <w:t>ojected that in 2033, the proportion</w:t>
      </w:r>
      <w:r>
        <w:t xml:space="preserve"> of older people in the borough (those aged 65 and over)</w:t>
      </w:r>
      <w:r w:rsidR="00D46075">
        <w:t xml:space="preserve"> will be higher than the proportion of children (those aged 15 and under). The proportion of those aged 65 and over is projected to increase from 15.3% in 2018 to 22.3% in 2041. The proportion of those aged under 16 is projected to decrease from 22.5% in 2018 to 19.6% in 2041.</w:t>
      </w:r>
    </w:p>
    <w:tbl>
      <w:tblPr>
        <w:tblW w:w="9917" w:type="dxa"/>
        <w:tblLayout w:type="fixed"/>
        <w:tblLook w:val="04A0" w:firstRow="1" w:lastRow="0" w:firstColumn="1" w:lastColumn="0" w:noHBand="0" w:noVBand="1"/>
      </w:tblPr>
      <w:tblGrid>
        <w:gridCol w:w="1359"/>
        <w:gridCol w:w="1613"/>
        <w:gridCol w:w="1276"/>
        <w:gridCol w:w="1417"/>
        <w:gridCol w:w="1417"/>
        <w:gridCol w:w="1417"/>
        <w:gridCol w:w="1418"/>
      </w:tblGrid>
      <w:tr w:rsidR="0076127A" w:rsidRPr="009C7268" w14:paraId="4810CE68" w14:textId="77777777" w:rsidTr="00485286">
        <w:trPr>
          <w:trHeight w:val="600"/>
        </w:trPr>
        <w:tc>
          <w:tcPr>
            <w:tcW w:w="13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404F4B" w14:textId="77777777" w:rsidR="0076127A" w:rsidRPr="009C7268" w:rsidRDefault="0076127A" w:rsidP="00485286">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Age Group</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082EDE78" w14:textId="77777777" w:rsidR="0076127A" w:rsidRPr="009C7268" w:rsidRDefault="0076127A" w:rsidP="00485286">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9195C7E" w14:textId="77777777" w:rsidR="0076127A" w:rsidRPr="009C7268" w:rsidRDefault="0076127A" w:rsidP="00485286">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2CFDF869" w14:textId="77777777" w:rsidR="0076127A" w:rsidRPr="009C7268" w:rsidRDefault="0076127A" w:rsidP="00485286">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2033</w:t>
            </w:r>
          </w:p>
        </w:tc>
        <w:tc>
          <w:tcPr>
            <w:tcW w:w="1417" w:type="dxa"/>
            <w:tcBorders>
              <w:top w:val="single" w:sz="4" w:space="0" w:color="auto"/>
              <w:left w:val="nil"/>
              <w:bottom w:val="single" w:sz="4" w:space="0" w:color="auto"/>
              <w:right w:val="single" w:sz="4" w:space="0" w:color="auto"/>
            </w:tcBorders>
            <w:shd w:val="clear" w:color="auto" w:fill="auto"/>
            <w:vAlign w:val="center"/>
          </w:tcPr>
          <w:p w14:paraId="262F952F" w14:textId="77777777" w:rsidR="0076127A" w:rsidRPr="009C7268" w:rsidRDefault="0076127A" w:rsidP="00485286">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A7AF907" w14:textId="77777777" w:rsidR="0076127A" w:rsidRPr="009C7268" w:rsidRDefault="0076127A" w:rsidP="00485286">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2041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AB049ED" w14:textId="77777777" w:rsidR="0076127A" w:rsidRPr="009C7268" w:rsidRDefault="0076127A" w:rsidP="00485286">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w:t>
            </w:r>
          </w:p>
        </w:tc>
      </w:tr>
      <w:tr w:rsidR="0076127A" w:rsidRPr="009C7268" w14:paraId="622608C1" w14:textId="77777777" w:rsidTr="00485286">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47CB464B" w14:textId="77777777" w:rsidR="0076127A" w:rsidRPr="009C7268" w:rsidRDefault="0076127A" w:rsidP="00485286">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0 – 15 years</w:t>
            </w:r>
          </w:p>
        </w:tc>
        <w:tc>
          <w:tcPr>
            <w:tcW w:w="1613" w:type="dxa"/>
            <w:tcBorders>
              <w:top w:val="nil"/>
              <w:left w:val="nil"/>
              <w:bottom w:val="single" w:sz="4" w:space="0" w:color="auto"/>
              <w:right w:val="single" w:sz="4" w:space="0" w:color="auto"/>
            </w:tcBorders>
            <w:shd w:val="clear" w:color="auto" w:fill="auto"/>
            <w:noWrap/>
            <w:vAlign w:val="bottom"/>
          </w:tcPr>
          <w:p w14:paraId="5C549545"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48,166</w:t>
            </w:r>
          </w:p>
        </w:tc>
        <w:tc>
          <w:tcPr>
            <w:tcW w:w="1276" w:type="dxa"/>
            <w:tcBorders>
              <w:top w:val="nil"/>
              <w:left w:val="nil"/>
              <w:bottom w:val="single" w:sz="4" w:space="0" w:color="auto"/>
              <w:right w:val="single" w:sz="4" w:space="0" w:color="auto"/>
            </w:tcBorders>
            <w:shd w:val="clear" w:color="auto" w:fill="auto"/>
            <w:noWrap/>
            <w:vAlign w:val="bottom"/>
          </w:tcPr>
          <w:p w14:paraId="33EF52BB"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22.5%</w:t>
            </w:r>
          </w:p>
        </w:tc>
        <w:tc>
          <w:tcPr>
            <w:tcW w:w="1417" w:type="dxa"/>
            <w:tcBorders>
              <w:top w:val="nil"/>
              <w:left w:val="nil"/>
              <w:bottom w:val="single" w:sz="4" w:space="0" w:color="auto"/>
              <w:right w:val="single" w:sz="4" w:space="0" w:color="auto"/>
            </w:tcBorders>
            <w:shd w:val="clear" w:color="auto" w:fill="auto"/>
            <w:vAlign w:val="bottom"/>
          </w:tcPr>
          <w:p w14:paraId="7F45A187"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48,098</w:t>
            </w:r>
          </w:p>
        </w:tc>
        <w:tc>
          <w:tcPr>
            <w:tcW w:w="1417" w:type="dxa"/>
            <w:tcBorders>
              <w:top w:val="nil"/>
              <w:left w:val="nil"/>
              <w:bottom w:val="single" w:sz="4" w:space="0" w:color="auto"/>
              <w:right w:val="single" w:sz="4" w:space="0" w:color="auto"/>
            </w:tcBorders>
            <w:shd w:val="clear" w:color="auto" w:fill="auto"/>
            <w:vAlign w:val="bottom"/>
          </w:tcPr>
          <w:p w14:paraId="2D52B0D4"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19.9%</w:t>
            </w:r>
          </w:p>
        </w:tc>
        <w:tc>
          <w:tcPr>
            <w:tcW w:w="1417" w:type="dxa"/>
            <w:tcBorders>
              <w:top w:val="nil"/>
              <w:left w:val="nil"/>
              <w:bottom w:val="single" w:sz="4" w:space="0" w:color="auto"/>
              <w:right w:val="single" w:sz="4" w:space="0" w:color="auto"/>
            </w:tcBorders>
            <w:shd w:val="clear" w:color="auto" w:fill="auto"/>
            <w:noWrap/>
            <w:vAlign w:val="bottom"/>
          </w:tcPr>
          <w:p w14:paraId="5856875C"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49,316</w:t>
            </w:r>
          </w:p>
        </w:tc>
        <w:tc>
          <w:tcPr>
            <w:tcW w:w="1418" w:type="dxa"/>
            <w:tcBorders>
              <w:top w:val="nil"/>
              <w:left w:val="nil"/>
              <w:bottom w:val="single" w:sz="4" w:space="0" w:color="auto"/>
              <w:right w:val="single" w:sz="4" w:space="0" w:color="auto"/>
            </w:tcBorders>
            <w:shd w:val="clear" w:color="auto" w:fill="auto"/>
            <w:noWrap/>
            <w:vAlign w:val="bottom"/>
          </w:tcPr>
          <w:p w14:paraId="0A93C62B"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19.6%</w:t>
            </w:r>
          </w:p>
        </w:tc>
      </w:tr>
      <w:tr w:rsidR="0076127A" w:rsidRPr="009C7268" w14:paraId="50B9DEEB" w14:textId="77777777" w:rsidTr="00485286">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682AC999" w14:textId="77777777" w:rsidR="0076127A" w:rsidRDefault="0076127A" w:rsidP="00485286">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16 – 24 years</w:t>
            </w:r>
          </w:p>
        </w:tc>
        <w:tc>
          <w:tcPr>
            <w:tcW w:w="1613" w:type="dxa"/>
            <w:tcBorders>
              <w:top w:val="nil"/>
              <w:left w:val="nil"/>
              <w:bottom w:val="single" w:sz="4" w:space="0" w:color="auto"/>
              <w:right w:val="single" w:sz="4" w:space="0" w:color="auto"/>
            </w:tcBorders>
            <w:shd w:val="clear" w:color="auto" w:fill="auto"/>
            <w:noWrap/>
            <w:vAlign w:val="bottom"/>
          </w:tcPr>
          <w:p w14:paraId="4C84EB97" w14:textId="77777777" w:rsidR="0076127A"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21,883</w:t>
            </w:r>
          </w:p>
        </w:tc>
        <w:tc>
          <w:tcPr>
            <w:tcW w:w="1276" w:type="dxa"/>
            <w:tcBorders>
              <w:top w:val="nil"/>
              <w:left w:val="nil"/>
              <w:bottom w:val="single" w:sz="4" w:space="0" w:color="auto"/>
              <w:right w:val="single" w:sz="4" w:space="0" w:color="auto"/>
            </w:tcBorders>
            <w:shd w:val="clear" w:color="auto" w:fill="auto"/>
            <w:noWrap/>
            <w:vAlign w:val="bottom"/>
          </w:tcPr>
          <w:p w14:paraId="224EE71C" w14:textId="77777777" w:rsidR="0076127A"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10.2%</w:t>
            </w:r>
          </w:p>
        </w:tc>
        <w:tc>
          <w:tcPr>
            <w:tcW w:w="1417" w:type="dxa"/>
            <w:tcBorders>
              <w:top w:val="nil"/>
              <w:left w:val="nil"/>
              <w:bottom w:val="single" w:sz="4" w:space="0" w:color="auto"/>
              <w:right w:val="single" w:sz="4" w:space="0" w:color="auto"/>
            </w:tcBorders>
            <w:shd w:val="clear" w:color="auto" w:fill="auto"/>
            <w:vAlign w:val="bottom"/>
          </w:tcPr>
          <w:p w14:paraId="4804DC30"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26,267</w:t>
            </w:r>
          </w:p>
        </w:tc>
        <w:tc>
          <w:tcPr>
            <w:tcW w:w="1417" w:type="dxa"/>
            <w:tcBorders>
              <w:top w:val="nil"/>
              <w:left w:val="nil"/>
              <w:bottom w:val="single" w:sz="4" w:space="0" w:color="auto"/>
              <w:right w:val="single" w:sz="4" w:space="0" w:color="auto"/>
            </w:tcBorders>
            <w:shd w:val="clear" w:color="auto" w:fill="auto"/>
            <w:vAlign w:val="bottom"/>
          </w:tcPr>
          <w:p w14:paraId="7D7FEE0F"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10.9%</w:t>
            </w:r>
          </w:p>
        </w:tc>
        <w:tc>
          <w:tcPr>
            <w:tcW w:w="1417" w:type="dxa"/>
            <w:tcBorders>
              <w:top w:val="nil"/>
              <w:left w:val="nil"/>
              <w:bottom w:val="single" w:sz="4" w:space="0" w:color="auto"/>
              <w:right w:val="single" w:sz="4" w:space="0" w:color="auto"/>
            </w:tcBorders>
            <w:shd w:val="clear" w:color="auto" w:fill="auto"/>
            <w:noWrap/>
            <w:vAlign w:val="bottom"/>
          </w:tcPr>
          <w:p w14:paraId="2FDCA060" w14:textId="77777777" w:rsidR="0076127A"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25,467</w:t>
            </w:r>
          </w:p>
        </w:tc>
        <w:tc>
          <w:tcPr>
            <w:tcW w:w="1418" w:type="dxa"/>
            <w:tcBorders>
              <w:top w:val="nil"/>
              <w:left w:val="nil"/>
              <w:bottom w:val="single" w:sz="4" w:space="0" w:color="auto"/>
              <w:right w:val="single" w:sz="4" w:space="0" w:color="auto"/>
            </w:tcBorders>
            <w:shd w:val="clear" w:color="auto" w:fill="auto"/>
            <w:noWrap/>
            <w:vAlign w:val="bottom"/>
          </w:tcPr>
          <w:p w14:paraId="3E013E25" w14:textId="77777777" w:rsidR="0076127A"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10.1%</w:t>
            </w:r>
          </w:p>
        </w:tc>
      </w:tr>
      <w:tr w:rsidR="0076127A" w:rsidRPr="009C7268" w14:paraId="61A46010" w14:textId="77777777" w:rsidTr="00485286">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05A9B02C" w14:textId="77777777" w:rsidR="0076127A" w:rsidRDefault="0076127A" w:rsidP="00485286">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25 – 49 years</w:t>
            </w:r>
          </w:p>
        </w:tc>
        <w:tc>
          <w:tcPr>
            <w:tcW w:w="1613" w:type="dxa"/>
            <w:tcBorders>
              <w:top w:val="nil"/>
              <w:left w:val="nil"/>
              <w:bottom w:val="single" w:sz="4" w:space="0" w:color="auto"/>
              <w:right w:val="single" w:sz="4" w:space="0" w:color="auto"/>
            </w:tcBorders>
            <w:shd w:val="clear" w:color="auto" w:fill="auto"/>
            <w:noWrap/>
            <w:vAlign w:val="bottom"/>
          </w:tcPr>
          <w:p w14:paraId="59D83072" w14:textId="77777777" w:rsidR="0076127A"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71,975</w:t>
            </w:r>
          </w:p>
        </w:tc>
        <w:tc>
          <w:tcPr>
            <w:tcW w:w="1276" w:type="dxa"/>
            <w:tcBorders>
              <w:top w:val="nil"/>
              <w:left w:val="nil"/>
              <w:bottom w:val="single" w:sz="4" w:space="0" w:color="auto"/>
              <w:right w:val="single" w:sz="4" w:space="0" w:color="auto"/>
            </w:tcBorders>
            <w:shd w:val="clear" w:color="auto" w:fill="auto"/>
            <w:noWrap/>
            <w:vAlign w:val="bottom"/>
          </w:tcPr>
          <w:p w14:paraId="55C7628D" w14:textId="77777777" w:rsidR="0076127A"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33.6%</w:t>
            </w:r>
          </w:p>
        </w:tc>
        <w:tc>
          <w:tcPr>
            <w:tcW w:w="1417" w:type="dxa"/>
            <w:tcBorders>
              <w:top w:val="nil"/>
              <w:left w:val="nil"/>
              <w:bottom w:val="single" w:sz="4" w:space="0" w:color="auto"/>
              <w:right w:val="single" w:sz="4" w:space="0" w:color="auto"/>
            </w:tcBorders>
            <w:shd w:val="clear" w:color="auto" w:fill="auto"/>
            <w:vAlign w:val="bottom"/>
          </w:tcPr>
          <w:p w14:paraId="5D1C8C98"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74,130</w:t>
            </w:r>
          </w:p>
        </w:tc>
        <w:tc>
          <w:tcPr>
            <w:tcW w:w="1417" w:type="dxa"/>
            <w:tcBorders>
              <w:top w:val="nil"/>
              <w:left w:val="nil"/>
              <w:bottom w:val="single" w:sz="4" w:space="0" w:color="auto"/>
              <w:right w:val="single" w:sz="4" w:space="0" w:color="auto"/>
            </w:tcBorders>
            <w:shd w:val="clear" w:color="auto" w:fill="auto"/>
            <w:vAlign w:val="bottom"/>
          </w:tcPr>
          <w:p w14:paraId="2B4A871A"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30.7%</w:t>
            </w:r>
          </w:p>
        </w:tc>
        <w:tc>
          <w:tcPr>
            <w:tcW w:w="1417" w:type="dxa"/>
            <w:tcBorders>
              <w:top w:val="nil"/>
              <w:left w:val="nil"/>
              <w:bottom w:val="single" w:sz="4" w:space="0" w:color="auto"/>
              <w:right w:val="single" w:sz="4" w:space="0" w:color="auto"/>
            </w:tcBorders>
            <w:shd w:val="clear" w:color="auto" w:fill="auto"/>
            <w:noWrap/>
            <w:vAlign w:val="bottom"/>
          </w:tcPr>
          <w:p w14:paraId="652DA8CA" w14:textId="77777777" w:rsidR="0076127A"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76,064</w:t>
            </w:r>
          </w:p>
        </w:tc>
        <w:tc>
          <w:tcPr>
            <w:tcW w:w="1418" w:type="dxa"/>
            <w:tcBorders>
              <w:top w:val="nil"/>
              <w:left w:val="nil"/>
              <w:bottom w:val="single" w:sz="4" w:space="0" w:color="auto"/>
              <w:right w:val="single" w:sz="4" w:space="0" w:color="auto"/>
            </w:tcBorders>
            <w:shd w:val="clear" w:color="auto" w:fill="auto"/>
            <w:noWrap/>
            <w:vAlign w:val="bottom"/>
          </w:tcPr>
          <w:p w14:paraId="23B13E01" w14:textId="77777777" w:rsidR="0076127A"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30.2%</w:t>
            </w:r>
          </w:p>
        </w:tc>
      </w:tr>
      <w:tr w:rsidR="0076127A" w:rsidRPr="009C7268" w14:paraId="2B1E2409" w14:textId="77777777" w:rsidTr="00485286">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7A062C63" w14:textId="77777777" w:rsidR="0076127A" w:rsidRPr="009C7268" w:rsidRDefault="0076127A" w:rsidP="00485286">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50 – 64 years</w:t>
            </w:r>
          </w:p>
        </w:tc>
        <w:tc>
          <w:tcPr>
            <w:tcW w:w="1613" w:type="dxa"/>
            <w:tcBorders>
              <w:top w:val="nil"/>
              <w:left w:val="nil"/>
              <w:bottom w:val="single" w:sz="4" w:space="0" w:color="auto"/>
              <w:right w:val="single" w:sz="4" w:space="0" w:color="auto"/>
            </w:tcBorders>
            <w:shd w:val="clear" w:color="auto" w:fill="auto"/>
            <w:noWrap/>
            <w:vAlign w:val="bottom"/>
          </w:tcPr>
          <w:p w14:paraId="59E1C55A"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39,255</w:t>
            </w:r>
          </w:p>
        </w:tc>
        <w:tc>
          <w:tcPr>
            <w:tcW w:w="1276" w:type="dxa"/>
            <w:tcBorders>
              <w:top w:val="nil"/>
              <w:left w:val="nil"/>
              <w:bottom w:val="single" w:sz="4" w:space="0" w:color="auto"/>
              <w:right w:val="single" w:sz="4" w:space="0" w:color="auto"/>
            </w:tcBorders>
            <w:shd w:val="clear" w:color="auto" w:fill="auto"/>
            <w:noWrap/>
            <w:vAlign w:val="bottom"/>
          </w:tcPr>
          <w:p w14:paraId="455D0368"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18.3%</w:t>
            </w:r>
          </w:p>
        </w:tc>
        <w:tc>
          <w:tcPr>
            <w:tcW w:w="1417" w:type="dxa"/>
            <w:tcBorders>
              <w:top w:val="nil"/>
              <w:left w:val="nil"/>
              <w:bottom w:val="single" w:sz="4" w:space="0" w:color="auto"/>
              <w:right w:val="single" w:sz="4" w:space="0" w:color="auto"/>
            </w:tcBorders>
            <w:shd w:val="clear" w:color="auto" w:fill="auto"/>
            <w:vAlign w:val="bottom"/>
          </w:tcPr>
          <w:p w14:paraId="1C589456"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42,755</w:t>
            </w:r>
          </w:p>
        </w:tc>
        <w:tc>
          <w:tcPr>
            <w:tcW w:w="1417" w:type="dxa"/>
            <w:tcBorders>
              <w:top w:val="nil"/>
              <w:left w:val="nil"/>
              <w:bottom w:val="single" w:sz="4" w:space="0" w:color="auto"/>
              <w:right w:val="single" w:sz="4" w:space="0" w:color="auto"/>
            </w:tcBorders>
            <w:shd w:val="clear" w:color="auto" w:fill="auto"/>
            <w:vAlign w:val="bottom"/>
          </w:tcPr>
          <w:p w14:paraId="0D3F5BC5"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w:t>
            </w:r>
          </w:p>
        </w:tc>
        <w:tc>
          <w:tcPr>
            <w:tcW w:w="1417" w:type="dxa"/>
            <w:tcBorders>
              <w:top w:val="nil"/>
              <w:left w:val="nil"/>
              <w:bottom w:val="single" w:sz="4" w:space="0" w:color="auto"/>
              <w:right w:val="single" w:sz="4" w:space="0" w:color="auto"/>
            </w:tcBorders>
            <w:shd w:val="clear" w:color="auto" w:fill="auto"/>
            <w:noWrap/>
            <w:vAlign w:val="bottom"/>
          </w:tcPr>
          <w:p w14:paraId="52B054B4"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44,678</w:t>
            </w:r>
          </w:p>
        </w:tc>
        <w:tc>
          <w:tcPr>
            <w:tcW w:w="1418" w:type="dxa"/>
            <w:tcBorders>
              <w:top w:val="nil"/>
              <w:left w:val="nil"/>
              <w:bottom w:val="single" w:sz="4" w:space="0" w:color="auto"/>
              <w:right w:val="single" w:sz="4" w:space="0" w:color="auto"/>
            </w:tcBorders>
            <w:shd w:val="clear" w:color="auto" w:fill="auto"/>
            <w:noWrap/>
            <w:vAlign w:val="bottom"/>
          </w:tcPr>
          <w:p w14:paraId="51AE69D0"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17.8%</w:t>
            </w:r>
          </w:p>
        </w:tc>
      </w:tr>
      <w:tr w:rsidR="0076127A" w:rsidRPr="009C7268" w14:paraId="17F49BDA" w14:textId="77777777" w:rsidTr="00485286">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3E592E15" w14:textId="77777777" w:rsidR="0076127A" w:rsidRPr="009C7268" w:rsidRDefault="0076127A" w:rsidP="00485286">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65 and over</w:t>
            </w:r>
          </w:p>
        </w:tc>
        <w:tc>
          <w:tcPr>
            <w:tcW w:w="1613" w:type="dxa"/>
            <w:tcBorders>
              <w:top w:val="nil"/>
              <w:left w:val="nil"/>
              <w:bottom w:val="single" w:sz="4" w:space="0" w:color="auto"/>
              <w:right w:val="single" w:sz="4" w:space="0" w:color="auto"/>
            </w:tcBorders>
            <w:shd w:val="clear" w:color="auto" w:fill="auto"/>
            <w:noWrap/>
            <w:vAlign w:val="bottom"/>
          </w:tcPr>
          <w:p w14:paraId="7E49BA09"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32,811</w:t>
            </w:r>
          </w:p>
        </w:tc>
        <w:tc>
          <w:tcPr>
            <w:tcW w:w="1276" w:type="dxa"/>
            <w:tcBorders>
              <w:top w:val="nil"/>
              <w:left w:val="nil"/>
              <w:bottom w:val="single" w:sz="4" w:space="0" w:color="auto"/>
              <w:right w:val="single" w:sz="4" w:space="0" w:color="auto"/>
            </w:tcBorders>
            <w:shd w:val="clear" w:color="auto" w:fill="auto"/>
            <w:noWrap/>
            <w:vAlign w:val="bottom"/>
          </w:tcPr>
          <w:p w14:paraId="6D72E660"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15.3%</w:t>
            </w:r>
          </w:p>
        </w:tc>
        <w:tc>
          <w:tcPr>
            <w:tcW w:w="1417" w:type="dxa"/>
            <w:tcBorders>
              <w:top w:val="nil"/>
              <w:left w:val="nil"/>
              <w:bottom w:val="single" w:sz="4" w:space="0" w:color="auto"/>
              <w:right w:val="single" w:sz="4" w:space="0" w:color="auto"/>
            </w:tcBorders>
            <w:shd w:val="clear" w:color="auto" w:fill="auto"/>
            <w:vAlign w:val="bottom"/>
          </w:tcPr>
          <w:p w14:paraId="6BFCDB7F"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49,974</w:t>
            </w:r>
          </w:p>
        </w:tc>
        <w:tc>
          <w:tcPr>
            <w:tcW w:w="1417" w:type="dxa"/>
            <w:tcBorders>
              <w:top w:val="nil"/>
              <w:left w:val="nil"/>
              <w:bottom w:val="single" w:sz="4" w:space="0" w:color="auto"/>
              <w:right w:val="single" w:sz="4" w:space="0" w:color="auto"/>
            </w:tcBorders>
            <w:shd w:val="clear" w:color="auto" w:fill="auto"/>
            <w:vAlign w:val="bottom"/>
          </w:tcPr>
          <w:p w14:paraId="5E7D8342"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20.7%</w:t>
            </w:r>
          </w:p>
        </w:tc>
        <w:tc>
          <w:tcPr>
            <w:tcW w:w="1417" w:type="dxa"/>
            <w:tcBorders>
              <w:top w:val="nil"/>
              <w:left w:val="nil"/>
              <w:bottom w:val="single" w:sz="4" w:space="0" w:color="auto"/>
              <w:right w:val="single" w:sz="4" w:space="0" w:color="auto"/>
            </w:tcBorders>
            <w:shd w:val="clear" w:color="auto" w:fill="auto"/>
            <w:noWrap/>
            <w:vAlign w:val="bottom"/>
          </w:tcPr>
          <w:p w14:paraId="10215904"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56,096</w:t>
            </w:r>
          </w:p>
        </w:tc>
        <w:tc>
          <w:tcPr>
            <w:tcW w:w="1418" w:type="dxa"/>
            <w:tcBorders>
              <w:top w:val="nil"/>
              <w:left w:val="nil"/>
              <w:bottom w:val="single" w:sz="4" w:space="0" w:color="auto"/>
              <w:right w:val="single" w:sz="4" w:space="0" w:color="auto"/>
            </w:tcBorders>
            <w:shd w:val="clear" w:color="auto" w:fill="auto"/>
            <w:noWrap/>
            <w:vAlign w:val="bottom"/>
          </w:tcPr>
          <w:p w14:paraId="6A60A05A"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22.3%</w:t>
            </w:r>
          </w:p>
        </w:tc>
      </w:tr>
      <w:tr w:rsidR="0076127A" w:rsidRPr="009C7268" w14:paraId="7424EFE6" w14:textId="77777777" w:rsidTr="00485286">
        <w:trPr>
          <w:trHeight w:val="300"/>
        </w:trPr>
        <w:tc>
          <w:tcPr>
            <w:tcW w:w="1359" w:type="dxa"/>
            <w:tcBorders>
              <w:top w:val="nil"/>
              <w:left w:val="single" w:sz="4" w:space="0" w:color="auto"/>
              <w:bottom w:val="single" w:sz="4" w:space="0" w:color="auto"/>
              <w:right w:val="single" w:sz="4" w:space="0" w:color="auto"/>
            </w:tcBorders>
            <w:shd w:val="clear" w:color="000000" w:fill="FFFFFF"/>
            <w:vAlign w:val="center"/>
          </w:tcPr>
          <w:p w14:paraId="1E0BB70A" w14:textId="77777777" w:rsidR="0076127A" w:rsidRPr="009C7268" w:rsidRDefault="0076127A" w:rsidP="00485286">
            <w:pPr>
              <w:spacing w:after="0" w:line="240" w:lineRule="auto"/>
              <w:jc w:val="center"/>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Total </w:t>
            </w:r>
          </w:p>
        </w:tc>
        <w:tc>
          <w:tcPr>
            <w:tcW w:w="1613" w:type="dxa"/>
            <w:tcBorders>
              <w:top w:val="nil"/>
              <w:left w:val="nil"/>
              <w:bottom w:val="single" w:sz="4" w:space="0" w:color="auto"/>
              <w:right w:val="single" w:sz="4" w:space="0" w:color="auto"/>
            </w:tcBorders>
            <w:shd w:val="clear" w:color="auto" w:fill="auto"/>
            <w:noWrap/>
            <w:vAlign w:val="bottom"/>
          </w:tcPr>
          <w:p w14:paraId="4279C0FE"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214,090</w:t>
            </w:r>
          </w:p>
        </w:tc>
        <w:tc>
          <w:tcPr>
            <w:tcW w:w="1276" w:type="dxa"/>
            <w:tcBorders>
              <w:top w:val="nil"/>
              <w:left w:val="nil"/>
              <w:bottom w:val="single" w:sz="4" w:space="0" w:color="auto"/>
              <w:right w:val="single" w:sz="4" w:space="0" w:color="auto"/>
            </w:tcBorders>
            <w:shd w:val="clear" w:color="auto" w:fill="auto"/>
            <w:noWrap/>
            <w:vAlign w:val="bottom"/>
          </w:tcPr>
          <w:p w14:paraId="53ED9941"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17" w:type="dxa"/>
            <w:tcBorders>
              <w:top w:val="nil"/>
              <w:left w:val="nil"/>
              <w:bottom w:val="single" w:sz="4" w:space="0" w:color="auto"/>
              <w:right w:val="single" w:sz="4" w:space="0" w:color="auto"/>
            </w:tcBorders>
            <w:shd w:val="clear" w:color="auto" w:fill="auto"/>
            <w:vAlign w:val="bottom"/>
          </w:tcPr>
          <w:p w14:paraId="5D1D294E"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241,224</w:t>
            </w:r>
          </w:p>
        </w:tc>
        <w:tc>
          <w:tcPr>
            <w:tcW w:w="1417" w:type="dxa"/>
            <w:tcBorders>
              <w:top w:val="nil"/>
              <w:left w:val="nil"/>
              <w:bottom w:val="single" w:sz="4" w:space="0" w:color="auto"/>
              <w:right w:val="single" w:sz="4" w:space="0" w:color="auto"/>
            </w:tcBorders>
            <w:shd w:val="clear" w:color="auto" w:fill="auto"/>
            <w:vAlign w:val="bottom"/>
          </w:tcPr>
          <w:p w14:paraId="42C6753F"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c>
          <w:tcPr>
            <w:tcW w:w="1417" w:type="dxa"/>
            <w:tcBorders>
              <w:top w:val="nil"/>
              <w:left w:val="nil"/>
              <w:bottom w:val="single" w:sz="4" w:space="0" w:color="auto"/>
              <w:right w:val="single" w:sz="4" w:space="0" w:color="auto"/>
            </w:tcBorders>
            <w:shd w:val="clear" w:color="auto" w:fill="auto"/>
            <w:noWrap/>
            <w:vAlign w:val="bottom"/>
          </w:tcPr>
          <w:p w14:paraId="528CB88B"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251,621</w:t>
            </w:r>
          </w:p>
        </w:tc>
        <w:tc>
          <w:tcPr>
            <w:tcW w:w="1418" w:type="dxa"/>
            <w:tcBorders>
              <w:top w:val="nil"/>
              <w:left w:val="nil"/>
              <w:bottom w:val="single" w:sz="4" w:space="0" w:color="auto"/>
              <w:right w:val="single" w:sz="4" w:space="0" w:color="auto"/>
            </w:tcBorders>
            <w:shd w:val="clear" w:color="auto" w:fill="auto"/>
            <w:noWrap/>
            <w:vAlign w:val="bottom"/>
          </w:tcPr>
          <w:p w14:paraId="7B909159" w14:textId="77777777" w:rsidR="0076127A" w:rsidRPr="009C7268" w:rsidRDefault="0076127A" w:rsidP="00485286">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100.0%</w:t>
            </w:r>
          </w:p>
        </w:tc>
      </w:tr>
    </w:tbl>
    <w:p w14:paraId="48145266" w14:textId="77777777" w:rsidR="003A7285" w:rsidRDefault="00D46075">
      <w:pPr>
        <w:rPr>
          <w:i/>
          <w:sz w:val="20"/>
          <w:szCs w:val="20"/>
        </w:rPr>
      </w:pPr>
      <w:r>
        <w:rPr>
          <w:i/>
          <w:sz w:val="20"/>
          <w:szCs w:val="20"/>
        </w:rPr>
        <w:t>Table 2</w:t>
      </w:r>
      <w:r w:rsidR="003647E4">
        <w:rPr>
          <w:i/>
          <w:sz w:val="20"/>
          <w:szCs w:val="20"/>
        </w:rPr>
        <w:t>: Age p</w:t>
      </w:r>
      <w:r w:rsidR="009E4EA0">
        <w:rPr>
          <w:i/>
          <w:sz w:val="20"/>
          <w:szCs w:val="20"/>
        </w:rPr>
        <w:t>rofile</w:t>
      </w:r>
      <w:r w:rsidR="003647E4">
        <w:rPr>
          <w:i/>
          <w:sz w:val="20"/>
          <w:szCs w:val="20"/>
        </w:rPr>
        <w:t xml:space="preserve"> of</w:t>
      </w:r>
      <w:r>
        <w:rPr>
          <w:i/>
          <w:sz w:val="20"/>
          <w:szCs w:val="20"/>
        </w:rPr>
        <w:t xml:space="preserve"> Arma</w:t>
      </w:r>
      <w:r w:rsidR="003647E4">
        <w:rPr>
          <w:i/>
          <w:sz w:val="20"/>
          <w:szCs w:val="20"/>
        </w:rPr>
        <w:t>gh City, Banbridge and Craigavon Borough</w:t>
      </w:r>
      <w:r w:rsidR="009E4EA0">
        <w:rPr>
          <w:i/>
          <w:sz w:val="20"/>
          <w:szCs w:val="20"/>
        </w:rPr>
        <w:t xml:space="preserve"> 2018, 2033 and 2041</w:t>
      </w:r>
      <w:r w:rsidRPr="002A2185">
        <w:rPr>
          <w:i/>
          <w:sz w:val="20"/>
          <w:szCs w:val="20"/>
        </w:rPr>
        <w:t>. Source:</w:t>
      </w:r>
      <w:r>
        <w:rPr>
          <w:i/>
          <w:sz w:val="20"/>
          <w:szCs w:val="20"/>
        </w:rPr>
        <w:t xml:space="preserve"> 2018 Mid-Year Population Estimates and 2016 Based Population Projections, NISRA</w:t>
      </w:r>
      <w:r w:rsidRPr="002A2185">
        <w:rPr>
          <w:i/>
          <w:sz w:val="20"/>
          <w:szCs w:val="20"/>
        </w:rPr>
        <w:t>.</w:t>
      </w:r>
    </w:p>
    <w:p w14:paraId="4EA9F908" w14:textId="77777777" w:rsidR="009E4EA0" w:rsidRDefault="009E4EA0"/>
    <w:p w14:paraId="69C389E9" w14:textId="77777777" w:rsidR="00E64F58" w:rsidRDefault="00E64F58">
      <w:r>
        <w:rPr>
          <w:noProof/>
          <w:lang w:eastAsia="en-GB"/>
        </w:rPr>
        <w:drawing>
          <wp:inline distT="0" distB="0" distL="0" distR="0" wp14:anchorId="6FA4319B" wp14:editId="45A8E106">
            <wp:extent cx="5731510" cy="3743325"/>
            <wp:effectExtent l="0" t="0" r="2540" b="9525"/>
            <wp:docPr id="3" name="Chart 3" descr="Population estimates and projections for Armagh City, Banbridge and Craigavon Borough "/>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D46075">
        <w:rPr>
          <w:i/>
          <w:sz w:val="20"/>
          <w:szCs w:val="20"/>
        </w:rPr>
        <w:t>Figure 2</w:t>
      </w:r>
      <w:r w:rsidR="003647E4">
        <w:rPr>
          <w:i/>
          <w:sz w:val="20"/>
          <w:szCs w:val="20"/>
        </w:rPr>
        <w:t>: Population estimates and p</w:t>
      </w:r>
      <w:r w:rsidR="00D46075">
        <w:rPr>
          <w:i/>
          <w:sz w:val="20"/>
          <w:szCs w:val="20"/>
        </w:rPr>
        <w:t>rojections for Armagh City, Banbridge and Craigavon</w:t>
      </w:r>
      <w:r w:rsidR="003647E4">
        <w:rPr>
          <w:i/>
          <w:sz w:val="20"/>
          <w:szCs w:val="20"/>
        </w:rPr>
        <w:t xml:space="preserve"> Borough</w:t>
      </w:r>
      <w:r w:rsidR="00703AD1">
        <w:rPr>
          <w:i/>
          <w:sz w:val="20"/>
          <w:szCs w:val="20"/>
        </w:rPr>
        <w:t xml:space="preserve"> for </w:t>
      </w:r>
      <w:r w:rsidR="003647E4">
        <w:rPr>
          <w:i/>
          <w:sz w:val="20"/>
          <w:szCs w:val="20"/>
        </w:rPr>
        <w:t>c</w:t>
      </w:r>
      <w:r w:rsidR="00703AD1">
        <w:rPr>
          <w:i/>
          <w:sz w:val="20"/>
          <w:szCs w:val="20"/>
        </w:rPr>
        <w:t xml:space="preserve">hildren and </w:t>
      </w:r>
      <w:r w:rsidR="003647E4">
        <w:rPr>
          <w:i/>
          <w:sz w:val="20"/>
          <w:szCs w:val="20"/>
        </w:rPr>
        <w:t>older p</w:t>
      </w:r>
      <w:r w:rsidR="00703AD1">
        <w:rPr>
          <w:i/>
          <w:sz w:val="20"/>
          <w:szCs w:val="20"/>
        </w:rPr>
        <w:t>eople</w:t>
      </w:r>
      <w:r w:rsidR="004903E5">
        <w:rPr>
          <w:i/>
          <w:sz w:val="20"/>
          <w:szCs w:val="20"/>
        </w:rPr>
        <w:t xml:space="preserve"> 2008 to 2041</w:t>
      </w:r>
      <w:r w:rsidR="00D46075" w:rsidRPr="002A2185">
        <w:rPr>
          <w:i/>
          <w:sz w:val="20"/>
          <w:szCs w:val="20"/>
        </w:rPr>
        <w:t>. Source:</w:t>
      </w:r>
      <w:r w:rsidR="00D46075">
        <w:rPr>
          <w:i/>
          <w:sz w:val="20"/>
          <w:szCs w:val="20"/>
        </w:rPr>
        <w:t xml:space="preserve"> 2018 Mid-Year Population Estimates and 2016 Based Population Projections, NISRA</w:t>
      </w:r>
      <w:r w:rsidR="00D46075" w:rsidRPr="002A2185">
        <w:rPr>
          <w:i/>
          <w:sz w:val="20"/>
          <w:szCs w:val="20"/>
        </w:rPr>
        <w:t>.</w:t>
      </w:r>
    </w:p>
    <w:p w14:paraId="0D8E9FF7" w14:textId="77777777" w:rsidR="00FD7081" w:rsidRDefault="00FD7081"/>
    <w:p w14:paraId="339B84EC" w14:textId="77777777" w:rsidR="00FD7081" w:rsidRDefault="00FD7081">
      <w:r>
        <w:t>This is also illustrated in the following population pyramids for 2018 and 2041 which shows the growth of older people, especially older males.</w:t>
      </w:r>
    </w:p>
    <w:p w14:paraId="7047226E" w14:textId="77777777" w:rsidR="00C37B0B" w:rsidRDefault="00C37B0B" w:rsidP="003A7285"/>
    <w:p w14:paraId="7400C7D9" w14:textId="77777777" w:rsidR="00187FB1" w:rsidRDefault="00187FB1" w:rsidP="003A7285">
      <w:pPr>
        <w:rPr>
          <w:i/>
          <w:sz w:val="20"/>
          <w:szCs w:val="20"/>
        </w:rPr>
      </w:pPr>
      <w:r>
        <w:rPr>
          <w:noProof/>
          <w:lang w:eastAsia="en-GB"/>
        </w:rPr>
        <w:lastRenderedPageBreak/>
        <w:drawing>
          <wp:inline distT="0" distB="0" distL="0" distR="0" wp14:anchorId="44427DB0" wp14:editId="031983F7">
            <wp:extent cx="5731510" cy="3743325"/>
            <wp:effectExtent l="0" t="0" r="2540" b="9525"/>
            <wp:docPr id="1" name="Chart 1" descr="2018 Population estimates by gender and age band "/>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i/>
          <w:sz w:val="20"/>
          <w:szCs w:val="20"/>
        </w:rPr>
        <w:t>Figure 3</w:t>
      </w:r>
      <w:r w:rsidR="003647E4">
        <w:rPr>
          <w:i/>
          <w:sz w:val="20"/>
          <w:szCs w:val="20"/>
        </w:rPr>
        <w:t>: 2018 Population e</w:t>
      </w:r>
      <w:r>
        <w:rPr>
          <w:i/>
          <w:sz w:val="20"/>
          <w:szCs w:val="20"/>
        </w:rPr>
        <w:t xml:space="preserve">stimates by </w:t>
      </w:r>
      <w:r w:rsidR="003647E4">
        <w:rPr>
          <w:i/>
          <w:sz w:val="20"/>
          <w:szCs w:val="20"/>
        </w:rPr>
        <w:t>gender and age b</w:t>
      </w:r>
      <w:r>
        <w:rPr>
          <w:i/>
          <w:sz w:val="20"/>
          <w:szCs w:val="20"/>
        </w:rPr>
        <w:t>and for Armagh City, Banbridge and Craigavon</w:t>
      </w:r>
      <w:r w:rsidR="003647E4">
        <w:rPr>
          <w:i/>
          <w:sz w:val="20"/>
          <w:szCs w:val="20"/>
        </w:rPr>
        <w:t xml:space="preserve"> Borough</w:t>
      </w:r>
      <w:r w:rsidRPr="002A2185">
        <w:rPr>
          <w:i/>
          <w:sz w:val="20"/>
          <w:szCs w:val="20"/>
        </w:rPr>
        <w:t>. Source:</w:t>
      </w:r>
      <w:r>
        <w:rPr>
          <w:i/>
          <w:sz w:val="20"/>
          <w:szCs w:val="20"/>
        </w:rPr>
        <w:t xml:space="preserve"> 2018 Mid-Year Population Estimates, NISRA</w:t>
      </w:r>
      <w:r w:rsidRPr="002A2185">
        <w:rPr>
          <w:i/>
          <w:sz w:val="20"/>
          <w:szCs w:val="20"/>
        </w:rPr>
        <w:t>.</w:t>
      </w:r>
    </w:p>
    <w:p w14:paraId="5CFFD3A1" w14:textId="77777777" w:rsidR="00187FB1" w:rsidRDefault="00187FB1" w:rsidP="003A7285"/>
    <w:p w14:paraId="5D66B4CF" w14:textId="77777777" w:rsidR="00187FB1" w:rsidRDefault="00187FB1" w:rsidP="003A7285">
      <w:r>
        <w:rPr>
          <w:noProof/>
          <w:lang w:eastAsia="en-GB"/>
        </w:rPr>
        <w:drawing>
          <wp:inline distT="0" distB="0" distL="0" distR="0" wp14:anchorId="3CE497E3" wp14:editId="1089523E">
            <wp:extent cx="5731510" cy="3743325"/>
            <wp:effectExtent l="0" t="0" r="2540" b="9525"/>
            <wp:docPr id="2" name="Chart 2" descr="2041 Population projections by gender and age band "/>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i/>
          <w:sz w:val="20"/>
          <w:szCs w:val="20"/>
        </w:rPr>
        <w:t>Figure 4</w:t>
      </w:r>
      <w:r w:rsidR="003647E4">
        <w:rPr>
          <w:i/>
          <w:sz w:val="20"/>
          <w:szCs w:val="20"/>
        </w:rPr>
        <w:t>: 2041 Population p</w:t>
      </w:r>
      <w:r>
        <w:rPr>
          <w:i/>
          <w:sz w:val="20"/>
          <w:szCs w:val="20"/>
        </w:rPr>
        <w:t>rojections by</w:t>
      </w:r>
      <w:r w:rsidR="004903E5">
        <w:rPr>
          <w:i/>
          <w:sz w:val="20"/>
          <w:szCs w:val="20"/>
        </w:rPr>
        <w:t xml:space="preserve"> </w:t>
      </w:r>
      <w:r w:rsidR="003647E4">
        <w:rPr>
          <w:i/>
          <w:sz w:val="20"/>
          <w:szCs w:val="20"/>
        </w:rPr>
        <w:t>g</w:t>
      </w:r>
      <w:r w:rsidR="004903E5">
        <w:rPr>
          <w:i/>
          <w:sz w:val="20"/>
          <w:szCs w:val="20"/>
        </w:rPr>
        <w:t>ender and</w:t>
      </w:r>
      <w:r>
        <w:rPr>
          <w:i/>
          <w:sz w:val="20"/>
          <w:szCs w:val="20"/>
        </w:rPr>
        <w:t xml:space="preserve"> </w:t>
      </w:r>
      <w:r w:rsidR="003647E4">
        <w:rPr>
          <w:i/>
          <w:sz w:val="20"/>
          <w:szCs w:val="20"/>
        </w:rPr>
        <w:t>age b</w:t>
      </w:r>
      <w:r>
        <w:rPr>
          <w:i/>
          <w:sz w:val="20"/>
          <w:szCs w:val="20"/>
        </w:rPr>
        <w:t>and for Armagh City, Banbridge and Craigavon</w:t>
      </w:r>
      <w:r w:rsidR="003647E4">
        <w:rPr>
          <w:i/>
          <w:sz w:val="20"/>
          <w:szCs w:val="20"/>
        </w:rPr>
        <w:t xml:space="preserve"> Borough</w:t>
      </w:r>
      <w:r w:rsidRPr="002A2185">
        <w:rPr>
          <w:i/>
          <w:sz w:val="20"/>
          <w:szCs w:val="20"/>
        </w:rPr>
        <w:t>. Source:</w:t>
      </w:r>
      <w:r>
        <w:rPr>
          <w:i/>
          <w:sz w:val="20"/>
          <w:szCs w:val="20"/>
        </w:rPr>
        <w:t xml:space="preserve"> </w:t>
      </w:r>
      <w:r w:rsidR="003647E4">
        <w:rPr>
          <w:i/>
          <w:sz w:val="20"/>
          <w:szCs w:val="20"/>
        </w:rPr>
        <w:t>2016 Based Population Projections, NISRA</w:t>
      </w:r>
      <w:r w:rsidR="003647E4" w:rsidRPr="002A2185">
        <w:rPr>
          <w:i/>
          <w:sz w:val="20"/>
          <w:szCs w:val="20"/>
        </w:rPr>
        <w:t>.</w:t>
      </w:r>
    </w:p>
    <w:p w14:paraId="48334390" w14:textId="77777777" w:rsidR="00FD7081" w:rsidRDefault="00FD7081" w:rsidP="003A7285"/>
    <w:p w14:paraId="71B3C766" w14:textId="77777777" w:rsidR="00C37B0B" w:rsidRPr="004163A1" w:rsidRDefault="00C37B0B" w:rsidP="003A7285">
      <w:pPr>
        <w:rPr>
          <w:rStyle w:val="Hyperlink"/>
          <w:color w:val="auto"/>
          <w:u w:val="none"/>
        </w:rPr>
      </w:pPr>
      <w:r>
        <w:lastRenderedPageBreak/>
        <w:t>Further inf</w:t>
      </w:r>
      <w:r w:rsidR="004163A1">
        <w:t>ormation on population projections</w:t>
      </w:r>
      <w:r>
        <w:t xml:space="preserve"> can be found via the following link:</w:t>
      </w:r>
    </w:p>
    <w:p w14:paraId="18F576F6" w14:textId="77777777" w:rsidR="004163A1" w:rsidRPr="003A7285" w:rsidRDefault="002928FE" w:rsidP="003A7285">
      <w:hyperlink r:id="rId10" w:history="1">
        <w:r w:rsidR="004163A1">
          <w:rPr>
            <w:rStyle w:val="Hyperlink"/>
          </w:rPr>
          <w:t>https://www.nisra.gov.uk/publications/2016-based-population-projections-areas-within-northern-ireland</w:t>
        </w:r>
      </w:hyperlink>
    </w:p>
    <w:sectPr w:rsidR="004163A1" w:rsidRPr="003A7285">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E9D84" w14:textId="77777777" w:rsidR="002928FE" w:rsidRDefault="002928FE" w:rsidP="003647E4">
      <w:pPr>
        <w:spacing w:after="0" w:line="240" w:lineRule="auto"/>
      </w:pPr>
      <w:r>
        <w:separator/>
      </w:r>
    </w:p>
  </w:endnote>
  <w:endnote w:type="continuationSeparator" w:id="0">
    <w:p w14:paraId="61DD7CE3" w14:textId="77777777" w:rsidR="002928FE" w:rsidRDefault="002928FE" w:rsidP="00364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193959"/>
      <w:docPartObj>
        <w:docPartGallery w:val="Page Numbers (Bottom of Page)"/>
        <w:docPartUnique/>
      </w:docPartObj>
    </w:sdtPr>
    <w:sdtEndPr>
      <w:rPr>
        <w:noProof/>
      </w:rPr>
    </w:sdtEndPr>
    <w:sdtContent>
      <w:p w14:paraId="1B67A64C" w14:textId="77777777" w:rsidR="003647E4" w:rsidRDefault="003647E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637DA9" w14:textId="77777777" w:rsidR="003647E4" w:rsidRDefault="00364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24AE" w14:textId="77777777" w:rsidR="002928FE" w:rsidRDefault="002928FE" w:rsidP="003647E4">
      <w:pPr>
        <w:spacing w:after="0" w:line="240" w:lineRule="auto"/>
      </w:pPr>
      <w:r>
        <w:separator/>
      </w:r>
    </w:p>
  </w:footnote>
  <w:footnote w:type="continuationSeparator" w:id="0">
    <w:p w14:paraId="211C3E6C" w14:textId="77777777" w:rsidR="002928FE" w:rsidRDefault="002928FE" w:rsidP="003647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B98"/>
    <w:rsid w:val="000241BF"/>
    <w:rsid w:val="00037DEB"/>
    <w:rsid w:val="00082F5C"/>
    <w:rsid w:val="001217B0"/>
    <w:rsid w:val="00187FB1"/>
    <w:rsid w:val="00262C76"/>
    <w:rsid w:val="002928FE"/>
    <w:rsid w:val="002E1FFF"/>
    <w:rsid w:val="002E31FB"/>
    <w:rsid w:val="003647E4"/>
    <w:rsid w:val="003A6B98"/>
    <w:rsid w:val="003A7285"/>
    <w:rsid w:val="00404196"/>
    <w:rsid w:val="004163A1"/>
    <w:rsid w:val="004903E5"/>
    <w:rsid w:val="0058501C"/>
    <w:rsid w:val="005F3D41"/>
    <w:rsid w:val="00666476"/>
    <w:rsid w:val="00703AD1"/>
    <w:rsid w:val="00706581"/>
    <w:rsid w:val="0076127A"/>
    <w:rsid w:val="00802C98"/>
    <w:rsid w:val="008F1556"/>
    <w:rsid w:val="00922C76"/>
    <w:rsid w:val="00972A5D"/>
    <w:rsid w:val="009749EE"/>
    <w:rsid w:val="009842E7"/>
    <w:rsid w:val="009B4079"/>
    <w:rsid w:val="009E4EA0"/>
    <w:rsid w:val="00A65E19"/>
    <w:rsid w:val="00AE4700"/>
    <w:rsid w:val="00AF6BBC"/>
    <w:rsid w:val="00C37B0B"/>
    <w:rsid w:val="00CC6D73"/>
    <w:rsid w:val="00CF5C72"/>
    <w:rsid w:val="00D46075"/>
    <w:rsid w:val="00D96E5B"/>
    <w:rsid w:val="00DA4B7B"/>
    <w:rsid w:val="00DB5602"/>
    <w:rsid w:val="00E1225D"/>
    <w:rsid w:val="00E243E2"/>
    <w:rsid w:val="00E64F58"/>
    <w:rsid w:val="00F15B67"/>
    <w:rsid w:val="00F51248"/>
    <w:rsid w:val="00F8015E"/>
    <w:rsid w:val="00FD7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62F2D"/>
  <w15:chartTrackingRefBased/>
  <w15:docId w15:val="{5459D39A-D23C-43DB-892A-13E35904A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37B0B"/>
    <w:rPr>
      <w:color w:val="0000FF"/>
      <w:u w:val="single"/>
    </w:rPr>
  </w:style>
  <w:style w:type="paragraph" w:styleId="Header">
    <w:name w:val="header"/>
    <w:basedOn w:val="Normal"/>
    <w:link w:val="HeaderChar"/>
    <w:uiPriority w:val="99"/>
    <w:unhideWhenUsed/>
    <w:rsid w:val="00364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7E4"/>
  </w:style>
  <w:style w:type="paragraph" w:styleId="Footer">
    <w:name w:val="footer"/>
    <w:basedOn w:val="Normal"/>
    <w:link w:val="FooterChar"/>
    <w:uiPriority w:val="99"/>
    <w:unhideWhenUsed/>
    <w:rsid w:val="00364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www.nisra.gov.uk/publications/2016-based-population-projections-areas-within-northern-ireland" TargetMode="External"/><Relationship Id="rId4" Type="http://schemas.openxmlformats.org/officeDocument/2006/relationships/footnotes" Target="footnote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49830291347238E-2"/>
          <c:y val="2.2990991382410297E-2"/>
          <c:w val="0.92429909525623011"/>
          <c:h val="0.88071147984470133"/>
        </c:manualLayout>
      </c:layout>
      <c:lineChart>
        <c:grouping val="standard"/>
        <c:varyColors val="0"/>
        <c:ser>
          <c:idx val="0"/>
          <c:order val="0"/>
          <c:tx>
            <c:strRef>
              <c:f>'Data (2)'!$A$8</c:f>
              <c:strCache>
                <c:ptCount val="1"/>
                <c:pt idx="0">
                  <c:v>Estimates</c:v>
                </c:pt>
              </c:strCache>
            </c:strRef>
          </c:tx>
          <c:spPr>
            <a:ln w="28575" cap="rnd">
              <a:solidFill>
                <a:schemeClr val="accent1"/>
              </a:solidFill>
              <a:round/>
            </a:ln>
            <a:effectLst/>
          </c:spPr>
          <c:marker>
            <c:symbol val="none"/>
          </c:marker>
          <c:cat>
            <c:numRef>
              <c:f>'Data (2)'!$B$7:$AI$7</c:f>
              <c:numCache>
                <c:formatCode>General</c:formatCode>
                <c:ptCount val="3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numCache>
            </c:numRef>
          </c:cat>
          <c:val>
            <c:numRef>
              <c:f>'Data (2)'!$B$8:$AI$8</c:f>
              <c:numCache>
                <c:formatCode>#,##0</c:formatCode>
                <c:ptCount val="34"/>
                <c:pt idx="0">
                  <c:v>193603</c:v>
                </c:pt>
                <c:pt idx="1">
                  <c:v>196203</c:v>
                </c:pt>
                <c:pt idx="2">
                  <c:v>198202</c:v>
                </c:pt>
                <c:pt idx="3">
                  <c:v>200298</c:v>
                </c:pt>
                <c:pt idx="4">
                  <c:v>202398</c:v>
                </c:pt>
                <c:pt idx="5">
                  <c:v>203757</c:v>
                </c:pt>
                <c:pt idx="6">
                  <c:v>205711</c:v>
                </c:pt>
                <c:pt idx="7">
                  <c:v>207797</c:v>
                </c:pt>
                <c:pt idx="8">
                  <c:v>210260</c:v>
                </c:pt>
                <c:pt idx="9">
                  <c:v>211898</c:v>
                </c:pt>
                <c:pt idx="10">
                  <c:v>214090</c:v>
                </c:pt>
              </c:numCache>
            </c:numRef>
          </c:val>
          <c:smooth val="0"/>
          <c:extLst>
            <c:ext xmlns:c16="http://schemas.microsoft.com/office/drawing/2014/chart" uri="{C3380CC4-5D6E-409C-BE32-E72D297353CC}">
              <c16:uniqueId val="{00000000-66E2-4E48-9D42-3F8C32FB1F6B}"/>
            </c:ext>
          </c:extLst>
        </c:ser>
        <c:ser>
          <c:idx val="1"/>
          <c:order val="1"/>
          <c:tx>
            <c:strRef>
              <c:f>'Data (2)'!$A$9</c:f>
              <c:strCache>
                <c:ptCount val="1"/>
                <c:pt idx="0">
                  <c:v>Projections</c:v>
                </c:pt>
              </c:strCache>
            </c:strRef>
          </c:tx>
          <c:spPr>
            <a:ln w="28575" cap="rnd">
              <a:solidFill>
                <a:srgbClr val="00B0F0"/>
              </a:solidFill>
              <a:prstDash val="dash"/>
              <a:round/>
            </a:ln>
            <a:effectLst/>
          </c:spPr>
          <c:marker>
            <c:symbol val="none"/>
          </c:marker>
          <c:dPt>
            <c:idx val="27"/>
            <c:marker>
              <c:symbol val="none"/>
            </c:marker>
            <c:bubble3D val="0"/>
            <c:spPr>
              <a:ln w="28575" cap="rnd">
                <a:solidFill>
                  <a:srgbClr val="00B0F0"/>
                </a:solidFill>
                <a:prstDash val="dash"/>
                <a:round/>
              </a:ln>
              <a:effectLst/>
            </c:spPr>
            <c:extLst>
              <c:ext xmlns:c16="http://schemas.microsoft.com/office/drawing/2014/chart" uri="{C3380CC4-5D6E-409C-BE32-E72D297353CC}">
                <c16:uniqueId val="{00000002-66E2-4E48-9D42-3F8C32FB1F6B}"/>
              </c:ext>
            </c:extLst>
          </c:dPt>
          <c:cat>
            <c:numRef>
              <c:f>'Data (2)'!$B$7:$AI$7</c:f>
              <c:numCache>
                <c:formatCode>General</c:formatCode>
                <c:ptCount val="3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numCache>
            </c:numRef>
          </c:cat>
          <c:val>
            <c:numRef>
              <c:f>'Data (2)'!$B$9:$AI$9</c:f>
              <c:numCache>
                <c:formatCode>General</c:formatCode>
                <c:ptCount val="34"/>
                <c:pt idx="11" formatCode="#,##0">
                  <c:v>216309</c:v>
                </c:pt>
                <c:pt idx="12" formatCode="#,##0">
                  <c:v>218250</c:v>
                </c:pt>
                <c:pt idx="13" formatCode="#,##0">
                  <c:v>220128</c:v>
                </c:pt>
                <c:pt idx="14" formatCode="#,##0">
                  <c:v>221968</c:v>
                </c:pt>
                <c:pt idx="15" formatCode="#,##0">
                  <c:v>223731</c:v>
                </c:pt>
                <c:pt idx="16" formatCode="#,##0">
                  <c:v>225486</c:v>
                </c:pt>
                <c:pt idx="17" formatCode="#,##0">
                  <c:v>227198</c:v>
                </c:pt>
                <c:pt idx="18" formatCode="#,##0">
                  <c:v>228869</c:v>
                </c:pt>
                <c:pt idx="19" formatCode="#,##0">
                  <c:v>230512</c:v>
                </c:pt>
                <c:pt idx="20" formatCode="#,##0">
                  <c:v>232106</c:v>
                </c:pt>
                <c:pt idx="21" formatCode="#,##0">
                  <c:v>233682</c:v>
                </c:pt>
                <c:pt idx="22" formatCode="#,##0">
                  <c:v>235217</c:v>
                </c:pt>
                <c:pt idx="23" formatCode="#,##0">
                  <c:v>236745</c:v>
                </c:pt>
                <c:pt idx="24" formatCode="#,##0">
                  <c:v>238251</c:v>
                </c:pt>
                <c:pt idx="25" formatCode="#,##0">
                  <c:v>239736</c:v>
                </c:pt>
                <c:pt idx="26" formatCode="#,##0">
                  <c:v>241224</c:v>
                </c:pt>
                <c:pt idx="27" formatCode="#,##0">
                  <c:v>242707</c:v>
                </c:pt>
                <c:pt idx="28" formatCode="#,##0">
                  <c:v>244183</c:v>
                </c:pt>
                <c:pt idx="29" formatCode="#,##0">
                  <c:v>245670</c:v>
                </c:pt>
                <c:pt idx="30" formatCode="#,##0">
                  <c:v>247149</c:v>
                </c:pt>
                <c:pt idx="31" formatCode="#,##0">
                  <c:v>248654</c:v>
                </c:pt>
                <c:pt idx="32" formatCode="#,##0">
                  <c:v>250135</c:v>
                </c:pt>
                <c:pt idx="33" formatCode="#,##0">
                  <c:v>251621</c:v>
                </c:pt>
              </c:numCache>
            </c:numRef>
          </c:val>
          <c:smooth val="0"/>
          <c:extLst>
            <c:ext xmlns:c16="http://schemas.microsoft.com/office/drawing/2014/chart" uri="{C3380CC4-5D6E-409C-BE32-E72D297353CC}">
              <c16:uniqueId val="{00000003-66E2-4E48-9D42-3F8C32FB1F6B}"/>
            </c:ext>
          </c:extLst>
        </c:ser>
        <c:dLbls>
          <c:showLegendKey val="0"/>
          <c:showVal val="0"/>
          <c:showCatName val="0"/>
          <c:showSerName val="0"/>
          <c:showPercent val="0"/>
          <c:showBubbleSize val="0"/>
        </c:dLbls>
        <c:smooth val="0"/>
        <c:axId val="329149360"/>
        <c:axId val="329148528"/>
      </c:lineChart>
      <c:catAx>
        <c:axId val="32914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48528"/>
        <c:crosses val="autoZero"/>
        <c:auto val="1"/>
        <c:lblAlgn val="ctr"/>
        <c:lblOffset val="100"/>
        <c:tickLblSkip val="3"/>
        <c:tickMarkSkip val="4"/>
        <c:noMultiLvlLbl val="0"/>
      </c:catAx>
      <c:valAx>
        <c:axId val="3291485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49360"/>
        <c:crosses val="autoZero"/>
        <c:crossBetween val="between"/>
      </c:valAx>
      <c:spPr>
        <a:noFill/>
        <a:ln>
          <a:noFill/>
        </a:ln>
        <a:effectLst/>
      </c:spPr>
    </c:plotArea>
    <c:legend>
      <c:legendPos val="b"/>
      <c:layout>
        <c:manualLayout>
          <c:xMode val="edge"/>
          <c:yMode val="edge"/>
          <c:x val="0.32527645311941639"/>
          <c:y val="0.94742953859739498"/>
          <c:w val="0.3494469294624557"/>
          <c:h val="5.25704614026050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49830291347238E-2"/>
          <c:y val="2.2990991382410297E-2"/>
          <c:w val="0.92429909525623011"/>
          <c:h val="0.88071147984470133"/>
        </c:manualLayout>
      </c:layout>
      <c:lineChart>
        <c:grouping val="standard"/>
        <c:varyColors val="0"/>
        <c:ser>
          <c:idx val="1"/>
          <c:order val="0"/>
          <c:spPr>
            <a:ln w="28575" cap="rnd">
              <a:solidFill>
                <a:srgbClr val="00B0F0"/>
              </a:solidFill>
              <a:prstDash val="dash"/>
              <a:round/>
            </a:ln>
            <a:effectLst/>
          </c:spPr>
          <c:marker>
            <c:symbol val="none"/>
          </c:marker>
          <c:dPt>
            <c:idx val="27"/>
            <c:marker>
              <c:symbol val="none"/>
            </c:marker>
            <c:bubble3D val="0"/>
            <c:spPr>
              <a:ln w="28575" cap="rnd">
                <a:solidFill>
                  <a:srgbClr val="00B0F0"/>
                </a:solidFill>
                <a:prstDash val="dash"/>
                <a:round/>
              </a:ln>
              <a:effectLst/>
            </c:spPr>
            <c:extLst>
              <c:ext xmlns:c16="http://schemas.microsoft.com/office/drawing/2014/chart" uri="{C3380CC4-5D6E-409C-BE32-E72D297353CC}">
                <c16:uniqueId val="{00000001-597B-4687-B3BA-8CFE64B7A3B6}"/>
              </c:ext>
            </c:extLst>
          </c:dPt>
          <c:cat>
            <c:numRef>
              <c:f>'Data (2)'!$B$15:$AI$15</c:f>
              <c:numCache>
                <c:formatCode>General</c:formatCode>
                <c:ptCount val="3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numCache>
            </c:numRef>
          </c:cat>
          <c:val>
            <c:numRef>
              <c:f>'Data (2)'!$A$21:$AI$21</c:f>
              <c:numCache>
                <c:formatCode>General</c:formatCode>
                <c:ptCount val="35"/>
                <c:pt idx="12" formatCode="0.0%">
                  <c:v>0.2245999935277774</c:v>
                </c:pt>
                <c:pt idx="13" formatCode="0.0%">
                  <c:v>0.22451775486827033</c:v>
                </c:pt>
                <c:pt idx="14" formatCode="0.0%">
                  <c:v>0.22407417502543975</c:v>
                </c:pt>
                <c:pt idx="15" formatCode="0.0%">
                  <c:v>0.22288347869963238</c:v>
                </c:pt>
                <c:pt idx="16" formatCode="0.0%">
                  <c:v>0.22107799098023967</c:v>
                </c:pt>
                <c:pt idx="17" formatCode="0.0%">
                  <c:v>0.21889607337040881</c:v>
                </c:pt>
                <c:pt idx="18" formatCode="0.0%">
                  <c:v>0.21654680058803336</c:v>
                </c:pt>
                <c:pt idx="19" formatCode="0.0%">
                  <c:v>0.21453757389598416</c:v>
                </c:pt>
                <c:pt idx="20" formatCode="0.0%">
                  <c:v>0.21204969806344137</c:v>
                </c:pt>
                <c:pt idx="21" formatCode="0.0%">
                  <c:v>0.20953788355320413</c:v>
                </c:pt>
                <c:pt idx="22" formatCode="0.0%">
                  <c:v>0.20726029390368106</c:v>
                </c:pt>
                <c:pt idx="23" formatCode="0.0%">
                  <c:v>0.20549960249471763</c:v>
                </c:pt>
                <c:pt idx="24" formatCode="0.0%">
                  <c:v>0.20381845445521551</c:v>
                </c:pt>
                <c:pt idx="25" formatCode="0.0%">
                  <c:v>0.20190471393614298</c:v>
                </c:pt>
                <c:pt idx="26" formatCode="0.0%">
                  <c:v>0.20066239530149832</c:v>
                </c:pt>
                <c:pt idx="27" formatCode="0.0%">
                  <c:v>0.19939143700460982</c:v>
                </c:pt>
                <c:pt idx="28" formatCode="0.0%">
                  <c:v>0.19831731264446431</c:v>
                </c:pt>
                <c:pt idx="29" formatCode="0.0%">
                  <c:v>0.1974994164212906</c:v>
                </c:pt>
                <c:pt idx="30" formatCode="0.0%">
                  <c:v>0.19689827817804373</c:v>
                </c:pt>
                <c:pt idx="31" formatCode="0.0%">
                  <c:v>0.19643211180300144</c:v>
                </c:pt>
                <c:pt idx="32" formatCode="0.0%">
                  <c:v>0.1961118662880951</c:v>
                </c:pt>
                <c:pt idx="33" formatCode="0.0%">
                  <c:v>0.19597817178723489</c:v>
                </c:pt>
                <c:pt idx="34" formatCode="0.0%">
                  <c:v>0.19599318021945705</c:v>
                </c:pt>
              </c:numCache>
            </c:numRef>
          </c:val>
          <c:smooth val="0"/>
          <c:extLst>
            <c:ext xmlns:c16="http://schemas.microsoft.com/office/drawing/2014/chart" uri="{C3380CC4-5D6E-409C-BE32-E72D297353CC}">
              <c16:uniqueId val="{00000002-597B-4687-B3BA-8CFE64B7A3B6}"/>
            </c:ext>
          </c:extLst>
        </c:ser>
        <c:ser>
          <c:idx val="3"/>
          <c:order val="1"/>
          <c:tx>
            <c:strRef>
              <c:f>'Data (2)'!$A$23</c:f>
              <c:strCache>
                <c:ptCount val="1"/>
                <c:pt idx="0">
                  <c:v>65+</c:v>
                </c:pt>
              </c:strCache>
            </c:strRef>
          </c:tx>
          <c:spPr>
            <a:ln w="28575" cap="rnd">
              <a:solidFill>
                <a:srgbClr val="0070C0"/>
              </a:solidFill>
              <a:round/>
            </a:ln>
            <a:effectLst/>
          </c:spPr>
          <c:marker>
            <c:symbol val="none"/>
          </c:marker>
          <c:cat>
            <c:numRef>
              <c:f>'Data (2)'!$B$15:$AI$15</c:f>
              <c:numCache>
                <c:formatCode>General</c:formatCode>
                <c:ptCount val="3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numCache>
            </c:numRef>
          </c:cat>
          <c:val>
            <c:numRef>
              <c:f>'Data (2)'!$B$23:$AI$23</c:f>
              <c:numCache>
                <c:formatCode>0.0%</c:formatCode>
                <c:ptCount val="34"/>
                <c:pt idx="0">
                  <c:v>0.13231199929753154</c:v>
                </c:pt>
                <c:pt idx="1">
                  <c:v>0.13406522836042262</c:v>
                </c:pt>
                <c:pt idx="2">
                  <c:v>0.13654251722989677</c:v>
                </c:pt>
                <c:pt idx="3">
                  <c:v>0.13906778899439834</c:v>
                </c:pt>
                <c:pt idx="4">
                  <c:v>0.14175041255348372</c:v>
                </c:pt>
                <c:pt idx="5">
                  <c:v>0.14468705369631474</c:v>
                </c:pt>
                <c:pt idx="6">
                  <c:v>0.14702179270918911</c:v>
                </c:pt>
                <c:pt idx="7">
                  <c:v>0.14909262405135781</c:v>
                </c:pt>
                <c:pt idx="8">
                  <c:v>0.15068486635594028</c:v>
                </c:pt>
                <c:pt idx="9">
                  <c:v>0.15226665659892968</c:v>
                </c:pt>
                <c:pt idx="10">
                  <c:v>0.15325797561773086</c:v>
                </c:pt>
              </c:numCache>
            </c:numRef>
          </c:val>
          <c:smooth val="0"/>
          <c:extLst>
            <c:ext xmlns:c16="http://schemas.microsoft.com/office/drawing/2014/chart" uri="{C3380CC4-5D6E-409C-BE32-E72D297353CC}">
              <c16:uniqueId val="{00000003-597B-4687-B3BA-8CFE64B7A3B6}"/>
            </c:ext>
          </c:extLst>
        </c:ser>
        <c:ser>
          <c:idx val="4"/>
          <c:order val="2"/>
          <c:tx>
            <c:strRef>
              <c:f>'Data (2)'!$A$23</c:f>
              <c:strCache>
                <c:ptCount val="1"/>
                <c:pt idx="0">
                  <c:v>65+</c:v>
                </c:pt>
              </c:strCache>
            </c:strRef>
          </c:tx>
          <c:spPr>
            <a:ln w="28575" cap="rnd">
              <a:solidFill>
                <a:srgbClr val="0070C0"/>
              </a:solidFill>
              <a:prstDash val="dash"/>
              <a:round/>
            </a:ln>
            <a:effectLst/>
          </c:spPr>
          <c:marker>
            <c:symbol val="none"/>
          </c:marker>
          <c:cat>
            <c:numRef>
              <c:f>'Data (2)'!$B$15:$AI$15</c:f>
              <c:numCache>
                <c:formatCode>General</c:formatCode>
                <c:ptCount val="3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pt idx="28">
                  <c:v>2036</c:v>
                </c:pt>
                <c:pt idx="29">
                  <c:v>2037</c:v>
                </c:pt>
                <c:pt idx="30">
                  <c:v>2038</c:v>
                </c:pt>
                <c:pt idx="31">
                  <c:v>2039</c:v>
                </c:pt>
                <c:pt idx="32">
                  <c:v>2040</c:v>
                </c:pt>
                <c:pt idx="33">
                  <c:v>2041</c:v>
                </c:pt>
              </c:numCache>
            </c:numRef>
          </c:cat>
          <c:val>
            <c:numRef>
              <c:f>'Data (2)'!$A$24:$AI$24</c:f>
              <c:numCache>
                <c:formatCode>General</c:formatCode>
                <c:ptCount val="35"/>
                <c:pt idx="12" formatCode="0.0%">
                  <c:v>0.15601754896929854</c:v>
                </c:pt>
                <c:pt idx="13" formatCode="0.0%">
                  <c:v>0.15819931271477664</c:v>
                </c:pt>
                <c:pt idx="14" formatCode="0.0%">
                  <c:v>0.16055658525948538</c:v>
                </c:pt>
                <c:pt idx="15" formatCode="0.0%">
                  <c:v>0.16323974626973256</c:v>
                </c:pt>
                <c:pt idx="16" formatCode="0.0%">
                  <c:v>0.16630685957690261</c:v>
                </c:pt>
                <c:pt idx="17" formatCode="0.0%">
                  <c:v>0.16962028684707697</c:v>
                </c:pt>
                <c:pt idx="18" formatCode="0.0%">
                  <c:v>0.17303409360997896</c:v>
                </c:pt>
                <c:pt idx="19" formatCode="0.0%">
                  <c:v>0.17654203933254395</c:v>
                </c:pt>
                <c:pt idx="20" formatCode="0.0%">
                  <c:v>0.18032900673283819</c:v>
                </c:pt>
                <c:pt idx="21" formatCode="0.0%">
                  <c:v>0.1842132473955865</c:v>
                </c:pt>
                <c:pt idx="22" formatCode="0.0%">
                  <c:v>0.18839277308479044</c:v>
                </c:pt>
                <c:pt idx="23" formatCode="0.0%">
                  <c:v>0.19276667927913374</c:v>
                </c:pt>
                <c:pt idx="24" formatCode="0.0%">
                  <c:v>0.19654902954655853</c:v>
                </c:pt>
                <c:pt idx="25" formatCode="0.0%">
                  <c:v>0.20015445895295297</c:v>
                </c:pt>
                <c:pt idx="26" formatCode="0.0%">
                  <c:v>0.20383672039243167</c:v>
                </c:pt>
                <c:pt idx="27" formatCode="0.0%">
                  <c:v>0.20716844095114914</c:v>
                </c:pt>
                <c:pt idx="28" formatCode="0.0%">
                  <c:v>0.21031119827611069</c:v>
                </c:pt>
                <c:pt idx="29" formatCode="0.0%">
                  <c:v>0.2132703750875368</c:v>
                </c:pt>
                <c:pt idx="30" formatCode="0.0%">
                  <c:v>0.21605405625432492</c:v>
                </c:pt>
                <c:pt idx="31" formatCode="0.0%">
                  <c:v>0.21835006413135397</c:v>
                </c:pt>
                <c:pt idx="32" formatCode="0.0%">
                  <c:v>0.22020156522718315</c:v>
                </c:pt>
                <c:pt idx="33" formatCode="0.0%">
                  <c:v>0.22165230775381295</c:v>
                </c:pt>
                <c:pt idx="34" formatCode="0.0%">
                  <c:v>0.22293846698010103</c:v>
                </c:pt>
              </c:numCache>
            </c:numRef>
          </c:val>
          <c:smooth val="0"/>
          <c:extLst>
            <c:ext xmlns:c16="http://schemas.microsoft.com/office/drawing/2014/chart" uri="{C3380CC4-5D6E-409C-BE32-E72D297353CC}">
              <c16:uniqueId val="{00000004-597B-4687-B3BA-8CFE64B7A3B6}"/>
            </c:ext>
          </c:extLst>
        </c:ser>
        <c:ser>
          <c:idx val="0"/>
          <c:order val="3"/>
          <c:tx>
            <c:strRef>
              <c:f>'Data (2)'!$A$20</c:f>
              <c:strCache>
                <c:ptCount val="1"/>
                <c:pt idx="0">
                  <c:v>0-15</c:v>
                </c:pt>
              </c:strCache>
            </c:strRef>
          </c:tx>
          <c:spPr>
            <a:ln w="28575" cap="rnd">
              <a:solidFill>
                <a:srgbClr val="00B0F0"/>
              </a:solidFill>
              <a:round/>
            </a:ln>
            <a:effectLst/>
          </c:spPr>
          <c:marker>
            <c:symbol val="none"/>
          </c:marker>
          <c:val>
            <c:numRef>
              <c:f>'Data (2)'!$B$20:$M$20</c:f>
              <c:numCache>
                <c:formatCode>0.0%</c:formatCode>
                <c:ptCount val="12"/>
                <c:pt idx="0">
                  <c:v>0.22252237826893179</c:v>
                </c:pt>
                <c:pt idx="1">
                  <c:v>0.22234114666952084</c:v>
                </c:pt>
                <c:pt idx="2">
                  <c:v>0.22179392740739245</c:v>
                </c:pt>
                <c:pt idx="3">
                  <c:v>0.22148997992990443</c:v>
                </c:pt>
                <c:pt idx="4">
                  <c:v>0.22195377424678109</c:v>
                </c:pt>
                <c:pt idx="5">
                  <c:v>0.22207825988800384</c:v>
                </c:pt>
                <c:pt idx="6">
                  <c:v>0.22205910233288448</c:v>
                </c:pt>
                <c:pt idx="7">
                  <c:v>0.22156239021737562</c:v>
                </c:pt>
                <c:pt idx="8">
                  <c:v>0.22260058974602873</c:v>
                </c:pt>
                <c:pt idx="9">
                  <c:v>0.2235603922642026</c:v>
                </c:pt>
                <c:pt idx="10">
                  <c:v>0.22498014853566256</c:v>
                </c:pt>
              </c:numCache>
            </c:numRef>
          </c:val>
          <c:smooth val="0"/>
          <c:extLst>
            <c:ext xmlns:c16="http://schemas.microsoft.com/office/drawing/2014/chart" uri="{C3380CC4-5D6E-409C-BE32-E72D297353CC}">
              <c16:uniqueId val="{00000005-597B-4687-B3BA-8CFE64B7A3B6}"/>
            </c:ext>
          </c:extLst>
        </c:ser>
        <c:dLbls>
          <c:showLegendKey val="0"/>
          <c:showVal val="0"/>
          <c:showCatName val="0"/>
          <c:showSerName val="0"/>
          <c:showPercent val="0"/>
          <c:showBubbleSize val="0"/>
        </c:dLbls>
        <c:smooth val="0"/>
        <c:axId val="329149360"/>
        <c:axId val="329148528"/>
      </c:lineChart>
      <c:catAx>
        <c:axId val="32914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48528"/>
        <c:crossesAt val="0"/>
        <c:auto val="1"/>
        <c:lblAlgn val="ctr"/>
        <c:lblOffset val="100"/>
        <c:tickLblSkip val="3"/>
        <c:tickMarkSkip val="4"/>
        <c:noMultiLvlLbl val="0"/>
      </c:catAx>
      <c:valAx>
        <c:axId val="329148528"/>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14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Sheet1!$H$1</c:f>
              <c:strCache>
                <c:ptCount val="1"/>
                <c:pt idx="0">
                  <c:v>Females</c:v>
                </c:pt>
              </c:strCache>
            </c:strRef>
          </c:tx>
          <c:spPr>
            <a:solidFill>
              <a:schemeClr val="accent1"/>
            </a:solidFill>
            <a:ln>
              <a:noFill/>
            </a:ln>
            <a:effectLst/>
          </c:spPr>
          <c:invertIfNegative val="0"/>
          <c:cat>
            <c:strRef>
              <c:f>Sheet1!$K$2:$K$20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Sheet1!$H$2:$H$20</c:f>
              <c:numCache>
                <c:formatCode>0.0%</c:formatCode>
                <c:ptCount val="19"/>
                <c:pt idx="0">
                  <c:v>-3.4303330375075901E-2</c:v>
                </c:pt>
                <c:pt idx="1">
                  <c:v>-3.646130132187398E-2</c:v>
                </c:pt>
                <c:pt idx="2">
                  <c:v>-3.3485917137652386E-2</c:v>
                </c:pt>
                <c:pt idx="3">
                  <c:v>-2.8100331636227754E-2</c:v>
                </c:pt>
                <c:pt idx="4">
                  <c:v>-2.632537717782241E-2</c:v>
                </c:pt>
                <c:pt idx="5">
                  <c:v>-3.236489326918586E-2</c:v>
                </c:pt>
                <c:pt idx="6">
                  <c:v>-3.4789107384744736E-2</c:v>
                </c:pt>
                <c:pt idx="7">
                  <c:v>-3.4644308468401143E-2</c:v>
                </c:pt>
                <c:pt idx="8">
                  <c:v>-3.2336867672474193E-2</c:v>
                </c:pt>
                <c:pt idx="9">
                  <c:v>-3.4616282871689476E-2</c:v>
                </c:pt>
                <c:pt idx="10">
                  <c:v>-3.4975944696155822E-2</c:v>
                </c:pt>
                <c:pt idx="11">
                  <c:v>-3.1066373954878788E-2</c:v>
                </c:pt>
                <c:pt idx="12">
                  <c:v>-2.56714465878836E-2</c:v>
                </c:pt>
                <c:pt idx="13">
                  <c:v>-2.2574618151244803E-2</c:v>
                </c:pt>
                <c:pt idx="14">
                  <c:v>-2.1645102526974637E-2</c:v>
                </c:pt>
                <c:pt idx="15">
                  <c:v>-1.6324910084543884E-2</c:v>
                </c:pt>
                <c:pt idx="16">
                  <c:v>-1.1952916997524406E-2</c:v>
                </c:pt>
                <c:pt idx="17">
                  <c:v>-7.1185015647624835E-3</c:v>
                </c:pt>
                <c:pt idx="18">
                  <c:v>-4.1384464477556169E-3</c:v>
                </c:pt>
              </c:numCache>
            </c:numRef>
          </c:val>
          <c:extLst>
            <c:ext xmlns:c16="http://schemas.microsoft.com/office/drawing/2014/chart" uri="{C3380CC4-5D6E-409C-BE32-E72D297353CC}">
              <c16:uniqueId val="{00000000-91F4-46BA-8788-32F502834626}"/>
            </c:ext>
          </c:extLst>
        </c:ser>
        <c:ser>
          <c:idx val="1"/>
          <c:order val="1"/>
          <c:tx>
            <c:strRef>
              <c:f>Sheet1!$I$1</c:f>
              <c:strCache>
                <c:ptCount val="1"/>
                <c:pt idx="0">
                  <c:v>Males</c:v>
                </c:pt>
              </c:strCache>
            </c:strRef>
          </c:tx>
          <c:spPr>
            <a:solidFill>
              <a:schemeClr val="accent2"/>
            </a:solidFill>
            <a:ln>
              <a:noFill/>
            </a:ln>
            <a:effectLst/>
          </c:spPr>
          <c:invertIfNegative val="0"/>
          <c:cat>
            <c:strRef>
              <c:f>Sheet1!$K$2:$K$20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Sheet1!$I$2:$I$20</c:f>
              <c:numCache>
                <c:formatCode>0.0%</c:formatCode>
                <c:ptCount val="19"/>
                <c:pt idx="0">
                  <c:v>3.6237096548180671E-2</c:v>
                </c:pt>
                <c:pt idx="1">
                  <c:v>3.7890606754168804E-2</c:v>
                </c:pt>
                <c:pt idx="2">
                  <c:v>3.4625624737260031E-2</c:v>
                </c:pt>
                <c:pt idx="3">
                  <c:v>3.0613293474706899E-2</c:v>
                </c:pt>
                <c:pt idx="4">
                  <c:v>2.915129151291513E-2</c:v>
                </c:pt>
                <c:pt idx="5">
                  <c:v>3.3929655752253728E-2</c:v>
                </c:pt>
                <c:pt idx="6">
                  <c:v>3.4242608248867296E-2</c:v>
                </c:pt>
                <c:pt idx="7">
                  <c:v>3.3831566163762906E-2</c:v>
                </c:pt>
                <c:pt idx="8">
                  <c:v>3.1500770703909574E-2</c:v>
                </c:pt>
                <c:pt idx="9">
                  <c:v>3.3934326685039005E-2</c:v>
                </c:pt>
                <c:pt idx="10">
                  <c:v>3.4434116493063667E-2</c:v>
                </c:pt>
                <c:pt idx="11">
                  <c:v>3.1327946190854314E-2</c:v>
                </c:pt>
                <c:pt idx="12">
                  <c:v>2.5881638563221076E-2</c:v>
                </c:pt>
                <c:pt idx="13">
                  <c:v>2.1906674762950162E-2</c:v>
                </c:pt>
                <c:pt idx="14">
                  <c:v>1.9038722032789949E-2</c:v>
                </c:pt>
                <c:pt idx="15">
                  <c:v>1.3625110934653651E-2</c:v>
                </c:pt>
                <c:pt idx="16">
                  <c:v>8.7533280396095096E-3</c:v>
                </c:pt>
                <c:pt idx="17">
                  <c:v>4.2972581624550425E-3</c:v>
                </c:pt>
                <c:pt idx="18">
                  <c:v>1.8823859124667197E-3</c:v>
                </c:pt>
              </c:numCache>
            </c:numRef>
          </c:val>
          <c:extLst>
            <c:ext xmlns:c16="http://schemas.microsoft.com/office/drawing/2014/chart" uri="{C3380CC4-5D6E-409C-BE32-E72D297353CC}">
              <c16:uniqueId val="{00000001-91F4-46BA-8788-32F502834626}"/>
            </c:ext>
          </c:extLst>
        </c:ser>
        <c:dLbls>
          <c:showLegendKey val="0"/>
          <c:showVal val="0"/>
          <c:showCatName val="0"/>
          <c:showSerName val="0"/>
          <c:showPercent val="0"/>
          <c:showBubbleSize val="0"/>
        </c:dLbls>
        <c:gapWidth val="7"/>
        <c:overlap val="100"/>
        <c:axId val="550249216"/>
        <c:axId val="550250048"/>
      </c:barChart>
      <c:catAx>
        <c:axId val="550249216"/>
        <c:scaling>
          <c:orientation val="minMax"/>
        </c:scaling>
        <c:delete val="0"/>
        <c:axPos val="l"/>
        <c:numFmt formatCode="#,##0.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550250048"/>
        <c:crosses val="autoZero"/>
        <c:auto val="1"/>
        <c:lblAlgn val="ctr"/>
        <c:lblOffset val="100"/>
        <c:tickLblSkip val="1"/>
        <c:noMultiLvlLbl val="0"/>
      </c:catAx>
      <c:valAx>
        <c:axId val="550250048"/>
        <c:scaling>
          <c:orientation val="minMax"/>
          <c:max val="4.0000000000000008E-2"/>
          <c:min val="-4.0000000000000008E-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24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Sheet2!$H$1</c:f>
              <c:strCache>
                <c:ptCount val="1"/>
                <c:pt idx="0">
                  <c:v>Females</c:v>
                </c:pt>
              </c:strCache>
            </c:strRef>
          </c:tx>
          <c:spPr>
            <a:solidFill>
              <a:schemeClr val="accent1"/>
            </a:solidFill>
            <a:ln>
              <a:noFill/>
            </a:ln>
            <a:effectLst/>
          </c:spPr>
          <c:invertIfNegative val="0"/>
          <c:cat>
            <c:strRef>
              <c:f>Sheet2!$A$2:$A$20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Sheet2!$H$2:$H$20</c:f>
              <c:numCache>
                <c:formatCode>0.0%</c:formatCode>
                <c:ptCount val="19"/>
                <c:pt idx="0">
                  <c:v>-3.0462481271436009E-2</c:v>
                </c:pt>
                <c:pt idx="1">
                  <c:v>-2.9703403134078633E-2</c:v>
                </c:pt>
                <c:pt idx="2">
                  <c:v>-2.9564305046081211E-2</c:v>
                </c:pt>
                <c:pt idx="3">
                  <c:v>-2.8626386509870004E-2</c:v>
                </c:pt>
                <c:pt idx="4">
                  <c:v>-2.640876556408249E-2</c:v>
                </c:pt>
                <c:pt idx="5">
                  <c:v>-3.0172362402184238E-2</c:v>
                </c:pt>
                <c:pt idx="6">
                  <c:v>-3.0728754754173936E-2</c:v>
                </c:pt>
                <c:pt idx="7">
                  <c:v>-2.6957209453900906E-2</c:v>
                </c:pt>
                <c:pt idx="8">
                  <c:v>-2.7664622587144951E-2</c:v>
                </c:pt>
                <c:pt idx="9">
                  <c:v>-2.9039706542776635E-2</c:v>
                </c:pt>
                <c:pt idx="10">
                  <c:v>-3.0446584347093446E-2</c:v>
                </c:pt>
                <c:pt idx="11">
                  <c:v>-3.0239924330640128E-2</c:v>
                </c:pt>
                <c:pt idx="12">
                  <c:v>-2.8316396485190028E-2</c:v>
                </c:pt>
                <c:pt idx="13">
                  <c:v>-2.6802214441560918E-2</c:v>
                </c:pt>
                <c:pt idx="14">
                  <c:v>-2.7028745613442439E-2</c:v>
                </c:pt>
                <c:pt idx="15">
                  <c:v>-2.4350113861720604E-2</c:v>
                </c:pt>
                <c:pt idx="16">
                  <c:v>-1.8213901065491353E-2</c:v>
                </c:pt>
                <c:pt idx="17">
                  <c:v>-1.1354378211675497E-2</c:v>
                </c:pt>
                <c:pt idx="18">
                  <c:v>-8.7194630018957078E-3</c:v>
                </c:pt>
              </c:numCache>
            </c:numRef>
          </c:val>
          <c:extLst>
            <c:ext xmlns:c16="http://schemas.microsoft.com/office/drawing/2014/chart" uri="{C3380CC4-5D6E-409C-BE32-E72D297353CC}">
              <c16:uniqueId val="{00000000-EB12-4B96-AD17-43A0BB543EF9}"/>
            </c:ext>
          </c:extLst>
        </c:ser>
        <c:ser>
          <c:idx val="1"/>
          <c:order val="1"/>
          <c:tx>
            <c:strRef>
              <c:f>Sheet2!$I$1</c:f>
              <c:strCache>
                <c:ptCount val="1"/>
                <c:pt idx="0">
                  <c:v>Males</c:v>
                </c:pt>
              </c:strCache>
            </c:strRef>
          </c:tx>
          <c:spPr>
            <a:solidFill>
              <a:schemeClr val="accent2"/>
            </a:solidFill>
            <a:ln>
              <a:noFill/>
            </a:ln>
            <a:effectLst/>
          </c:spPr>
          <c:invertIfNegative val="0"/>
          <c:cat>
            <c:strRef>
              <c:f>Sheet2!$A$2:$A$20</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Sheet2!$I$2:$I$20</c:f>
              <c:numCache>
                <c:formatCode>0.0%</c:formatCode>
                <c:ptCount val="19"/>
                <c:pt idx="0">
                  <c:v>3.1917049848780507E-2</c:v>
                </c:pt>
                <c:pt idx="1">
                  <c:v>3.1130152093823648E-2</c:v>
                </c:pt>
                <c:pt idx="2">
                  <c:v>3.1014899392340069E-2</c:v>
                </c:pt>
                <c:pt idx="3">
                  <c:v>3.035517703212371E-2</c:v>
                </c:pt>
                <c:pt idx="4">
                  <c:v>2.8022303384852617E-2</c:v>
                </c:pt>
                <c:pt idx="5">
                  <c:v>3.2378060654714831E-2</c:v>
                </c:pt>
                <c:pt idx="6">
                  <c:v>3.3371618426125002E-2</c:v>
                </c:pt>
                <c:pt idx="7">
                  <c:v>2.9635841205622741E-2</c:v>
                </c:pt>
                <c:pt idx="8">
                  <c:v>3.0704909367660092E-2</c:v>
                </c:pt>
                <c:pt idx="9">
                  <c:v>3.1642827903871296E-2</c:v>
                </c:pt>
                <c:pt idx="10">
                  <c:v>3.169846713907027E-2</c:v>
                </c:pt>
                <c:pt idx="11">
                  <c:v>2.9600073125851976E-2</c:v>
                </c:pt>
                <c:pt idx="12">
                  <c:v>2.7259251016409601E-2</c:v>
                </c:pt>
                <c:pt idx="13">
                  <c:v>2.568942973758152E-2</c:v>
                </c:pt>
                <c:pt idx="14">
                  <c:v>2.5363542788558985E-2</c:v>
                </c:pt>
                <c:pt idx="15">
                  <c:v>2.2541838717754083E-2</c:v>
                </c:pt>
                <c:pt idx="16">
                  <c:v>1.6294347451126893E-2</c:v>
                </c:pt>
                <c:pt idx="17">
                  <c:v>9.7169950043915262E-3</c:v>
                </c:pt>
                <c:pt idx="18">
                  <c:v>6.8634970849014987E-3</c:v>
                </c:pt>
              </c:numCache>
            </c:numRef>
          </c:val>
          <c:extLst>
            <c:ext xmlns:c16="http://schemas.microsoft.com/office/drawing/2014/chart" uri="{C3380CC4-5D6E-409C-BE32-E72D297353CC}">
              <c16:uniqueId val="{00000001-EB12-4B96-AD17-43A0BB543EF9}"/>
            </c:ext>
          </c:extLst>
        </c:ser>
        <c:dLbls>
          <c:showLegendKey val="0"/>
          <c:showVal val="0"/>
          <c:showCatName val="0"/>
          <c:showSerName val="0"/>
          <c:showPercent val="0"/>
          <c:showBubbleSize val="0"/>
        </c:dLbls>
        <c:gapWidth val="7"/>
        <c:overlap val="100"/>
        <c:axId val="550249216"/>
        <c:axId val="550250048"/>
      </c:barChart>
      <c:catAx>
        <c:axId val="550249216"/>
        <c:scaling>
          <c:orientation val="minMax"/>
        </c:scaling>
        <c:delete val="0"/>
        <c:axPos val="l"/>
        <c:numFmt formatCode="#,##0.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550250048"/>
        <c:crosses val="autoZero"/>
        <c:auto val="1"/>
        <c:lblAlgn val="ctr"/>
        <c:lblOffset val="100"/>
        <c:tickLblSkip val="1"/>
        <c:noMultiLvlLbl val="0"/>
      </c:catAx>
      <c:valAx>
        <c:axId val="5502500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24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0.29577</cdr:x>
      <cdr:y>0.15357</cdr:y>
    </cdr:from>
    <cdr:to>
      <cdr:x>0.43662</cdr:x>
      <cdr:y>0.27404</cdr:y>
    </cdr:to>
    <cdr:sp macro="" textlink="">
      <cdr:nvSpPr>
        <cdr:cNvPr id="2" name="TextBox 1"/>
        <cdr:cNvSpPr txBox="1"/>
      </cdr:nvSpPr>
      <cdr:spPr>
        <a:xfrm xmlns:a="http://schemas.openxmlformats.org/drawingml/2006/main">
          <a:off x="1800225" y="608502"/>
          <a:ext cx="857249" cy="477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rgbClr val="0070C0"/>
              </a:solidFill>
            </a:rPr>
            <a:t>2018, </a:t>
          </a:r>
        </a:p>
        <a:p xmlns:a="http://schemas.openxmlformats.org/drawingml/2006/main">
          <a:r>
            <a:rPr lang="en-GB" sz="1100">
              <a:solidFill>
                <a:srgbClr val="0070C0"/>
              </a:solidFill>
            </a:rPr>
            <a:t>214,090</a:t>
          </a:r>
        </a:p>
      </cdr:txBody>
    </cdr:sp>
  </cdr:relSizeAnchor>
  <cdr:relSizeAnchor xmlns:cdr="http://schemas.openxmlformats.org/drawingml/2006/chartDrawing">
    <cdr:from>
      <cdr:x>0.88703</cdr:x>
      <cdr:y>0.12568</cdr:y>
    </cdr:from>
    <cdr:to>
      <cdr:x>0.97882</cdr:x>
      <cdr:y>0.2</cdr:y>
    </cdr:to>
    <cdr:sp macro="" textlink="">
      <cdr:nvSpPr>
        <cdr:cNvPr id="3" name="TextBox 2"/>
        <cdr:cNvSpPr txBox="1"/>
      </cdr:nvSpPr>
      <cdr:spPr>
        <a:xfrm xmlns:a="http://schemas.openxmlformats.org/drawingml/2006/main">
          <a:off x="8252263" y="763642"/>
          <a:ext cx="853965" cy="4516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0.88106</cdr:x>
      <cdr:y>0.05288</cdr:y>
    </cdr:from>
    <cdr:to>
      <cdr:x>1</cdr:x>
      <cdr:y>0.17252</cdr:y>
    </cdr:to>
    <cdr:sp macro="" textlink="">
      <cdr:nvSpPr>
        <cdr:cNvPr id="4" name="TextBox 3"/>
        <cdr:cNvSpPr txBox="1"/>
      </cdr:nvSpPr>
      <cdr:spPr>
        <a:xfrm xmlns:a="http://schemas.openxmlformats.org/drawingml/2006/main">
          <a:off x="5362576" y="209550"/>
          <a:ext cx="723899" cy="4740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rgbClr val="00B0F0"/>
              </a:solidFill>
            </a:rPr>
            <a:t>2041, </a:t>
          </a:r>
        </a:p>
        <a:p xmlns:a="http://schemas.openxmlformats.org/drawingml/2006/main">
          <a:r>
            <a:rPr lang="en-GB" sz="1100">
              <a:solidFill>
                <a:srgbClr val="00B0F0"/>
              </a:solidFill>
            </a:rPr>
            <a:t>251,621</a:t>
          </a:r>
        </a:p>
      </cdr:txBody>
    </cdr:sp>
  </cdr:relSizeAnchor>
</c:userShapes>
</file>

<file path=word/drawings/drawing2.xml><?xml version="1.0" encoding="utf-8"?>
<c:userShapes xmlns:c="http://schemas.openxmlformats.org/drawingml/2006/chart">
  <cdr:relSizeAnchor xmlns:cdr="http://schemas.openxmlformats.org/drawingml/2006/chartDrawing">
    <cdr:from>
      <cdr:x>0.88703</cdr:x>
      <cdr:y>0.12568</cdr:y>
    </cdr:from>
    <cdr:to>
      <cdr:x>0.97882</cdr:x>
      <cdr:y>0.2</cdr:y>
    </cdr:to>
    <cdr:sp macro="" textlink="">
      <cdr:nvSpPr>
        <cdr:cNvPr id="3" name="TextBox 2"/>
        <cdr:cNvSpPr txBox="1"/>
      </cdr:nvSpPr>
      <cdr:spPr>
        <a:xfrm xmlns:a="http://schemas.openxmlformats.org/drawingml/2006/main">
          <a:off x="8252263" y="763642"/>
          <a:ext cx="853965" cy="4516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0.08385</cdr:x>
      <cdr:y>0.0473</cdr:y>
    </cdr:from>
    <cdr:to>
      <cdr:x>0.3357</cdr:x>
      <cdr:y>0.10941</cdr:y>
    </cdr:to>
    <cdr:sp macro="" textlink="">
      <cdr:nvSpPr>
        <cdr:cNvPr id="5" name="TextBox 4"/>
        <cdr:cNvSpPr txBox="1"/>
      </cdr:nvSpPr>
      <cdr:spPr>
        <a:xfrm xmlns:a="http://schemas.openxmlformats.org/drawingml/2006/main">
          <a:off x="480586" y="177059"/>
          <a:ext cx="1443463" cy="2325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Children (0 - 15 years)</a:t>
          </a:r>
        </a:p>
      </cdr:txBody>
    </cdr:sp>
  </cdr:relSizeAnchor>
  <cdr:relSizeAnchor xmlns:cdr="http://schemas.openxmlformats.org/drawingml/2006/chartDrawing">
    <cdr:from>
      <cdr:x>0.0865</cdr:x>
      <cdr:y>0.4527</cdr:y>
    </cdr:from>
    <cdr:to>
      <cdr:x>0.41048</cdr:x>
      <cdr:y>0.53181</cdr:y>
    </cdr:to>
    <cdr:sp macro="" textlink="">
      <cdr:nvSpPr>
        <cdr:cNvPr id="6" name="TextBox 5"/>
        <cdr:cNvSpPr txBox="1"/>
      </cdr:nvSpPr>
      <cdr:spPr>
        <a:xfrm xmlns:a="http://schemas.openxmlformats.org/drawingml/2006/main">
          <a:off x="495775" y="1694603"/>
          <a:ext cx="1856899" cy="2961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Older people (65+ years)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1142</TotalTime>
  <Pages>4</Pages>
  <Words>537</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Gordon</dc:creator>
  <cp:keywords/>
  <dc:description/>
  <cp:lastModifiedBy>David McMullan</cp:lastModifiedBy>
  <cp:revision>23</cp:revision>
  <dcterms:created xsi:type="dcterms:W3CDTF">2019-07-23T13:18:00Z</dcterms:created>
  <dcterms:modified xsi:type="dcterms:W3CDTF">2022-02-18T20:11:00Z</dcterms:modified>
</cp:coreProperties>
</file>