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E12D" w14:textId="77777777" w:rsidR="00565089" w:rsidRPr="002D5D2C" w:rsidRDefault="00B656CA">
      <w:pPr>
        <w:rPr>
          <w:b/>
        </w:rPr>
      </w:pPr>
      <w:r>
        <w:rPr>
          <w:b/>
        </w:rPr>
        <w:t>Planning Applications</w:t>
      </w:r>
    </w:p>
    <w:p w14:paraId="26B25F14" w14:textId="77777777" w:rsidR="002D5D2C" w:rsidRDefault="002D5D2C" w:rsidP="00F53A94">
      <w:r>
        <w:t>The Planning Act (Northern Ireland) 2011 sets out the legislative framework for development management in Northern Ireland and provides that, from 1</w:t>
      </w:r>
      <w:r w:rsidRPr="002D5D2C">
        <w:rPr>
          <w:vertAlign w:val="superscript"/>
        </w:rPr>
        <w:t>st</w:t>
      </w:r>
      <w:r>
        <w:t xml:space="preserve"> April 2015, councils largely have responsibility for this planning function. </w:t>
      </w:r>
    </w:p>
    <w:p w14:paraId="23F6530A" w14:textId="77777777" w:rsidR="00F53A94" w:rsidRDefault="00F356E3" w:rsidP="00F53A94">
      <w:r>
        <w:t>During 2018/19</w:t>
      </w:r>
      <w:r w:rsidR="00F53A94">
        <w:t xml:space="preserve"> Armagh City, Banbridge and Craigavon Borough Council </w:t>
      </w:r>
      <w:r w:rsidR="00CF6911">
        <w:t xml:space="preserve">(ABC Council) </w:t>
      </w:r>
      <w:r>
        <w:t>received a total of 1,348 planning applications, up by 1.3% on 2017/18 (1,331</w:t>
      </w:r>
      <w:r w:rsidR="00F53A94">
        <w:t xml:space="preserve"> applications).</w:t>
      </w:r>
      <w:r w:rsidR="002144CB">
        <w:t xml:space="preserve"> The number</w:t>
      </w:r>
      <w:r>
        <w:t xml:space="preserve"> of applications decided in 2018/19 (1,244) rose by 10.8</w:t>
      </w:r>
      <w:r w:rsidR="002144CB">
        <w:t>% from 201</w:t>
      </w:r>
      <w:r>
        <w:t>7</w:t>
      </w:r>
      <w:r w:rsidR="002144CB">
        <w:t>/1</w:t>
      </w:r>
      <w:r>
        <w:t>8 (1,123). A total of 1,189</w:t>
      </w:r>
      <w:r w:rsidR="002144CB">
        <w:t xml:space="preserve"> ap</w:t>
      </w:r>
      <w:r>
        <w:t>plications were approved in 2018/19 with 78</w:t>
      </w:r>
      <w:r w:rsidR="002144CB">
        <w:t xml:space="preserve"> withdrawn.</w:t>
      </w:r>
    </w:p>
    <w:tbl>
      <w:tblPr>
        <w:tblW w:w="5960" w:type="dxa"/>
        <w:tblLook w:val="04A0" w:firstRow="1" w:lastRow="0" w:firstColumn="1" w:lastColumn="0" w:noHBand="0" w:noVBand="1"/>
      </w:tblPr>
      <w:tblGrid>
        <w:gridCol w:w="1349"/>
        <w:gridCol w:w="1120"/>
        <w:gridCol w:w="1120"/>
        <w:gridCol w:w="1120"/>
        <w:gridCol w:w="1251"/>
      </w:tblGrid>
      <w:tr w:rsidR="009C7268" w:rsidRPr="009C7268" w14:paraId="0AF02432" w14:textId="77777777" w:rsidTr="00FC1471">
        <w:trPr>
          <w:trHeight w:val="60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C7921" w14:textId="77777777" w:rsidR="009C7268" w:rsidRPr="009C7268" w:rsidRDefault="009C7268" w:rsidP="009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Applications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C04E" w14:textId="77777777" w:rsidR="009C7268" w:rsidRPr="009C7268" w:rsidRDefault="009C7268" w:rsidP="009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Received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798" w14:textId="77777777" w:rsidR="009C7268" w:rsidRPr="009C7268" w:rsidRDefault="009C7268" w:rsidP="009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Decided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9218" w14:textId="77777777" w:rsidR="009C7268" w:rsidRPr="009C7268" w:rsidRDefault="009C7268" w:rsidP="009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Approved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6E52" w14:textId="77777777" w:rsidR="009C7268" w:rsidRPr="009C7268" w:rsidRDefault="009C7268" w:rsidP="009C72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Withdrawn</w:t>
            </w:r>
          </w:p>
        </w:tc>
      </w:tr>
      <w:tr w:rsidR="00FC1471" w:rsidRPr="009C7268" w14:paraId="392B2ED3" w14:textId="77777777" w:rsidTr="00FC1471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954ED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7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BDBDE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251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EB056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FA12A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6C4DC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</w:tr>
      <w:tr w:rsidR="00FC1471" w:rsidRPr="009C7268" w14:paraId="58D59FD6" w14:textId="77777777" w:rsidTr="00FC1471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014B7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7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795EF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C96A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CE50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358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8EA1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58</w:t>
            </w:r>
          </w:p>
        </w:tc>
      </w:tr>
      <w:tr w:rsidR="00FC1471" w:rsidRPr="009C7268" w14:paraId="4F638029" w14:textId="77777777" w:rsidTr="00FC1471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1BD6B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C726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8232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B8736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F14A9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,</w:t>
            </w: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076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5C8D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7268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</w:tr>
      <w:tr w:rsidR="00FC1471" w:rsidRPr="009C7268" w14:paraId="0BBC8C8E" w14:textId="77777777" w:rsidTr="00FC1471">
        <w:trPr>
          <w:trHeight w:val="300"/>
        </w:trPr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89729" w14:textId="77777777" w:rsidR="00FC1471" w:rsidRPr="009C726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D9D0" w14:textId="77777777" w:rsidR="00FC1471" w:rsidRPr="009C726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1,348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B2D8" w14:textId="77777777" w:rsidR="00FC1471" w:rsidRPr="009C726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B761" w14:textId="77777777" w:rsidR="00FC1471" w:rsidRPr="009C726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1,189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3AC7A" w14:textId="77777777" w:rsidR="00FC1471" w:rsidRPr="009C726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78</w:t>
            </w:r>
          </w:p>
        </w:tc>
      </w:tr>
    </w:tbl>
    <w:p w14:paraId="5B68DAF5" w14:textId="77777777" w:rsidR="009C7268" w:rsidRDefault="005F140B" w:rsidP="00F53A9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Table 1: All planning applications in </w:t>
      </w:r>
      <w:r w:rsidR="009C7268" w:rsidRPr="002A2185">
        <w:rPr>
          <w:i/>
          <w:sz w:val="20"/>
          <w:szCs w:val="20"/>
        </w:rPr>
        <w:t xml:space="preserve">Armagh City, Banbridge and Craigavon </w:t>
      </w:r>
      <w:r>
        <w:rPr>
          <w:i/>
          <w:sz w:val="20"/>
          <w:szCs w:val="20"/>
        </w:rPr>
        <w:t xml:space="preserve">Borough </w:t>
      </w:r>
      <w:r w:rsidR="00F356E3">
        <w:rPr>
          <w:i/>
          <w:sz w:val="20"/>
          <w:szCs w:val="20"/>
        </w:rPr>
        <w:t>2015/16 to 2018/19</w:t>
      </w:r>
      <w:r w:rsidR="009C7268" w:rsidRPr="002A2185">
        <w:rPr>
          <w:i/>
          <w:sz w:val="20"/>
          <w:szCs w:val="20"/>
        </w:rPr>
        <w:t>. Source: Northern Ire</w:t>
      </w:r>
      <w:r w:rsidR="00F356E3">
        <w:rPr>
          <w:i/>
          <w:sz w:val="20"/>
          <w:szCs w:val="20"/>
        </w:rPr>
        <w:t>land Planning Statistics,</w:t>
      </w:r>
      <w:r w:rsidR="009C7268" w:rsidRPr="002A2185">
        <w:rPr>
          <w:i/>
          <w:sz w:val="20"/>
          <w:szCs w:val="20"/>
        </w:rPr>
        <w:t xml:space="preserve"> Department for Infrastructure.</w:t>
      </w:r>
    </w:p>
    <w:p w14:paraId="60A4CBC2" w14:textId="77777777" w:rsidR="0044181B" w:rsidRPr="002A2185" w:rsidRDefault="0044181B" w:rsidP="00F53A94">
      <w:pPr>
        <w:rPr>
          <w:i/>
          <w:sz w:val="20"/>
          <w:szCs w:val="20"/>
        </w:rPr>
      </w:pPr>
    </w:p>
    <w:p w14:paraId="2D29BAC1" w14:textId="77777777" w:rsidR="009C7268" w:rsidRPr="0044181B" w:rsidRDefault="0044181B" w:rsidP="009C7268">
      <w:r>
        <w:rPr>
          <w:noProof/>
          <w:lang w:eastAsia="en-GB"/>
        </w:rPr>
        <w:drawing>
          <wp:inline distT="0" distB="0" distL="0" distR="0" wp14:anchorId="251F5450" wp14:editId="5A967FEB">
            <wp:extent cx="5731510" cy="3157855"/>
            <wp:effectExtent l="0" t="0" r="2540" b="4445"/>
            <wp:docPr id="1" name="Chart 1" descr="All planning applications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5F140B">
        <w:rPr>
          <w:i/>
          <w:sz w:val="20"/>
          <w:szCs w:val="20"/>
        </w:rPr>
        <w:t>Figure 1:</w:t>
      </w:r>
      <w:r w:rsidR="009C7268" w:rsidRPr="002A2185">
        <w:rPr>
          <w:i/>
          <w:sz w:val="20"/>
          <w:szCs w:val="20"/>
        </w:rPr>
        <w:t xml:space="preserve"> </w:t>
      </w:r>
      <w:r w:rsidR="005F140B">
        <w:rPr>
          <w:i/>
          <w:sz w:val="20"/>
          <w:szCs w:val="20"/>
        </w:rPr>
        <w:t xml:space="preserve">All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F356E3">
        <w:rPr>
          <w:i/>
          <w:sz w:val="20"/>
          <w:szCs w:val="20"/>
        </w:rPr>
        <w:t>2015/16 to 2018/19</w:t>
      </w:r>
      <w:r w:rsidR="009C7268" w:rsidRPr="002A2185">
        <w:rPr>
          <w:i/>
          <w:sz w:val="20"/>
          <w:szCs w:val="20"/>
        </w:rPr>
        <w:t>. Source: Northern Irel</w:t>
      </w:r>
      <w:r w:rsidR="00F356E3">
        <w:rPr>
          <w:i/>
          <w:sz w:val="20"/>
          <w:szCs w:val="20"/>
        </w:rPr>
        <w:t xml:space="preserve">and Planning Statistics, </w:t>
      </w:r>
      <w:r w:rsidR="009C7268" w:rsidRPr="002A2185">
        <w:rPr>
          <w:i/>
          <w:sz w:val="20"/>
          <w:szCs w:val="20"/>
        </w:rPr>
        <w:t>Department for Infrastructure.</w:t>
      </w:r>
    </w:p>
    <w:p w14:paraId="34EE3975" w14:textId="77777777" w:rsidR="00FF7470" w:rsidRPr="002144CB" w:rsidRDefault="00FF7470" w:rsidP="009C7268">
      <w:pPr>
        <w:rPr>
          <w:i/>
        </w:rPr>
      </w:pPr>
    </w:p>
    <w:p w14:paraId="321F11F3" w14:textId="77777777" w:rsidR="00F53A94" w:rsidRDefault="00F53A94" w:rsidP="00F53A94">
      <w:r>
        <w:t>Councils determine planning applications for development as being either major development or local development.</w:t>
      </w:r>
    </w:p>
    <w:p w14:paraId="6D0065F3" w14:textId="77777777" w:rsidR="00F53A94" w:rsidRDefault="00F53A94" w:rsidP="00F53A94">
      <w:r>
        <w:t>Major developments have important economic, social and environmental implications for councils. The majority of major applications are multiple housing, commercial and government and civic types of development.</w:t>
      </w:r>
    </w:p>
    <w:p w14:paraId="435410D7" w14:textId="77777777" w:rsidR="00CF6911" w:rsidRDefault="00F356E3" w:rsidP="00F53A94">
      <w:r>
        <w:lastRenderedPageBreak/>
        <w:t>13</w:t>
      </w:r>
      <w:r w:rsidR="00CF6911">
        <w:t xml:space="preserve"> major development applications were</w:t>
      </w:r>
      <w:r>
        <w:t xml:space="preserve"> received by ABC Council in 2018/19. Decisions were made on 8</w:t>
      </w:r>
      <w:r w:rsidR="00CF6911">
        <w:t xml:space="preserve"> applications during this time with </w:t>
      </w:r>
      <w:r>
        <w:t>all</w:t>
      </w:r>
      <w:r w:rsidR="00CF6911">
        <w:t xml:space="preserve"> decisions being for approval. The appro</w:t>
      </w:r>
      <w:r>
        <w:t>val rate during the previous three</w:t>
      </w:r>
      <w:r w:rsidR="00CF6911">
        <w:t xml:space="preserve"> financial years was also 100.0%.</w:t>
      </w:r>
    </w:p>
    <w:p w14:paraId="0B16E1CC" w14:textId="77777777" w:rsidR="00895CB8" w:rsidRDefault="00F356E3" w:rsidP="00F53A94">
      <w:r>
        <w:t>2018/19</w:t>
      </w:r>
      <w:r w:rsidR="00CF6911">
        <w:t xml:space="preserve"> showed the fastest average processing times for </w:t>
      </w:r>
      <w:r w:rsidR="00FF7470">
        <w:t xml:space="preserve">major development </w:t>
      </w:r>
      <w:r w:rsidR="00CF6911">
        <w:t xml:space="preserve">applications </w:t>
      </w:r>
      <w:r>
        <w:t>over the last four</w:t>
      </w:r>
      <w:r w:rsidR="00FF7470">
        <w:t xml:space="preserve"> financial years </w:t>
      </w:r>
      <w:r>
        <w:t>at 23.6</w:t>
      </w:r>
      <w:r w:rsidR="00CF6911">
        <w:t xml:space="preserve"> weeks, </w:t>
      </w:r>
      <w:r>
        <w:t>35.4</w:t>
      </w:r>
      <w:r w:rsidR="00FF7470">
        <w:t xml:space="preserve"> weeks faster than the average processing times for Northern Ireland</w:t>
      </w:r>
      <w:r>
        <w:t xml:space="preserve"> overall</w:t>
      </w:r>
      <w:r w:rsidR="00FF7470">
        <w:t>.</w:t>
      </w:r>
      <w:r>
        <w:t xml:space="preserve"> This was within the 30 week statutory target, of which ABC Council was one of only three councils to achieve.</w:t>
      </w:r>
      <w:r w:rsidR="00CF6911">
        <w:fldChar w:fldCharType="begin"/>
      </w:r>
      <w:r w:rsidR="00CF6911">
        <w:instrText xml:space="preserve"> LINK Excel.Sheet.12 "\\\\dcnsfilesvr2\\groups$\\community_planning\\NISRA Statistician\\Ad hoc queries\\2019 Apr - 2020 Mar\\Statistics for Website\\Planning Applications.xlsx" "Sheet1!R7C1:R10C7" \a \f 4 \h </w:instrText>
      </w:r>
      <w:r w:rsidR="00CF6911">
        <w:fldChar w:fldCharType="separate"/>
      </w:r>
    </w:p>
    <w:tbl>
      <w:tblPr>
        <w:tblW w:w="8436" w:type="dxa"/>
        <w:tblLook w:val="04A0" w:firstRow="1" w:lastRow="0" w:firstColumn="1" w:lastColumn="0" w:noHBand="0" w:noVBand="1"/>
      </w:tblPr>
      <w:tblGrid>
        <w:gridCol w:w="1455"/>
        <w:gridCol w:w="1120"/>
        <w:gridCol w:w="1120"/>
        <w:gridCol w:w="1120"/>
        <w:gridCol w:w="1251"/>
        <w:gridCol w:w="1185"/>
        <w:gridCol w:w="1185"/>
      </w:tblGrid>
      <w:tr w:rsidR="00895CB8" w:rsidRPr="00895CB8" w14:paraId="63C7923A" w14:textId="77777777" w:rsidTr="00FC1471">
        <w:trPr>
          <w:divId w:val="317657391"/>
          <w:trHeight w:val="12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112D9" w14:textId="77777777" w:rsidR="00895CB8" w:rsidRPr="00895CB8" w:rsidRDefault="00895CB8" w:rsidP="00895CB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Major Development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CA19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Received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14EB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Decided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7488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Approved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544E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Withdrawn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71871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ABC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1744D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NI</w:t>
            </w:r>
          </w:p>
        </w:tc>
      </w:tr>
      <w:tr w:rsidR="00FC1471" w:rsidRPr="00895CB8" w14:paraId="2ADF7423" w14:textId="77777777" w:rsidTr="00FC1471">
        <w:trPr>
          <w:divId w:val="317657391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19641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3DF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EED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3CFC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7C490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CA107" w14:textId="77777777" w:rsidR="00FC1471" w:rsidRPr="00895CB8" w:rsidRDefault="005F140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42.8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A65C8" w14:textId="77777777" w:rsidR="00FC1471" w:rsidRPr="00895CB8" w:rsidRDefault="005F140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46.2</w:t>
            </w:r>
          </w:p>
        </w:tc>
      </w:tr>
      <w:tr w:rsidR="00FC1471" w:rsidRPr="00895CB8" w14:paraId="17EB3B39" w14:textId="77777777" w:rsidTr="00FC1471">
        <w:trPr>
          <w:divId w:val="317657391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72B52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C301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6CB83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4BBC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61E8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0EFB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52.8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9825F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68.6</w:t>
            </w:r>
          </w:p>
        </w:tc>
      </w:tr>
      <w:tr w:rsidR="00FC1471" w:rsidRPr="00895CB8" w14:paraId="07156A3F" w14:textId="77777777" w:rsidTr="00FC1471">
        <w:trPr>
          <w:divId w:val="317657391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BC2D7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E7060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9C42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E01E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BCCA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355A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36.4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785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50.2</w:t>
            </w:r>
          </w:p>
        </w:tc>
      </w:tr>
      <w:tr w:rsidR="00FC1471" w:rsidRPr="00895CB8" w14:paraId="30F0A0FD" w14:textId="77777777" w:rsidTr="00FC1471">
        <w:trPr>
          <w:divId w:val="317657391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999EC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E4ED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2B0C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21C3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8E45F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DE2A2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23.6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C4931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59.0</w:t>
            </w:r>
          </w:p>
        </w:tc>
      </w:tr>
    </w:tbl>
    <w:p w14:paraId="1A5CC8A1" w14:textId="77777777" w:rsidR="00CF6911" w:rsidRDefault="00CF6911" w:rsidP="00F53A94">
      <w:pPr>
        <w:rPr>
          <w:i/>
          <w:sz w:val="20"/>
          <w:szCs w:val="20"/>
        </w:rPr>
      </w:pPr>
      <w:r>
        <w:fldChar w:fldCharType="end"/>
      </w:r>
      <w:r w:rsidR="00FF7470" w:rsidRPr="00FF7470">
        <w:rPr>
          <w:i/>
        </w:rPr>
        <w:t xml:space="preserve"> </w:t>
      </w:r>
      <w:r w:rsidR="005F140B">
        <w:rPr>
          <w:i/>
          <w:sz w:val="20"/>
          <w:szCs w:val="20"/>
        </w:rPr>
        <w:t xml:space="preserve">Table 2: Major development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F356E3">
        <w:rPr>
          <w:i/>
          <w:sz w:val="20"/>
          <w:szCs w:val="20"/>
        </w:rPr>
        <w:t>2015/16 to 2018/19</w:t>
      </w:r>
      <w:r w:rsidR="00FF7470" w:rsidRPr="002A2185">
        <w:rPr>
          <w:i/>
          <w:sz w:val="20"/>
          <w:szCs w:val="20"/>
        </w:rPr>
        <w:t>. Source: Northern Irel</w:t>
      </w:r>
      <w:r w:rsidR="00F356E3">
        <w:rPr>
          <w:i/>
          <w:sz w:val="20"/>
          <w:szCs w:val="20"/>
        </w:rPr>
        <w:t xml:space="preserve">and Planning Statistics, </w:t>
      </w:r>
      <w:r w:rsidR="00FF7470" w:rsidRPr="002A2185">
        <w:rPr>
          <w:i/>
          <w:sz w:val="20"/>
          <w:szCs w:val="20"/>
        </w:rPr>
        <w:t>Department for Infrastructure.</w:t>
      </w:r>
    </w:p>
    <w:p w14:paraId="74897D3C" w14:textId="77777777" w:rsidR="0044181B" w:rsidRPr="002A2185" w:rsidRDefault="0044181B" w:rsidP="00F53A94">
      <w:pPr>
        <w:rPr>
          <w:i/>
          <w:sz w:val="20"/>
          <w:szCs w:val="20"/>
        </w:rPr>
      </w:pPr>
    </w:p>
    <w:p w14:paraId="59966234" w14:textId="77777777" w:rsidR="00FF7470" w:rsidRPr="0044181B" w:rsidRDefault="0044181B" w:rsidP="00FF7470">
      <w:r>
        <w:rPr>
          <w:noProof/>
          <w:lang w:eastAsia="en-GB"/>
        </w:rPr>
        <w:drawing>
          <wp:inline distT="0" distB="0" distL="0" distR="0" wp14:anchorId="14D86A21" wp14:editId="73BB092A">
            <wp:extent cx="5731510" cy="3054985"/>
            <wp:effectExtent l="0" t="0" r="2540" b="12065"/>
            <wp:docPr id="3" name="Chart 3" descr="Major development planning application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F140B">
        <w:rPr>
          <w:i/>
          <w:sz w:val="20"/>
          <w:szCs w:val="20"/>
        </w:rPr>
        <w:t>Figure 2:</w:t>
      </w:r>
      <w:r w:rsidR="00FF7470" w:rsidRPr="002A2185">
        <w:rPr>
          <w:i/>
          <w:sz w:val="20"/>
          <w:szCs w:val="20"/>
        </w:rPr>
        <w:t xml:space="preserve"> </w:t>
      </w:r>
      <w:r w:rsidR="005F140B">
        <w:rPr>
          <w:i/>
          <w:sz w:val="20"/>
          <w:szCs w:val="20"/>
        </w:rPr>
        <w:t xml:space="preserve">Major development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F356E3">
        <w:rPr>
          <w:i/>
          <w:sz w:val="20"/>
          <w:szCs w:val="20"/>
        </w:rPr>
        <w:t>2015/16 to 2018/19</w:t>
      </w:r>
      <w:r w:rsidR="00FF7470" w:rsidRPr="002A2185">
        <w:rPr>
          <w:i/>
          <w:sz w:val="20"/>
          <w:szCs w:val="20"/>
        </w:rPr>
        <w:t>. Source: Northern Irel</w:t>
      </w:r>
      <w:r w:rsidR="00F356E3">
        <w:rPr>
          <w:i/>
          <w:sz w:val="20"/>
          <w:szCs w:val="20"/>
        </w:rPr>
        <w:t xml:space="preserve">and Planning Statistics, </w:t>
      </w:r>
      <w:r w:rsidR="00FF7470" w:rsidRPr="002A2185">
        <w:rPr>
          <w:i/>
          <w:sz w:val="20"/>
          <w:szCs w:val="20"/>
        </w:rPr>
        <w:t>Department for Infrastructure.</w:t>
      </w:r>
    </w:p>
    <w:p w14:paraId="79424505" w14:textId="77777777" w:rsidR="00FF7470" w:rsidRDefault="00FF7470" w:rsidP="00F53A94"/>
    <w:p w14:paraId="7E5ED2BD" w14:textId="77777777" w:rsidR="00F53A94" w:rsidRDefault="00F53A94" w:rsidP="00F53A94">
      <w:r>
        <w:t>Local development applications are mostly residential and minor commercial applications.</w:t>
      </w:r>
    </w:p>
    <w:p w14:paraId="16C79BAB" w14:textId="77777777" w:rsidR="002D5D2C" w:rsidRDefault="00F356E3" w:rsidP="00F53A94">
      <w:r>
        <w:t>During 2018/19</w:t>
      </w:r>
      <w:r w:rsidR="00FF7470">
        <w:t>, ABC Counci</w:t>
      </w:r>
      <w:r>
        <w:t>l received 1,335</w:t>
      </w:r>
      <w:r w:rsidR="00FF7470">
        <w:t xml:space="preserve"> local development applications, a</w:t>
      </w:r>
      <w:r>
        <w:t>n</w:t>
      </w:r>
      <w:r w:rsidR="00FF7470">
        <w:t xml:space="preserve"> </w:t>
      </w:r>
      <w:r>
        <w:t>increase of 1.1% on 2017/18 (1,320). A total of 1,236</w:t>
      </w:r>
      <w:r w:rsidR="00FF7470">
        <w:t xml:space="preserve"> local development appli</w:t>
      </w:r>
      <w:r>
        <w:t>cations were decided during 2018/19</w:t>
      </w:r>
      <w:r w:rsidR="005F140B">
        <w:t>,</w:t>
      </w:r>
      <w:r>
        <w:t xml:space="preserve"> of which 1,18</w:t>
      </w:r>
      <w:r w:rsidR="00FF7470">
        <w:t>1 were approved</w:t>
      </w:r>
      <w:r>
        <w:t xml:space="preserve"> (approval rate of 95.6</w:t>
      </w:r>
      <w:r w:rsidR="001309E1">
        <w:t>%).</w:t>
      </w:r>
    </w:p>
    <w:p w14:paraId="02AB9E1B" w14:textId="77777777" w:rsidR="00A26F55" w:rsidRDefault="00A26F55" w:rsidP="00F53A94"/>
    <w:p w14:paraId="0CDD2104" w14:textId="77777777" w:rsidR="001309E1" w:rsidRDefault="001309E1" w:rsidP="00F53A94">
      <w:r>
        <w:lastRenderedPageBreak/>
        <w:t>The time taken to process local develo</w:t>
      </w:r>
      <w:r w:rsidR="00F356E3">
        <w:t>pment applications</w:t>
      </w:r>
      <w:r w:rsidR="00A26F55">
        <w:t xml:space="preserve"> in the borough</w:t>
      </w:r>
      <w:r w:rsidR="00F356E3">
        <w:t xml:space="preserve"> during 2018/19 was 14.6</w:t>
      </w:r>
      <w:r>
        <w:t xml:space="preserve"> weeks, </w:t>
      </w:r>
      <w:r w:rsidR="00A26F55">
        <w:t>0.6 weeks longer than 2017/18</w:t>
      </w:r>
      <w:r>
        <w:t>. Average processing time</w:t>
      </w:r>
      <w:r w:rsidR="00A26F55">
        <w:t>s for local developments in 2018/19</w:t>
      </w:r>
      <w:r>
        <w:t xml:space="preserve"> were </w:t>
      </w:r>
      <w:r w:rsidR="00A26F55">
        <w:t>similar in ABC Council (14.6 weeks) to</w:t>
      </w:r>
      <w:r>
        <w:t xml:space="preserve"> th</w:t>
      </w:r>
      <w:r w:rsidR="00A26F55">
        <w:t>e Northern Ireland average (14.8</w:t>
      </w:r>
      <w:r>
        <w:t xml:space="preserve"> weeks)</w:t>
      </w:r>
      <w:r w:rsidR="00A26F55">
        <w:t xml:space="preserve"> and within the 15 week statutory target</w:t>
      </w:r>
      <w:r>
        <w:t>.</w:t>
      </w:r>
    </w:p>
    <w:p w14:paraId="1A485A91" w14:textId="77777777" w:rsidR="00895CB8" w:rsidRDefault="001309E1" w:rsidP="00F53A94">
      <w:r>
        <w:fldChar w:fldCharType="begin"/>
      </w:r>
      <w:r>
        <w:instrText xml:space="preserve"> LINK Excel.Sheet.12 "\\\\dcnsfilesvr2\\groups$\\community_planning\\NISRA Statistician\\Ad hoc queries\\2019 Apr - 2020 Mar\\Statistics for Website\\Planning Applications.xlsx" "Sheet1!R15C1:R18C7" \a \f 4 \h </w:instrText>
      </w:r>
      <w:r>
        <w:fldChar w:fldCharType="separate"/>
      </w:r>
    </w:p>
    <w:tbl>
      <w:tblPr>
        <w:tblW w:w="8436" w:type="dxa"/>
        <w:tblLook w:val="04A0" w:firstRow="1" w:lastRow="0" w:firstColumn="1" w:lastColumn="0" w:noHBand="0" w:noVBand="1"/>
      </w:tblPr>
      <w:tblGrid>
        <w:gridCol w:w="1455"/>
        <w:gridCol w:w="1120"/>
        <w:gridCol w:w="1120"/>
        <w:gridCol w:w="1120"/>
        <w:gridCol w:w="1251"/>
        <w:gridCol w:w="1185"/>
        <w:gridCol w:w="1185"/>
      </w:tblGrid>
      <w:tr w:rsidR="00895CB8" w:rsidRPr="00895CB8" w14:paraId="1B7BCDAD" w14:textId="77777777" w:rsidTr="00FC1471">
        <w:trPr>
          <w:divId w:val="1136603676"/>
          <w:trHeight w:val="12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73B6A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Local Development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3ECA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Received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B57A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Decided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1151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Approved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1DFA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Withdrawn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AD996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ABC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A1A32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NI</w:t>
            </w:r>
          </w:p>
        </w:tc>
      </w:tr>
      <w:tr w:rsidR="00FC1471" w:rsidRPr="00895CB8" w14:paraId="2B8C72B9" w14:textId="77777777" w:rsidTr="00FC1471">
        <w:trPr>
          <w:divId w:val="1136603676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E33B2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2294E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1,238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4FB5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1,202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9955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1,135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C5620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0FA64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22.0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B667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19.4</w:t>
            </w:r>
          </w:p>
        </w:tc>
      </w:tr>
      <w:tr w:rsidR="00FC1471" w:rsidRPr="00895CB8" w14:paraId="428FA1C1" w14:textId="77777777" w:rsidTr="00FC1471">
        <w:trPr>
          <w:divId w:val="1136603676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9ECD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A2F7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8BEEA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1,406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E11C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1,341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E1AB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5FF37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AD42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16.2</w:t>
            </w:r>
          </w:p>
        </w:tc>
      </w:tr>
      <w:tr w:rsidR="00FC1471" w:rsidRPr="00895CB8" w14:paraId="143D0480" w14:textId="77777777" w:rsidTr="00FC1471">
        <w:trPr>
          <w:divId w:val="1136603676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D4EB8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A803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7334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75A33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1,061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C38D5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2934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AA53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15.2</w:t>
            </w:r>
          </w:p>
        </w:tc>
      </w:tr>
      <w:tr w:rsidR="00FC1471" w:rsidRPr="00895CB8" w14:paraId="0524957B" w14:textId="77777777" w:rsidTr="00FC1471">
        <w:trPr>
          <w:divId w:val="1136603676"/>
          <w:trHeight w:val="300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26DE2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203D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9348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1,236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A2A2A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1,181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07495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5648D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48B2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14.8</w:t>
            </w:r>
          </w:p>
        </w:tc>
      </w:tr>
    </w:tbl>
    <w:p w14:paraId="678747BA" w14:textId="77777777" w:rsidR="001309E1" w:rsidRDefault="001309E1" w:rsidP="00F53A94">
      <w:pPr>
        <w:rPr>
          <w:i/>
          <w:sz w:val="20"/>
          <w:szCs w:val="20"/>
        </w:rPr>
      </w:pPr>
      <w:r>
        <w:fldChar w:fldCharType="end"/>
      </w:r>
      <w:r w:rsidRPr="001309E1">
        <w:rPr>
          <w:i/>
        </w:rPr>
        <w:t xml:space="preserve"> </w:t>
      </w:r>
      <w:r w:rsidR="005F140B">
        <w:rPr>
          <w:i/>
          <w:sz w:val="20"/>
          <w:szCs w:val="20"/>
        </w:rPr>
        <w:t xml:space="preserve">Table 3: Local development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A26F55">
        <w:rPr>
          <w:i/>
          <w:sz w:val="20"/>
          <w:szCs w:val="20"/>
        </w:rPr>
        <w:t>2015/16 to 2018/19</w:t>
      </w:r>
      <w:r w:rsidRPr="002A2185">
        <w:rPr>
          <w:i/>
          <w:sz w:val="20"/>
          <w:szCs w:val="20"/>
        </w:rPr>
        <w:t>. Source: Northern Irel</w:t>
      </w:r>
      <w:r w:rsidR="00A26F55">
        <w:rPr>
          <w:i/>
          <w:sz w:val="20"/>
          <w:szCs w:val="20"/>
        </w:rPr>
        <w:t xml:space="preserve">and Planning Statistics, </w:t>
      </w:r>
      <w:r w:rsidRPr="002A2185">
        <w:rPr>
          <w:i/>
          <w:sz w:val="20"/>
          <w:szCs w:val="20"/>
        </w:rPr>
        <w:t>Department for Infrastructure.</w:t>
      </w:r>
    </w:p>
    <w:p w14:paraId="4BD7A5AD" w14:textId="77777777" w:rsidR="00A26F55" w:rsidRPr="002A2185" w:rsidRDefault="00A26F55" w:rsidP="00F53A94">
      <w:pPr>
        <w:rPr>
          <w:i/>
          <w:sz w:val="20"/>
          <w:szCs w:val="20"/>
        </w:rPr>
      </w:pPr>
    </w:p>
    <w:p w14:paraId="2AFBC866" w14:textId="77777777" w:rsidR="001309E1" w:rsidRPr="0044181B" w:rsidRDefault="0044181B" w:rsidP="001309E1">
      <w:r>
        <w:rPr>
          <w:noProof/>
          <w:lang w:eastAsia="en-GB"/>
        </w:rPr>
        <w:drawing>
          <wp:inline distT="0" distB="0" distL="0" distR="0" wp14:anchorId="49A5CCBB" wp14:editId="7D792703">
            <wp:extent cx="5731510" cy="3570605"/>
            <wp:effectExtent l="0" t="0" r="2540" b="10795"/>
            <wp:docPr id="6" name="Chart 6" descr=":  Local development planning application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F140B">
        <w:rPr>
          <w:i/>
          <w:sz w:val="20"/>
          <w:szCs w:val="20"/>
        </w:rPr>
        <w:t xml:space="preserve">Figure 3: </w:t>
      </w:r>
      <w:r w:rsidR="001309E1" w:rsidRPr="002A2185">
        <w:rPr>
          <w:i/>
          <w:sz w:val="20"/>
          <w:szCs w:val="20"/>
        </w:rPr>
        <w:t xml:space="preserve"> </w:t>
      </w:r>
      <w:r w:rsidR="005F140B">
        <w:rPr>
          <w:i/>
          <w:sz w:val="20"/>
          <w:szCs w:val="20"/>
        </w:rPr>
        <w:t xml:space="preserve">Local development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A26F55">
        <w:rPr>
          <w:i/>
          <w:sz w:val="20"/>
          <w:szCs w:val="20"/>
        </w:rPr>
        <w:t>2015/16 to 2018/19</w:t>
      </w:r>
      <w:r w:rsidR="001309E1" w:rsidRPr="002A2185">
        <w:rPr>
          <w:i/>
          <w:sz w:val="20"/>
          <w:szCs w:val="20"/>
        </w:rPr>
        <w:t xml:space="preserve">. Source: Northern Ireland </w:t>
      </w:r>
      <w:r w:rsidR="00A26F55">
        <w:rPr>
          <w:i/>
          <w:sz w:val="20"/>
          <w:szCs w:val="20"/>
        </w:rPr>
        <w:t xml:space="preserve">Planning Statistics, </w:t>
      </w:r>
      <w:r w:rsidR="001309E1" w:rsidRPr="002A2185">
        <w:rPr>
          <w:i/>
          <w:sz w:val="20"/>
          <w:szCs w:val="20"/>
        </w:rPr>
        <w:t>Department for Infrastructure.</w:t>
      </w:r>
    </w:p>
    <w:p w14:paraId="1843AFC6" w14:textId="77777777" w:rsidR="00A26F55" w:rsidRDefault="00A26F55" w:rsidP="001309E1"/>
    <w:p w14:paraId="77BAF3AD" w14:textId="77777777" w:rsidR="001309E1" w:rsidRDefault="008D6178" w:rsidP="001309E1">
      <w:r>
        <w:t xml:space="preserve">The number of residential applications </w:t>
      </w:r>
      <w:r w:rsidR="00A26F55">
        <w:t xml:space="preserve">received </w:t>
      </w:r>
      <w:r>
        <w:t xml:space="preserve">by ABC Council </w:t>
      </w:r>
      <w:r w:rsidR="00A26F55">
        <w:t>in 2018/19 was similar to 2017/18, 863 and 866 respectively</w:t>
      </w:r>
      <w:r>
        <w:t xml:space="preserve">. </w:t>
      </w:r>
      <w:r w:rsidR="00A26F55">
        <w:t xml:space="preserve">Decisions were made on 815 residential applications during 2018/19, of which 774 (95.0%) </w:t>
      </w:r>
      <w:r w:rsidR="00725DCE">
        <w:t xml:space="preserve">were approved. </w:t>
      </w:r>
    </w:p>
    <w:p w14:paraId="5A232F41" w14:textId="77777777" w:rsidR="00A26F55" w:rsidRDefault="00A26F55" w:rsidP="001309E1"/>
    <w:p w14:paraId="12D8B0C0" w14:textId="77777777" w:rsidR="00A26F55" w:rsidRDefault="00A26F55" w:rsidP="001309E1"/>
    <w:p w14:paraId="1E016AF4" w14:textId="77777777" w:rsidR="00895CB8" w:rsidRDefault="00725DCE" w:rsidP="001309E1">
      <w:r>
        <w:lastRenderedPageBreak/>
        <w:t xml:space="preserve">ABC Council processed </w:t>
      </w:r>
      <w:r w:rsidR="00A26F55">
        <w:t>residential applications in 14.0</w:t>
      </w:r>
      <w:r>
        <w:t xml:space="preserve"> weeks on average in 201</w:t>
      </w:r>
      <w:r w:rsidR="00A26F55">
        <w:t>8/19, 0.4</w:t>
      </w:r>
      <w:r>
        <w:t xml:space="preserve"> weeks faster than th</w:t>
      </w:r>
      <w:r w:rsidR="00A26F55">
        <w:t>e Northern Ireland average (14.4</w:t>
      </w:r>
      <w:r>
        <w:t xml:space="preserve"> weeks).</w:t>
      </w:r>
      <w:r>
        <w:fldChar w:fldCharType="begin"/>
      </w:r>
      <w:r>
        <w:instrText xml:space="preserve"> LINK Excel.Sheet.12 "\\\\dcnsfilesvr2\\groups$\\community_planning\\NISRA Statistician\\Ad hoc queries\\2019 Apr - 2020 Mar\\Statistics for Website\\Planning Applications.xlsx" "Sheet1!R23C1:R26C7" \a \f 4 \h </w:instrText>
      </w:r>
      <w:r>
        <w:fldChar w:fldCharType="separate"/>
      </w:r>
    </w:p>
    <w:tbl>
      <w:tblPr>
        <w:tblW w:w="8381" w:type="dxa"/>
        <w:tblLook w:val="04A0" w:firstRow="1" w:lastRow="0" w:firstColumn="1" w:lastColumn="0" w:noHBand="0" w:noVBand="1"/>
      </w:tblPr>
      <w:tblGrid>
        <w:gridCol w:w="1400"/>
        <w:gridCol w:w="1120"/>
        <w:gridCol w:w="1120"/>
        <w:gridCol w:w="1120"/>
        <w:gridCol w:w="1251"/>
        <w:gridCol w:w="1185"/>
        <w:gridCol w:w="1185"/>
      </w:tblGrid>
      <w:tr w:rsidR="00895CB8" w:rsidRPr="00895CB8" w14:paraId="2C6A1246" w14:textId="77777777" w:rsidTr="00FC1471">
        <w:trPr>
          <w:divId w:val="1356081553"/>
          <w:trHeight w:val="12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0C4C5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Residential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80E5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Received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CE66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Decided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E69C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Approved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FDA6B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Withdrawn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B1C81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ABC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14E69" w14:textId="77777777" w:rsidR="00895CB8" w:rsidRPr="00895CB8" w:rsidRDefault="00895CB8" w:rsidP="00895C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Average Processing Times (</w:t>
            </w:r>
            <w:proofErr w:type="spellStart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Wks</w:t>
            </w:r>
            <w:proofErr w:type="spellEnd"/>
            <w:r w:rsidRPr="00895CB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) NI</w:t>
            </w:r>
          </w:p>
        </w:tc>
      </w:tr>
      <w:tr w:rsidR="00FC1471" w:rsidRPr="00895CB8" w14:paraId="6BCF8099" w14:textId="77777777" w:rsidTr="00FC1471">
        <w:trPr>
          <w:divId w:val="1356081553"/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D221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2015/16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3FDE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3CF22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40F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0A7F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62C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D78C8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n/a</w:t>
            </w:r>
          </w:p>
        </w:tc>
      </w:tr>
      <w:tr w:rsidR="00FC1471" w:rsidRPr="00895CB8" w14:paraId="32A074CF" w14:textId="77777777" w:rsidTr="00FC1471">
        <w:trPr>
          <w:divId w:val="1356081553"/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555A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2016/17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3F36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DD3C5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908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1F121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864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C3A2F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0E396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12.8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7A20D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15.6</w:t>
            </w:r>
          </w:p>
        </w:tc>
      </w:tr>
      <w:tr w:rsidR="00FC1471" w:rsidRPr="00895CB8" w14:paraId="7A723760" w14:textId="77777777" w:rsidTr="00FC1471">
        <w:trPr>
          <w:divId w:val="1356081553"/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E09DB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895CB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2017/18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CFC89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866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0F5C6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9D40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704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5E71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41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E5C0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13.4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CDC8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95CB8">
              <w:rPr>
                <w:rFonts w:ascii="Calibri" w:eastAsia="Times New Roman" w:hAnsi="Calibri" w:cs="Times New Roman"/>
                <w:color w:val="000000"/>
                <w:lang w:eastAsia="en-GB"/>
              </w:rPr>
              <w:t>15.0</w:t>
            </w:r>
          </w:p>
        </w:tc>
      </w:tr>
      <w:tr w:rsidR="00FC1471" w:rsidRPr="00895CB8" w14:paraId="49448542" w14:textId="77777777" w:rsidTr="00FC1471">
        <w:trPr>
          <w:divId w:val="1356081553"/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4B93" w14:textId="77777777" w:rsidR="00FC1471" w:rsidRPr="00895CB8" w:rsidRDefault="00FC1471" w:rsidP="00FC14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2018/19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F6E3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A0396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84FE8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774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6863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6BD0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0034" w14:textId="77777777" w:rsidR="00FC1471" w:rsidRPr="00895CB8" w:rsidRDefault="0044181B" w:rsidP="00FC14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14.4</w:t>
            </w:r>
          </w:p>
        </w:tc>
      </w:tr>
    </w:tbl>
    <w:p w14:paraId="64B921EC" w14:textId="77777777" w:rsidR="00725DCE" w:rsidRDefault="00725DCE" w:rsidP="001309E1">
      <w:pPr>
        <w:rPr>
          <w:i/>
          <w:sz w:val="20"/>
          <w:szCs w:val="20"/>
        </w:rPr>
      </w:pPr>
      <w:r>
        <w:fldChar w:fldCharType="end"/>
      </w:r>
      <w:r w:rsidR="005F140B">
        <w:rPr>
          <w:i/>
          <w:sz w:val="20"/>
          <w:szCs w:val="20"/>
        </w:rPr>
        <w:t xml:space="preserve"> Table 4: Residential planning applications in </w:t>
      </w:r>
      <w:r w:rsidR="005F140B" w:rsidRPr="002A2185">
        <w:rPr>
          <w:i/>
          <w:sz w:val="20"/>
          <w:szCs w:val="20"/>
        </w:rPr>
        <w:t xml:space="preserve">Armagh City, Banbridge and Craigavon </w:t>
      </w:r>
      <w:r w:rsidR="005F140B">
        <w:rPr>
          <w:i/>
          <w:sz w:val="20"/>
          <w:szCs w:val="20"/>
        </w:rPr>
        <w:t xml:space="preserve">Borough </w:t>
      </w:r>
      <w:r w:rsidR="00A26F55">
        <w:rPr>
          <w:i/>
          <w:sz w:val="20"/>
          <w:szCs w:val="20"/>
        </w:rPr>
        <w:t>2015/16 to 2018/19</w:t>
      </w:r>
      <w:r w:rsidRPr="002A2185">
        <w:rPr>
          <w:i/>
          <w:sz w:val="20"/>
          <w:szCs w:val="20"/>
        </w:rPr>
        <w:t>. Source: Northern Irel</w:t>
      </w:r>
      <w:r w:rsidR="00A26F55">
        <w:rPr>
          <w:i/>
          <w:sz w:val="20"/>
          <w:szCs w:val="20"/>
        </w:rPr>
        <w:t xml:space="preserve">and Planning Statistics, </w:t>
      </w:r>
      <w:r w:rsidRPr="002A2185">
        <w:rPr>
          <w:i/>
          <w:sz w:val="20"/>
          <w:szCs w:val="20"/>
        </w:rPr>
        <w:t>Department for Infrastructure.</w:t>
      </w:r>
    </w:p>
    <w:p w14:paraId="2D57389F" w14:textId="77777777" w:rsidR="00A26F55" w:rsidRPr="002A2185" w:rsidRDefault="00A26F55" w:rsidP="001309E1">
      <w:pPr>
        <w:rPr>
          <w:i/>
          <w:sz w:val="20"/>
          <w:szCs w:val="20"/>
        </w:rPr>
      </w:pPr>
    </w:p>
    <w:p w14:paraId="0623F618" w14:textId="77777777" w:rsidR="00725DCE" w:rsidRDefault="0044181B" w:rsidP="001309E1">
      <w:r>
        <w:rPr>
          <w:noProof/>
          <w:lang w:eastAsia="en-GB"/>
        </w:rPr>
        <w:drawing>
          <wp:inline distT="0" distB="0" distL="0" distR="0" wp14:anchorId="77208108" wp14:editId="60CB5815">
            <wp:extent cx="5731510" cy="3665855"/>
            <wp:effectExtent l="0" t="0" r="2540" b="10795"/>
            <wp:docPr id="7" name="Chart 7" descr="Residential planning applications 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CA4B164" w14:textId="77777777" w:rsidR="00725DCE" w:rsidRDefault="005F140B" w:rsidP="00725DCE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Figure 4: Residential planning applications in </w:t>
      </w:r>
      <w:r w:rsidRPr="002A2185">
        <w:rPr>
          <w:i/>
          <w:sz w:val="20"/>
          <w:szCs w:val="20"/>
        </w:rPr>
        <w:t xml:space="preserve">Armagh City, Banbridge and Craigavon </w:t>
      </w:r>
      <w:r>
        <w:rPr>
          <w:i/>
          <w:sz w:val="20"/>
          <w:szCs w:val="20"/>
        </w:rPr>
        <w:t xml:space="preserve">Borough </w:t>
      </w:r>
      <w:r w:rsidR="00A26F55">
        <w:rPr>
          <w:i/>
          <w:sz w:val="20"/>
          <w:szCs w:val="20"/>
        </w:rPr>
        <w:t>2015/16 to 2018/19</w:t>
      </w:r>
      <w:r w:rsidR="00725DCE" w:rsidRPr="002A2185">
        <w:rPr>
          <w:i/>
          <w:sz w:val="20"/>
          <w:szCs w:val="20"/>
        </w:rPr>
        <w:t>. Source: Northern Irel</w:t>
      </w:r>
      <w:r w:rsidR="00A26F55">
        <w:rPr>
          <w:i/>
          <w:sz w:val="20"/>
          <w:szCs w:val="20"/>
        </w:rPr>
        <w:t xml:space="preserve">and Planning Statistics, </w:t>
      </w:r>
      <w:r w:rsidR="00725DCE" w:rsidRPr="002A2185">
        <w:rPr>
          <w:i/>
          <w:sz w:val="20"/>
          <w:szCs w:val="20"/>
        </w:rPr>
        <w:t>Department for Infrastructure.</w:t>
      </w:r>
    </w:p>
    <w:p w14:paraId="4536056C" w14:textId="77777777" w:rsidR="00A26F55" w:rsidRPr="00A26F55" w:rsidRDefault="00A26F55" w:rsidP="00725DCE">
      <w:pPr>
        <w:rPr>
          <w:i/>
          <w:sz w:val="20"/>
          <w:szCs w:val="20"/>
        </w:rPr>
      </w:pPr>
    </w:p>
    <w:p w14:paraId="447ACDA3" w14:textId="77777777" w:rsidR="00515BDA" w:rsidRDefault="00515BDA" w:rsidP="00725DCE">
      <w:r>
        <w:t>The Department for Infrastructure also publish provisional quarterly figures during the financial year which will be subject to scheduled revisions ahead of finalised a</w:t>
      </w:r>
      <w:r w:rsidR="008A6A44">
        <w:t>nnual figures being published around</w:t>
      </w:r>
      <w:r>
        <w:t xml:space="preserve"> June of each year.</w:t>
      </w:r>
    </w:p>
    <w:p w14:paraId="362FB20B" w14:textId="77777777" w:rsidR="00515BDA" w:rsidRDefault="00515BDA" w:rsidP="00725DCE">
      <w:r>
        <w:t>Further information on planning statistics and details of the quarterly provisional results can be found via the following link:</w:t>
      </w:r>
    </w:p>
    <w:p w14:paraId="5ECE22F1" w14:textId="77777777" w:rsidR="00515BDA" w:rsidRPr="00725DCE" w:rsidRDefault="00F12939" w:rsidP="00725DCE">
      <w:hyperlink r:id="rId11" w:history="1">
        <w:r w:rsidR="00515BDA">
          <w:rPr>
            <w:rStyle w:val="Hyperlink"/>
          </w:rPr>
          <w:t>https://www.infrastructure-ni.gov.uk/articles/planning-activity-statistics</w:t>
        </w:r>
      </w:hyperlink>
    </w:p>
    <w:sectPr w:rsidR="00515BDA" w:rsidRPr="00725DC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FBA9" w14:textId="77777777" w:rsidR="00F12939" w:rsidRDefault="00F12939" w:rsidP="00957DD8">
      <w:pPr>
        <w:spacing w:after="0" w:line="240" w:lineRule="auto"/>
      </w:pPr>
      <w:r>
        <w:separator/>
      </w:r>
    </w:p>
  </w:endnote>
  <w:endnote w:type="continuationSeparator" w:id="0">
    <w:p w14:paraId="60E2853A" w14:textId="77777777" w:rsidR="00F12939" w:rsidRDefault="00F12939" w:rsidP="0095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5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2BEA3" w14:textId="77777777" w:rsidR="00957DD8" w:rsidRDefault="00957D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6C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A852AD" w14:textId="77777777" w:rsidR="00957DD8" w:rsidRDefault="00957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5C86" w14:textId="77777777" w:rsidR="00F12939" w:rsidRDefault="00F12939" w:rsidP="00957DD8">
      <w:pPr>
        <w:spacing w:after="0" w:line="240" w:lineRule="auto"/>
      </w:pPr>
      <w:r>
        <w:separator/>
      </w:r>
    </w:p>
  </w:footnote>
  <w:footnote w:type="continuationSeparator" w:id="0">
    <w:p w14:paraId="618B6592" w14:textId="77777777" w:rsidR="00F12939" w:rsidRDefault="00F12939" w:rsidP="0095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D2C"/>
    <w:rsid w:val="001309E1"/>
    <w:rsid w:val="002144CB"/>
    <w:rsid w:val="002A2185"/>
    <w:rsid w:val="002D5D2C"/>
    <w:rsid w:val="0044181B"/>
    <w:rsid w:val="004C72CC"/>
    <w:rsid w:val="00515BDA"/>
    <w:rsid w:val="00565089"/>
    <w:rsid w:val="005F140B"/>
    <w:rsid w:val="00725DCE"/>
    <w:rsid w:val="00895CB8"/>
    <w:rsid w:val="008A6A44"/>
    <w:rsid w:val="008D6178"/>
    <w:rsid w:val="00902BB0"/>
    <w:rsid w:val="00957DD8"/>
    <w:rsid w:val="009C7268"/>
    <w:rsid w:val="00A26F55"/>
    <w:rsid w:val="00B656CA"/>
    <w:rsid w:val="00CF6911"/>
    <w:rsid w:val="00F12939"/>
    <w:rsid w:val="00F356E3"/>
    <w:rsid w:val="00F41E08"/>
    <w:rsid w:val="00F53A94"/>
    <w:rsid w:val="00FC1471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24A4"/>
  <w15:chartTrackingRefBased/>
  <w15:docId w15:val="{5D800980-FC13-4692-A463-1D6257EF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5B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DD8"/>
  </w:style>
  <w:style w:type="paragraph" w:styleId="Footer">
    <w:name w:val="footer"/>
    <w:basedOn w:val="Normal"/>
    <w:link w:val="FooterChar"/>
    <w:uiPriority w:val="99"/>
    <w:unhideWhenUsed/>
    <w:rsid w:val="00957D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frastructure-ni.gov.uk/articles/planning-activity-statistics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All Applications</a:t>
            </a:r>
          </a:p>
        </c:rich>
      </c:tx>
      <c:layout>
        <c:manualLayout>
          <c:xMode val="edge"/>
          <c:yMode val="edge"/>
          <c:x val="2.2673447069116372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1251</c:v>
                </c:pt>
                <c:pt idx="1">
                  <c:v>1383</c:v>
                </c:pt>
                <c:pt idx="2">
                  <c:v>1331</c:v>
                </c:pt>
                <c:pt idx="3">
                  <c:v>1348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8D-44CF-9FB3-1B2EB8F1939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Decided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1215</c:v>
                </c:pt>
                <c:pt idx="1">
                  <c:v>1423</c:v>
                </c:pt>
                <c:pt idx="2">
                  <c:v>1123</c:v>
                </c:pt>
                <c:pt idx="3">
                  <c:v>1244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8D-44CF-9FB3-1B2EB8F1939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Approved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1148</c:v>
                </c:pt>
                <c:pt idx="1">
                  <c:v>1358</c:v>
                </c:pt>
                <c:pt idx="2">
                  <c:v>1076</c:v>
                </c:pt>
                <c:pt idx="3">
                  <c:v>1189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08D-44CF-9FB3-1B2EB8F19390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Withdrawn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32</c:v>
                </c:pt>
                <c:pt idx="1">
                  <c:v>58</c:v>
                </c:pt>
                <c:pt idx="2">
                  <c:v>71</c:v>
                </c:pt>
                <c:pt idx="3" formatCode="General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08D-44CF-9FB3-1B2EB8F193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15552"/>
        <c:axId val="394184304"/>
      </c:barChart>
      <c:catAx>
        <c:axId val="3624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84304"/>
        <c:crosses val="autoZero"/>
        <c:auto val="1"/>
        <c:lblAlgn val="ctr"/>
        <c:lblOffset val="100"/>
        <c:noMultiLvlLbl val="0"/>
      </c:catAx>
      <c:valAx>
        <c:axId val="39418430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1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Major Development</a:t>
            </a:r>
            <a:r>
              <a:rPr lang="en-GB" sz="1000" baseline="0"/>
              <a:t> Applications</a:t>
            </a:r>
          </a:p>
        </c:rich>
      </c:tx>
      <c:layout>
        <c:manualLayout>
          <c:xMode val="edge"/>
          <c:yMode val="edge"/>
          <c:x val="2.2673447069116372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Sheet1!$B$8</c:f>
              <c:strCache>
                <c:ptCount val="1"/>
                <c:pt idx="0">
                  <c:v>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Sheet1!$A$9:$A$12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Sheet1!$B$9:$B$12</c:f>
              <c:numCache>
                <c:formatCode>General</c:formatCode>
                <c:ptCount val="4"/>
                <c:pt idx="0">
                  <c:v>13</c:v>
                </c:pt>
                <c:pt idx="1">
                  <c:v>13</c:v>
                </c:pt>
                <c:pt idx="2">
                  <c:v>11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9-430C-B1F1-55F10B5F54E9}"/>
            </c:ext>
          </c:extLst>
        </c:ser>
        <c:ser>
          <c:idx val="1"/>
          <c:order val="1"/>
          <c:tx>
            <c:strRef>
              <c:f>Sheet1!$C$8</c:f>
              <c:strCache>
                <c:ptCount val="1"/>
                <c:pt idx="0">
                  <c:v>Decided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Sheet1!$A$9:$A$12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Sheet1!$C$9:$C$12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499-430C-B1F1-55F10B5F54E9}"/>
            </c:ext>
          </c:extLst>
        </c:ser>
        <c:ser>
          <c:idx val="2"/>
          <c:order val="2"/>
          <c:tx>
            <c:strRef>
              <c:f>Sheet1!$D$8</c:f>
              <c:strCache>
                <c:ptCount val="1"/>
                <c:pt idx="0">
                  <c:v>Approved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Sheet1!$A$9:$A$12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Sheet1!$D$9:$D$12</c:f>
              <c:numCache>
                <c:formatCode>General</c:formatCode>
                <c:ptCount val="4"/>
                <c:pt idx="0">
                  <c:v>13</c:v>
                </c:pt>
                <c:pt idx="1">
                  <c:v>17</c:v>
                </c:pt>
                <c:pt idx="2">
                  <c:v>15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99-430C-B1F1-55F10B5F54E9}"/>
            </c:ext>
          </c:extLst>
        </c:ser>
        <c:ser>
          <c:idx val="3"/>
          <c:order val="3"/>
          <c:tx>
            <c:strRef>
              <c:f>Sheet1!$E$8</c:f>
              <c:strCache>
                <c:ptCount val="1"/>
                <c:pt idx="0">
                  <c:v>Withdrawn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Sheet1!$A$9:$A$12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Sheet1!$E$9:$E$12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499-430C-B1F1-55F10B5F54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15552"/>
        <c:axId val="394184304"/>
      </c:barChart>
      <c:catAx>
        <c:axId val="3624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84304"/>
        <c:crosses val="autoZero"/>
        <c:auto val="1"/>
        <c:lblAlgn val="ctr"/>
        <c:lblOffset val="100"/>
        <c:noMultiLvlLbl val="0"/>
      </c:catAx>
      <c:valAx>
        <c:axId val="3941843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155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Local Development Applications</a:t>
            </a:r>
          </a:p>
        </c:rich>
      </c:tx>
      <c:layout>
        <c:manualLayout>
          <c:xMode val="edge"/>
          <c:yMode val="edge"/>
          <c:x val="2.2673447069116372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Sheet1!$A$19:$A$22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Sheet1!$B$19:$B$22</c:f>
              <c:numCache>
                <c:formatCode>#,##0</c:formatCode>
                <c:ptCount val="4"/>
                <c:pt idx="0">
                  <c:v>1238</c:v>
                </c:pt>
                <c:pt idx="1">
                  <c:v>1370</c:v>
                </c:pt>
                <c:pt idx="2">
                  <c:v>1320</c:v>
                </c:pt>
                <c:pt idx="3">
                  <c:v>1335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2B-4957-82A8-5305F88E2385}"/>
            </c:ext>
          </c:extLst>
        </c:ser>
        <c:ser>
          <c:idx val="1"/>
          <c:order val="1"/>
          <c:tx>
            <c:strRef>
              <c:f>Sheet1!$C$18</c:f>
              <c:strCache>
                <c:ptCount val="1"/>
                <c:pt idx="0">
                  <c:v>Decided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Sheet1!$A$19:$A$22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Sheet1!$C$19:$C$22</c:f>
              <c:numCache>
                <c:formatCode>#,##0</c:formatCode>
                <c:ptCount val="4"/>
                <c:pt idx="0">
                  <c:v>1202</c:v>
                </c:pt>
                <c:pt idx="1">
                  <c:v>1406</c:v>
                </c:pt>
                <c:pt idx="2">
                  <c:v>1108</c:v>
                </c:pt>
                <c:pt idx="3">
                  <c:v>1236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2B-4957-82A8-5305F88E2385}"/>
            </c:ext>
          </c:extLst>
        </c:ser>
        <c:ser>
          <c:idx val="2"/>
          <c:order val="2"/>
          <c:tx>
            <c:strRef>
              <c:f>Sheet1!$D$18</c:f>
              <c:strCache>
                <c:ptCount val="1"/>
                <c:pt idx="0">
                  <c:v>Approved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Sheet1!$A$19:$A$22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Sheet1!$D$19:$D$22</c:f>
              <c:numCache>
                <c:formatCode>#,##0</c:formatCode>
                <c:ptCount val="4"/>
                <c:pt idx="0">
                  <c:v>1135</c:v>
                </c:pt>
                <c:pt idx="1">
                  <c:v>1341</c:v>
                </c:pt>
                <c:pt idx="2">
                  <c:v>1061</c:v>
                </c:pt>
                <c:pt idx="3">
                  <c:v>1181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2B-4957-82A8-5305F88E2385}"/>
            </c:ext>
          </c:extLst>
        </c:ser>
        <c:ser>
          <c:idx val="3"/>
          <c:order val="3"/>
          <c:tx>
            <c:strRef>
              <c:f>Sheet1!$E$18</c:f>
              <c:strCache>
                <c:ptCount val="1"/>
                <c:pt idx="0">
                  <c:v>Withdrawn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Sheet1!$A$19:$A$22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Sheet1!$E$19:$E$22</c:f>
              <c:numCache>
                <c:formatCode>#,##0</c:formatCode>
                <c:ptCount val="4"/>
                <c:pt idx="0">
                  <c:v>32</c:v>
                </c:pt>
                <c:pt idx="1">
                  <c:v>57</c:v>
                </c:pt>
                <c:pt idx="2">
                  <c:v>71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2B-4957-82A8-5305F88E23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15552"/>
        <c:axId val="394184304"/>
      </c:barChart>
      <c:catAx>
        <c:axId val="362415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84304"/>
        <c:crosses val="autoZero"/>
        <c:auto val="1"/>
        <c:lblAlgn val="ctr"/>
        <c:lblOffset val="100"/>
        <c:noMultiLvlLbl val="0"/>
      </c:catAx>
      <c:valAx>
        <c:axId val="39418430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1555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000"/>
              <a:t>Residential</a:t>
            </a:r>
            <a:r>
              <a:rPr lang="en-GB" sz="1000" baseline="0"/>
              <a:t> Applications</a:t>
            </a:r>
            <a:endParaRPr lang="en-GB" sz="1000"/>
          </a:p>
        </c:rich>
      </c:tx>
      <c:layout>
        <c:manualLayout>
          <c:xMode val="edge"/>
          <c:yMode val="edge"/>
          <c:x val="2.2673447069116372E-2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Sheet1!$B$28</c:f>
              <c:strCache>
                <c:ptCount val="1"/>
                <c:pt idx="0">
                  <c:v>Received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Sheet1!$A$29:$A$32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Sheet1!$B$29:$B$32</c:f>
              <c:numCache>
                <c:formatCode>#,##0</c:formatCode>
                <c:ptCount val="4"/>
                <c:pt idx="0">
                  <c:v>749</c:v>
                </c:pt>
                <c:pt idx="1">
                  <c:v>917</c:v>
                </c:pt>
                <c:pt idx="2">
                  <c:v>866</c:v>
                </c:pt>
                <c:pt idx="3">
                  <c:v>863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D6-4629-B64B-F1FC0617050F}"/>
            </c:ext>
          </c:extLst>
        </c:ser>
        <c:ser>
          <c:idx val="1"/>
          <c:order val="1"/>
          <c:tx>
            <c:strRef>
              <c:f>Sheet1!$C$28</c:f>
              <c:strCache>
                <c:ptCount val="1"/>
                <c:pt idx="0">
                  <c:v>Decided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Sheet1!$A$29:$A$32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Sheet1!$C$29:$C$32</c:f>
              <c:numCache>
                <c:formatCode>#,##0</c:formatCode>
                <c:ptCount val="4"/>
                <c:pt idx="0">
                  <c:v>756</c:v>
                </c:pt>
                <c:pt idx="1">
                  <c:v>908</c:v>
                </c:pt>
                <c:pt idx="2">
                  <c:v>739</c:v>
                </c:pt>
                <c:pt idx="3">
                  <c:v>815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D6-4629-B64B-F1FC0617050F}"/>
            </c:ext>
          </c:extLst>
        </c:ser>
        <c:ser>
          <c:idx val="2"/>
          <c:order val="2"/>
          <c:tx>
            <c:strRef>
              <c:f>Sheet1!$D$28</c:f>
              <c:strCache>
                <c:ptCount val="1"/>
                <c:pt idx="0">
                  <c:v>Approved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Sheet1!$A$29:$A$32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Sheet1!$D$29:$D$32</c:f>
              <c:numCache>
                <c:formatCode>#,##0</c:formatCode>
                <c:ptCount val="4"/>
                <c:pt idx="0">
                  <c:v>710</c:v>
                </c:pt>
                <c:pt idx="1">
                  <c:v>864</c:v>
                </c:pt>
                <c:pt idx="2">
                  <c:v>704</c:v>
                </c:pt>
                <c:pt idx="3">
                  <c:v>774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D6-4629-B64B-F1FC0617050F}"/>
            </c:ext>
          </c:extLst>
        </c:ser>
        <c:ser>
          <c:idx val="3"/>
          <c:order val="3"/>
          <c:tx>
            <c:strRef>
              <c:f>Sheet1!$E$28</c:f>
              <c:strCache>
                <c:ptCount val="1"/>
                <c:pt idx="0">
                  <c:v>Withdrawn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Sheet1!$A$29:$A$32</c:f>
              <c:strCache>
                <c:ptCount val="4"/>
                <c:pt idx="0">
                  <c:v>2015/16</c:v>
                </c:pt>
                <c:pt idx="1">
                  <c:v>2016/17</c:v>
                </c:pt>
                <c:pt idx="2">
                  <c:v>2017/18</c:v>
                </c:pt>
                <c:pt idx="3">
                  <c:v>2018/19</c:v>
                </c:pt>
              </c:strCache>
            </c:strRef>
          </c:cat>
          <c:val>
            <c:numRef>
              <c:f>Sheet1!$E$29:$E$32</c:f>
              <c:numCache>
                <c:formatCode>#,##0</c:formatCode>
                <c:ptCount val="4"/>
                <c:pt idx="0">
                  <c:v>18</c:v>
                </c:pt>
                <c:pt idx="1">
                  <c:v>29</c:v>
                </c:pt>
                <c:pt idx="2">
                  <c:v>41</c:v>
                </c:pt>
                <c:pt idx="3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D6-4629-B64B-F1FC061705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2415552"/>
        <c:axId val="394184304"/>
      </c:barChart>
      <c:catAx>
        <c:axId val="36241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94184304"/>
        <c:crosses val="autoZero"/>
        <c:auto val="1"/>
        <c:lblAlgn val="ctr"/>
        <c:lblOffset val="100"/>
        <c:noMultiLvlLbl val="0"/>
      </c:catAx>
      <c:valAx>
        <c:axId val="394184304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241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37143-9984-4C36-90E4-C7302C16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Gordon</dc:creator>
  <cp:keywords/>
  <dc:description/>
  <cp:lastModifiedBy>David McMullan</cp:lastModifiedBy>
  <cp:revision>15</cp:revision>
  <cp:lastPrinted>2019-09-19T14:48:00Z</cp:lastPrinted>
  <dcterms:created xsi:type="dcterms:W3CDTF">2019-05-31T10:44:00Z</dcterms:created>
  <dcterms:modified xsi:type="dcterms:W3CDTF">2022-02-18T17:39:00Z</dcterms:modified>
</cp:coreProperties>
</file>